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890F77" w14:paraId="5E5787A5" wp14:textId="41D85796">
      <w:pPr>
        <w:pStyle w:val="Normal"/>
        <w:rPr>
          <w:rFonts w:ascii="Calibri" w:hAnsi="Calibri" w:eastAsia="Calibri" w:cs="Calibri" w:asciiTheme="minorAscii" w:hAnsiTheme="minorAscii" w:eastAsiaTheme="minorAscii" w:cstheme="minorAscii"/>
          <w:color w:val="auto"/>
          <w:sz w:val="22"/>
          <w:szCs w:val="22"/>
        </w:rPr>
      </w:pPr>
      <w:r w:rsidRPr="06890F77" w:rsidR="629049C5">
        <w:rPr>
          <w:rFonts w:ascii="Calibri" w:hAnsi="Calibri" w:eastAsia="Calibri" w:cs="Calibri" w:asciiTheme="minorAscii" w:hAnsiTheme="minorAscii" w:eastAsiaTheme="minorAscii" w:cstheme="minorAscii"/>
          <w:color w:val="auto"/>
          <w:sz w:val="22"/>
          <w:szCs w:val="22"/>
        </w:rPr>
        <w:t>Tort Law</w:t>
      </w:r>
      <w:r w:rsidRPr="06890F77" w:rsidR="074160D5">
        <w:rPr>
          <w:rFonts w:ascii="Calibri" w:hAnsi="Calibri" w:eastAsia="Calibri" w:cs="Calibri" w:asciiTheme="minorAscii" w:hAnsiTheme="minorAscii" w:eastAsiaTheme="minorAscii" w:cstheme="minorAscii"/>
          <w:color w:val="auto"/>
          <w:sz w:val="22"/>
          <w:szCs w:val="22"/>
        </w:rPr>
        <w:t xml:space="preserve"> – Final Submission</w:t>
      </w:r>
    </w:p>
    <w:p w:rsidR="629049C5" w:rsidP="06890F77" w:rsidRDefault="629049C5" w14:paraId="25CEF83D" w14:textId="59BB6AAA">
      <w:pPr>
        <w:pStyle w:val="Normal"/>
        <w:ind w:left="0"/>
        <w:rPr>
          <w:rFonts w:ascii="Calibri" w:hAnsi="Calibri" w:eastAsia="Calibri" w:cs="Calibri" w:asciiTheme="minorAscii" w:hAnsiTheme="minorAscii" w:eastAsiaTheme="minorAscii" w:cstheme="minorAscii"/>
          <w:color w:val="auto"/>
          <w:sz w:val="22"/>
          <w:szCs w:val="22"/>
        </w:rPr>
      </w:pPr>
      <w:r w:rsidRPr="06890F77" w:rsidR="629049C5">
        <w:rPr>
          <w:rFonts w:ascii="Calibri" w:hAnsi="Calibri" w:eastAsia="Calibri" w:cs="Calibri" w:asciiTheme="minorAscii" w:hAnsiTheme="minorAscii" w:eastAsiaTheme="minorAscii" w:cstheme="minorAscii"/>
          <w:color w:val="auto"/>
          <w:sz w:val="22"/>
          <w:szCs w:val="22"/>
        </w:rPr>
        <w:t xml:space="preserve">Rules of causation </w:t>
      </w:r>
    </w:p>
    <w:p w:rsidR="702B1814" w:rsidP="06890F77" w:rsidRDefault="702B1814" w14:paraId="71B9EF4C" w14:textId="493DB1F6">
      <w:pPr>
        <w:pStyle w:val="Normal"/>
        <w:ind w:left="0"/>
        <w:rPr>
          <w:rFonts w:ascii="Calibri" w:hAnsi="Calibri" w:eastAsia="Calibri" w:cs="Calibri" w:asciiTheme="minorAscii" w:hAnsiTheme="minorAscii" w:eastAsiaTheme="minorAscii" w:cstheme="minorAscii"/>
          <w:color w:val="auto"/>
          <w:sz w:val="22"/>
          <w:szCs w:val="22"/>
        </w:rPr>
      </w:pPr>
      <w:r w:rsidRPr="06890F77" w:rsidR="702B1814">
        <w:rPr>
          <w:rFonts w:ascii="Calibri" w:hAnsi="Calibri" w:eastAsia="Calibri" w:cs="Calibri" w:asciiTheme="minorAscii" w:hAnsiTheme="minorAscii" w:eastAsiaTheme="minorAscii" w:cstheme="minorAscii"/>
          <w:color w:val="auto"/>
          <w:sz w:val="22"/>
          <w:szCs w:val="22"/>
        </w:rPr>
        <w:t>David Jones</w:t>
      </w:r>
      <w:r w:rsidRPr="06890F77" w:rsidR="53F7FC89">
        <w:rPr>
          <w:rFonts w:ascii="Calibri" w:hAnsi="Calibri" w:eastAsia="Calibri" w:cs="Calibri" w:asciiTheme="minorAscii" w:hAnsiTheme="minorAscii" w:eastAsiaTheme="minorAscii" w:cstheme="minorAscii"/>
          <w:color w:val="auto"/>
          <w:sz w:val="22"/>
          <w:szCs w:val="22"/>
        </w:rPr>
        <w:t xml:space="preserve"> 1902712</w:t>
      </w:r>
    </w:p>
    <w:p w:rsidR="56D8297D" w:rsidP="06890F77" w:rsidRDefault="56D8297D" w14:paraId="1453A9CF" w14:textId="780103EC">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56D8297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following </w:t>
      </w:r>
      <w:r w:rsidRPr="06890F77" w:rsidR="160140D1">
        <w:rPr>
          <w:rFonts w:ascii="Calibri" w:hAnsi="Calibri" w:eastAsia="Calibri" w:cs="Calibri" w:asciiTheme="minorAscii" w:hAnsiTheme="minorAscii" w:eastAsiaTheme="minorAscii" w:cstheme="minorAscii"/>
          <w:b w:val="0"/>
          <w:bCs w:val="0"/>
          <w:i w:val="0"/>
          <w:iCs w:val="0"/>
          <w:noProof w:val="0"/>
          <w:color w:val="auto"/>
          <w:sz w:val="22"/>
          <w:szCs w:val="22"/>
          <w:lang w:val="en-GB"/>
        </w:rPr>
        <w:t>assignment</w:t>
      </w:r>
      <w:r w:rsidRPr="06890F77" w:rsidR="56D8297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will look at the rules of causations</w:t>
      </w:r>
      <w:r w:rsidRPr="06890F77" w:rsidR="575C5B9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situations where there may have been a break in the chain of causation between the </w:t>
      </w:r>
      <w:r w:rsidRPr="06890F77" w:rsidR="45A15F42">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defendant's</w:t>
      </w:r>
      <w:r w:rsidRPr="06890F77" w:rsidR="575C5B9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2B46021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negligence and the loss suffered by the claimant. Finally, </w:t>
      </w:r>
      <w:r w:rsidRPr="06890F77" w:rsidR="34290363">
        <w:rPr>
          <w:rFonts w:ascii="Calibri" w:hAnsi="Calibri" w:eastAsia="Calibri" w:cs="Calibri" w:asciiTheme="minorAscii" w:hAnsiTheme="minorAscii" w:eastAsiaTheme="minorAscii" w:cstheme="minorAscii"/>
          <w:b w:val="0"/>
          <w:bCs w:val="0"/>
          <w:i w:val="0"/>
          <w:iCs w:val="0"/>
          <w:noProof w:val="0"/>
          <w:color w:val="auto"/>
          <w:sz w:val="22"/>
          <w:szCs w:val="22"/>
          <w:lang w:val="en-GB"/>
        </w:rPr>
        <w:t>the assignment will examine</w:t>
      </w:r>
      <w:r w:rsidRPr="06890F77" w:rsidR="2B46021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effect this co</w:t>
      </w:r>
      <w:r w:rsidRPr="06890F77" w:rsidR="7553B36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uld have to the </w:t>
      </w:r>
      <w:r w:rsidRPr="06890F77" w:rsidR="4CC24E7A">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defendant's</w:t>
      </w:r>
      <w:r w:rsidRPr="06890F77" w:rsidR="7553B36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liability.</w:t>
      </w:r>
    </w:p>
    <w:p w:rsidR="5C7BDEBA" w:rsidP="06890F77" w:rsidRDefault="5C7BDEBA" w14:paraId="183CFB00" w14:textId="4C7D2C0B">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3D588F07">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Negligence as a tort is a breach of legal duty to take care which results in damage to the </w:t>
      </w:r>
      <w:r w:rsidRPr="06890F77" w:rsidR="015BA659">
        <w:rPr>
          <w:rFonts w:ascii="Calibri" w:hAnsi="Calibri" w:eastAsia="Calibri" w:cs="Calibri" w:asciiTheme="minorAscii" w:hAnsiTheme="minorAscii" w:eastAsiaTheme="minorAscii" w:cstheme="minorAscii"/>
          <w:b w:val="0"/>
          <w:bCs w:val="0"/>
          <w:i w:val="1"/>
          <w:iCs w:val="1"/>
          <w:noProof w:val="0"/>
          <w:color w:val="auto"/>
          <w:sz w:val="22"/>
          <w:szCs w:val="22"/>
          <w:lang w:val="en-GB"/>
        </w:rPr>
        <w:t>claimant. (</w:t>
      </w:r>
      <w:r w:rsidRPr="06890F77" w:rsidR="3D588F07">
        <w:rPr>
          <w:rFonts w:ascii="Calibri" w:hAnsi="Calibri" w:eastAsia="Calibri" w:cs="Calibri" w:asciiTheme="minorAscii" w:hAnsiTheme="minorAscii" w:eastAsiaTheme="minorAscii" w:cstheme="minorAscii"/>
          <w:b w:val="0"/>
          <w:bCs w:val="0"/>
          <w:i w:val="1"/>
          <w:iCs w:val="1"/>
          <w:noProof w:val="0"/>
          <w:color w:val="auto"/>
          <w:sz w:val="22"/>
          <w:szCs w:val="22"/>
          <w:lang w:val="en-GB"/>
        </w:rPr>
        <w:t>Caldwell, 2017).</w:t>
      </w:r>
      <w:r w:rsidRPr="06890F77" w:rsidR="65895C93">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24B6D37B">
        <w:rPr>
          <w:rFonts w:ascii="Calibri" w:hAnsi="Calibri" w:eastAsia="Calibri" w:cs="Calibri" w:asciiTheme="minorAscii" w:hAnsiTheme="minorAscii" w:eastAsiaTheme="minorAscii" w:cstheme="minorAscii"/>
          <w:b w:val="0"/>
          <w:bCs w:val="0"/>
          <w:i w:val="0"/>
          <w:iCs w:val="0"/>
          <w:noProof w:val="0"/>
          <w:color w:val="auto"/>
          <w:sz w:val="22"/>
          <w:szCs w:val="22"/>
          <w:lang w:val="en-GB"/>
        </w:rPr>
        <w:t>Damages can consist of economic loss, personal injury, damage to property and Psychiatic damage.</w:t>
      </w:r>
      <w:r w:rsidRPr="06890F77" w:rsidR="3BF31F9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nature in which relationships between parties exist may create legal duties of care. The main and most common examples are an employer to em</w:t>
      </w:r>
      <w:r w:rsidRPr="06890F77" w:rsidR="0E786562">
        <w:rPr>
          <w:rFonts w:ascii="Calibri" w:hAnsi="Calibri" w:eastAsia="Calibri" w:cs="Calibri" w:asciiTheme="minorAscii" w:hAnsiTheme="minorAscii" w:eastAsiaTheme="minorAscii" w:cstheme="minorAscii"/>
          <w:b w:val="0"/>
          <w:bCs w:val="0"/>
          <w:i w:val="0"/>
          <w:iCs w:val="0"/>
          <w:noProof w:val="0"/>
          <w:color w:val="auto"/>
          <w:sz w:val="22"/>
          <w:szCs w:val="22"/>
          <w:lang w:val="en-GB"/>
        </w:rPr>
        <w:t>ployee, or doctor to patient.</w:t>
      </w:r>
      <w:r w:rsidRPr="06890F77" w:rsidR="76D7CE67">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(Cooke, J 2019)</w:t>
      </w:r>
      <w:r w:rsidRPr="06890F77" w:rsidR="0E78656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these scenarios, it is clear to </w:t>
      </w:r>
      <w:r w:rsidRPr="06890F77" w:rsidR="610BE44C">
        <w:rPr>
          <w:rFonts w:ascii="Calibri" w:hAnsi="Calibri" w:eastAsia="Calibri" w:cs="Calibri" w:asciiTheme="minorAscii" w:hAnsiTheme="minorAscii" w:eastAsiaTheme="minorAscii" w:cstheme="minorAscii"/>
          <w:b w:val="0"/>
          <w:bCs w:val="0"/>
          <w:i w:val="0"/>
          <w:iCs w:val="0"/>
          <w:noProof w:val="0"/>
          <w:color w:val="auto"/>
          <w:sz w:val="22"/>
          <w:szCs w:val="22"/>
          <w:lang w:val="en-GB"/>
        </w:rPr>
        <w:t>establish</w:t>
      </w:r>
      <w:r w:rsidRPr="06890F77" w:rsidR="0E78656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5E55AEA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which party holds the position of power and </w:t>
      </w:r>
      <w:r w:rsidRPr="06890F77" w:rsidR="6D3BA62C">
        <w:rPr>
          <w:rFonts w:ascii="Calibri" w:hAnsi="Calibri" w:eastAsia="Calibri" w:cs="Calibri" w:asciiTheme="minorAscii" w:hAnsiTheme="minorAscii" w:eastAsiaTheme="minorAscii" w:cstheme="minorAscii"/>
          <w:b w:val="0"/>
          <w:bCs w:val="0"/>
          <w:i w:val="0"/>
          <w:iCs w:val="0"/>
          <w:noProof w:val="0"/>
          <w:color w:val="auto"/>
          <w:sz w:val="22"/>
          <w:szCs w:val="22"/>
          <w:lang w:val="en-GB"/>
        </w:rPr>
        <w:t>responsibility</w:t>
      </w:r>
      <w:r w:rsidRPr="06890F77" w:rsidR="5E55AEAF">
        <w:rPr>
          <w:rFonts w:ascii="Calibri" w:hAnsi="Calibri" w:eastAsia="Calibri" w:cs="Calibri" w:asciiTheme="minorAscii" w:hAnsiTheme="minorAscii" w:eastAsiaTheme="minorAscii" w:cstheme="minorAscii"/>
          <w:b w:val="0"/>
          <w:bCs w:val="0"/>
          <w:i w:val="0"/>
          <w:iCs w:val="0"/>
          <w:noProof w:val="0"/>
          <w:color w:val="auto"/>
          <w:sz w:val="22"/>
          <w:szCs w:val="22"/>
          <w:lang w:val="en-GB"/>
        </w:rPr>
        <w:t>. Carelessness by such party which causes harm may lead to legal action</w:t>
      </w:r>
      <w:r w:rsidRPr="06890F77" w:rsidR="1795316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28450C0">
        <w:rPr>
          <w:rFonts w:ascii="Calibri" w:hAnsi="Calibri" w:eastAsia="Calibri" w:cs="Calibri" w:asciiTheme="minorAscii" w:hAnsiTheme="minorAscii" w:eastAsiaTheme="minorAscii" w:cstheme="minorAscii"/>
          <w:b w:val="0"/>
          <w:bCs w:val="0"/>
          <w:i w:val="0"/>
          <w:iCs w:val="0"/>
          <w:noProof w:val="0"/>
          <w:color w:val="auto"/>
          <w:sz w:val="22"/>
          <w:szCs w:val="22"/>
          <w:lang w:val="en-GB"/>
        </w:rPr>
        <w:t>it</w:t>
      </w:r>
      <w:r w:rsidRPr="06890F77" w:rsidR="1795316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would be up to the claimant to </w:t>
      </w:r>
      <w:r w:rsidRPr="06890F77" w:rsidR="67727A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put a case of damage forward, proving it falls into the category of duty of care. </w:t>
      </w:r>
    </w:p>
    <w:p w:rsidR="053DD8FB" w:rsidP="06890F77" w:rsidRDefault="053DD8FB" w14:paraId="35318CC8" w14:textId="4277EA18">
      <w:pPr>
        <w:pStyle w:val="Normal"/>
        <w:ind w:left="0"/>
        <w:rPr>
          <w:rFonts w:ascii="Calibri" w:hAnsi="Calibri" w:eastAsia="Calibri" w:cs="Calibri" w:asciiTheme="minorAscii" w:hAnsiTheme="minorAscii" w:eastAsiaTheme="minorAscii" w:cstheme="minorAscii"/>
          <w:b w:val="0"/>
          <w:bCs w:val="0"/>
          <w:i w:val="1"/>
          <w:iCs w:val="1"/>
          <w:noProof w:val="0"/>
          <w:color w:val="auto"/>
          <w:sz w:val="22"/>
          <w:szCs w:val="22"/>
          <w:lang w:val="en-GB"/>
        </w:rPr>
      </w:pP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Donoghue v Stevenson [1932]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developed the neighbour principle. The claimant found the remains of a snail in her drink, which her friend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purchased</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for her. Subsequently action was taken against the company of the drink. Lord Atkin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stated</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you must take reasonable care to avoid acts or omissions which you can reasonably foresee would be likely to injure your neighbour</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‘neighbour’ can be described as somebody who are closely affected by your acts. </w:t>
      </w:r>
      <w:r w:rsidRPr="06890F77" w:rsidR="72D72EC4">
        <w:rPr>
          <w:rFonts w:ascii="Calibri" w:hAnsi="Calibri" w:eastAsia="Calibri" w:cs="Calibri" w:asciiTheme="minorAscii" w:hAnsiTheme="minorAscii" w:eastAsiaTheme="minorAscii" w:cstheme="minorAscii"/>
          <w:b w:val="0"/>
          <w:bCs w:val="0"/>
          <w:i w:val="1"/>
          <w:iCs w:val="1"/>
          <w:noProof w:val="0"/>
          <w:color w:val="auto"/>
          <w:sz w:val="22"/>
          <w:szCs w:val="22"/>
          <w:lang w:val="en-GB"/>
        </w:rPr>
        <w:t>(Caldwell, R. 2017)</w:t>
      </w:r>
    </w:p>
    <w:p w:rsidR="2F516E6B" w:rsidP="06890F77" w:rsidRDefault="2F516E6B" w14:paraId="29F12B8B" w14:textId="1033DF9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2F516E6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Corr v IBC Vehicles Ltd [2008] UKHL 13; [2008] 2 WLR 499</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showed the difference between remoteness of damage and factual causation. The claimants' injuries developed at his </w:t>
      </w:r>
      <w:r w:rsidRPr="06890F77" w:rsidR="040159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previous</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workplace led to his depression and eventual </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suicide</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The question here was whether the claimant's family had a claim for damages in the form of financial loss from the employers</w:t>
      </w:r>
      <w:r w:rsidRPr="06890F77" w:rsidR="3DCA83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where the injuries were sustained. Or was this claim of damages too remote.</w:t>
      </w:r>
      <w:r w:rsidRPr="06890F77" w:rsidR="517773D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(O’Sullivan, J 2008)</w:t>
      </w:r>
      <w:r w:rsidRPr="06890F77" w:rsidR="2F516E6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suicide</w:t>
      </w:r>
      <w:r w:rsidRPr="06890F77" w:rsidR="2F51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Mr Corr was not a voluntary, informed decision.</w:t>
      </w:r>
      <w:r w:rsidRPr="06890F77" w:rsidR="2F516E6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(Lord Bingham)</w:t>
      </w:r>
      <w:r w:rsidRPr="06890F77" w:rsidR="38C2D1D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06890F77" w:rsidR="1BDDC0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case establishes that the principle of novus actus interveniens is based on fairness and questioning whether, if there is an intervening event, it would be unfair to hold the defendant liable for damage that has not been caused by his breach</w:t>
      </w:r>
      <w:r w:rsidRPr="06890F77" w:rsidR="661505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404DFCC5" w:rsidP="06890F77" w:rsidRDefault="404DFCC5" w14:paraId="70FBB85A" w14:textId="4C8CA3A3">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404DFCC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Caparo Industries </w:t>
      </w:r>
      <w:r w:rsidRPr="06890F77" w:rsidR="404DFCC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pIc</w:t>
      </w:r>
      <w:r w:rsidRPr="06890F77" w:rsidR="404DFCC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v Dickman [1990] 2 AC 605</w:t>
      </w:r>
      <w:r w:rsidRPr="06890F77" w:rsidR="383264A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06890F77" w:rsidR="38326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outlined a test to </w:t>
      </w:r>
      <w:r w:rsidRPr="06890F77" w:rsidR="38326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establish</w:t>
      </w:r>
      <w:r w:rsidRPr="06890F77" w:rsidR="38326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duty of care</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harm must be </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reasonably foreseeable</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a result of</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w:t>
      </w:r>
      <w:r w:rsidRPr="06890F77" w:rsidR="552888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defendant's</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conduct, </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030303"/>
          <w:sz w:val="22"/>
          <w:szCs w:val="22"/>
          <w:lang w:val="en-GB"/>
        </w:rPr>
        <w:t>the parties must be in a rel</w:t>
      </w:r>
      <w:r w:rsidRPr="06890F77" w:rsidR="6A8E4F35">
        <w:rPr>
          <w:rFonts w:ascii="Calibri" w:hAnsi="Calibri" w:eastAsia="Calibri" w:cs="Calibri" w:asciiTheme="minorAscii" w:hAnsiTheme="minorAscii" w:eastAsiaTheme="minorAscii" w:cstheme="minorAscii"/>
          <w:b w:val="0"/>
          <w:bCs w:val="0"/>
          <w:i w:val="0"/>
          <w:iCs w:val="0"/>
          <w:caps w:val="0"/>
          <w:smallCaps w:val="0"/>
          <w:noProof w:val="0"/>
          <w:color w:val="030303"/>
          <w:sz w:val="22"/>
          <w:szCs w:val="22"/>
          <w:lang w:val="en-GB"/>
        </w:rPr>
        <w:t xml:space="preserve">ationship of proximity and must be sufficiently close and finally, </w:t>
      </w:r>
      <w:r w:rsidRPr="06890F77" w:rsidR="2741F31C">
        <w:rPr>
          <w:rFonts w:ascii="Calibri" w:hAnsi="Calibri" w:eastAsia="Calibri" w:cs="Calibri" w:asciiTheme="minorAscii" w:hAnsiTheme="minorAscii" w:eastAsiaTheme="minorAscii" w:cstheme="minorAscii"/>
          <w:b w:val="0"/>
          <w:bCs w:val="0"/>
          <w:i w:val="0"/>
          <w:iCs w:val="0"/>
          <w:caps w:val="0"/>
          <w:smallCaps w:val="0"/>
          <w:noProof w:val="0"/>
          <w:color w:val="030303"/>
          <w:sz w:val="22"/>
          <w:szCs w:val="22"/>
          <w:lang w:val="en-GB"/>
        </w:rPr>
        <w:t>it must be fair just and reasonable.</w:t>
      </w:r>
      <w:r w:rsidRPr="06890F77" w:rsidR="7D8477F5">
        <w:rPr>
          <w:rFonts w:ascii="Calibri" w:hAnsi="Calibri" w:eastAsia="Calibri" w:cs="Calibri" w:asciiTheme="minorAscii" w:hAnsiTheme="minorAscii" w:eastAsiaTheme="minorAscii" w:cstheme="minorAscii"/>
          <w:b w:val="0"/>
          <w:bCs w:val="0"/>
          <w:i w:val="0"/>
          <w:iCs w:val="0"/>
          <w:caps w:val="0"/>
          <w:smallCaps w:val="0"/>
          <w:noProof w:val="0"/>
          <w:color w:val="030303"/>
          <w:sz w:val="22"/>
          <w:szCs w:val="22"/>
          <w:lang w:val="en-GB"/>
        </w:rPr>
        <w:t xml:space="preserve"> </w:t>
      </w:r>
      <w:r w:rsidRPr="06890F77" w:rsidR="7D8477F5">
        <w:rPr>
          <w:rFonts w:ascii="Calibri" w:hAnsi="Calibri" w:eastAsia="Calibri" w:cs="Calibri" w:asciiTheme="minorAscii" w:hAnsiTheme="minorAscii" w:eastAsiaTheme="minorAscii" w:cstheme="minorAscii"/>
          <w:b w:val="0"/>
          <w:bCs w:val="0"/>
          <w:i w:val="1"/>
          <w:iCs w:val="1"/>
          <w:caps w:val="0"/>
          <w:smallCaps w:val="0"/>
          <w:noProof w:val="0"/>
          <w:color w:val="030303"/>
          <w:sz w:val="22"/>
          <w:szCs w:val="22"/>
          <w:lang w:val="en-GB"/>
        </w:rPr>
        <w:t>(</w:t>
      </w:r>
      <w:r w:rsidRPr="06890F77" w:rsidR="7D8477F5">
        <w:rPr>
          <w:rFonts w:ascii="Calibri" w:hAnsi="Calibri" w:eastAsia="Calibri" w:cs="Calibri" w:asciiTheme="minorAscii" w:hAnsiTheme="minorAscii" w:eastAsiaTheme="minorAscii" w:cstheme="minorAscii"/>
          <w:b w:val="0"/>
          <w:bCs w:val="0"/>
          <w:i w:val="1"/>
          <w:iCs w:val="1"/>
          <w:noProof w:val="0"/>
          <w:color w:val="auto"/>
          <w:sz w:val="22"/>
          <w:szCs w:val="22"/>
          <w:lang w:val="en-GB"/>
        </w:rPr>
        <w:t>Caldwell, R. (2017)</w:t>
      </w:r>
    </w:p>
    <w:p w:rsidR="053DD8FB" w:rsidP="06890F77" w:rsidRDefault="053DD8FB" w14:paraId="59D2DD06" w14:textId="2B7E63F3">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There are 3 ways in which a novus actus interveniens can occur - by the actions of the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Claimant, the</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actions of a third party or an act of nature.</w:t>
      </w:r>
    </w:p>
    <w:p w:rsidR="5405DE18" w:rsidP="06890F77" w:rsidRDefault="5405DE18" w14:paraId="419CE621" w14:textId="1F12EC72">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5405DE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w:t>
      </w:r>
      <w:r w:rsidRPr="06890F77" w:rsidR="0A67F02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significance of the </w:t>
      </w:r>
      <w:r w:rsidRPr="06890F77" w:rsidR="5405DE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act </w:t>
      </w:r>
      <w:r w:rsidRPr="06890F77" w:rsidR="10CE868F">
        <w:rPr>
          <w:rFonts w:ascii="Calibri" w:hAnsi="Calibri" w:eastAsia="Calibri" w:cs="Calibri" w:asciiTheme="minorAscii" w:hAnsiTheme="minorAscii" w:eastAsiaTheme="minorAscii" w:cstheme="minorAscii"/>
          <w:b w:val="0"/>
          <w:bCs w:val="0"/>
          <w:i w:val="0"/>
          <w:iCs w:val="0"/>
          <w:noProof w:val="0"/>
          <w:color w:val="auto"/>
          <w:sz w:val="22"/>
          <w:szCs w:val="22"/>
          <w:lang w:val="en-GB"/>
        </w:rPr>
        <w:t>by the</w:t>
      </w:r>
      <w:r w:rsidRPr="06890F77" w:rsidR="5405DE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victim</w:t>
      </w:r>
      <w:r w:rsidRPr="06890F77" w:rsidR="13C23D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was </w:t>
      </w:r>
      <w:r w:rsidRPr="06890F77" w:rsidR="13C23D2E">
        <w:rPr>
          <w:rFonts w:ascii="Calibri" w:hAnsi="Calibri" w:eastAsia="Calibri" w:cs="Calibri" w:asciiTheme="minorAscii" w:hAnsiTheme="minorAscii" w:eastAsiaTheme="minorAscii" w:cstheme="minorAscii"/>
          <w:b w:val="0"/>
          <w:bCs w:val="0"/>
          <w:i w:val="0"/>
          <w:iCs w:val="0"/>
          <w:noProof w:val="0"/>
          <w:color w:val="auto"/>
          <w:sz w:val="22"/>
          <w:szCs w:val="22"/>
          <w:lang w:val="en-GB"/>
        </w:rPr>
        <w:t>demonstrated</w:t>
      </w:r>
      <w:r w:rsidRPr="06890F77" w:rsidR="13C23D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w:t>
      </w:r>
      <w:r w:rsidRPr="06890F77" w:rsidR="5405DE1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5405DE18">
        <w:rPr>
          <w:rFonts w:ascii="Calibri" w:hAnsi="Calibri" w:eastAsia="Calibri" w:cs="Calibri" w:asciiTheme="minorAscii" w:hAnsiTheme="minorAscii" w:eastAsiaTheme="minorAscii" w:cstheme="minorAscii"/>
          <w:b w:val="0"/>
          <w:bCs w:val="0"/>
          <w:i w:val="1"/>
          <w:iCs w:val="1"/>
          <w:noProof w:val="0"/>
          <w:color w:val="auto"/>
          <w:sz w:val="22"/>
          <w:szCs w:val="22"/>
          <w:lang w:val="en-GB"/>
        </w:rPr>
        <w:t>R v Roberts [1971] EWCA Crim 4</w:t>
      </w:r>
      <w:r w:rsidRPr="06890F77" w:rsidR="77432641">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where the victim jumped from a moving vehicle </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in an attempt to</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avoid a sexual assault. The question here was </w:t>
      </w:r>
      <w:r w:rsidRPr="06890F77" w:rsidR="53E9A69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if the </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victim act</w:t>
      </w:r>
      <w:r w:rsidRPr="06890F77" w:rsidR="7EFA5C22">
        <w:rPr>
          <w:rFonts w:ascii="Calibri" w:hAnsi="Calibri" w:eastAsia="Calibri" w:cs="Calibri" w:asciiTheme="minorAscii" w:hAnsiTheme="minorAscii" w:eastAsiaTheme="minorAscii" w:cstheme="minorAscii"/>
          <w:b w:val="0"/>
          <w:bCs w:val="0"/>
          <w:i w:val="0"/>
          <w:iCs w:val="0"/>
          <w:noProof w:val="0"/>
          <w:color w:val="auto"/>
          <w:sz w:val="22"/>
          <w:szCs w:val="22"/>
          <w:lang w:val="en-GB"/>
        </w:rPr>
        <w:t>ed</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reasonably in</w:t>
      </w:r>
      <w:r w:rsidRPr="06890F77" w:rsidR="7743264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situation</w:t>
      </w:r>
      <w:r w:rsidRPr="06890F77" w:rsidR="0C9AB3C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if so, was her injuries a natural consequence of the </w:t>
      </w:r>
      <w:r w:rsidRPr="06890F77" w:rsidR="2664A90E">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defendants'</w:t>
      </w:r>
      <w:r w:rsidRPr="06890F77" w:rsidR="0C9AB3C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actions</w:t>
      </w:r>
      <w:r w:rsidRPr="06890F77" w:rsidR="0C9AB3CF">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72CF1D6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72CF1D6E">
        <w:rPr>
          <w:rFonts w:ascii="Calibri" w:hAnsi="Calibri" w:eastAsia="Calibri" w:cs="Calibri" w:asciiTheme="minorAscii" w:hAnsiTheme="minorAscii" w:eastAsiaTheme="minorAscii" w:cstheme="minorAscii"/>
          <w:b w:val="0"/>
          <w:bCs w:val="0"/>
          <w:i w:val="1"/>
          <w:iCs w:val="1"/>
          <w:noProof w:val="0"/>
          <w:color w:val="auto"/>
          <w:sz w:val="22"/>
          <w:szCs w:val="22"/>
          <w:lang w:val="en-GB"/>
        </w:rPr>
        <w:t>‘Could not be foreseen by a reasonable man’</w:t>
      </w:r>
      <w:r w:rsidRPr="06890F77" w:rsidR="490CD55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44C30D46">
        <w:rPr>
          <w:rFonts w:ascii="Calibri" w:hAnsi="Calibri" w:eastAsia="Calibri" w:cs="Calibri" w:asciiTheme="minorAscii" w:hAnsiTheme="minorAscii" w:eastAsiaTheme="minorAscii" w:cstheme="minorAscii"/>
          <w:b w:val="0"/>
          <w:bCs w:val="0"/>
          <w:i w:val="0"/>
          <w:iCs w:val="0"/>
          <w:noProof w:val="0"/>
          <w:color w:val="auto"/>
          <w:sz w:val="22"/>
          <w:szCs w:val="22"/>
          <w:lang w:val="en-GB"/>
        </w:rPr>
        <w:t>in c</w:t>
      </w:r>
      <w:r w:rsidRPr="06890F77" w:rsidR="490CD55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ontext to the case </w:t>
      </w:r>
      <w:r w:rsidRPr="06890F77" w:rsidR="62BF158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w:t>
      </w:r>
      <w:r w:rsidRPr="06890F77" w:rsidR="490CD55C">
        <w:rPr>
          <w:rFonts w:ascii="Calibri" w:hAnsi="Calibri" w:eastAsia="Calibri" w:cs="Calibri" w:asciiTheme="minorAscii" w:hAnsiTheme="minorAscii" w:eastAsiaTheme="minorAscii" w:cstheme="minorAscii"/>
          <w:b w:val="0"/>
          <w:bCs w:val="0"/>
          <w:i w:val="0"/>
          <w:iCs w:val="0"/>
          <w:noProof w:val="0"/>
          <w:color w:val="auto"/>
          <w:sz w:val="22"/>
          <w:szCs w:val="22"/>
          <w:lang w:val="en-GB"/>
        </w:rPr>
        <w:t>would suggest the actions would be a ‘natural’ reasonable response to a rare dangerous situatio</w:t>
      </w:r>
      <w:r w:rsidRPr="06890F77" w:rsidR="4F736BC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n. </w:t>
      </w:r>
      <w:r w:rsidRPr="06890F77" w:rsidR="342A383D">
        <w:rPr>
          <w:rFonts w:ascii="Calibri" w:hAnsi="Calibri" w:eastAsia="Calibri" w:cs="Calibri" w:asciiTheme="minorAscii" w:hAnsiTheme="minorAscii" w:eastAsiaTheme="minorAscii" w:cstheme="minorAscii"/>
          <w:b w:val="0"/>
          <w:bCs w:val="0"/>
          <w:i w:val="0"/>
          <w:iCs w:val="0"/>
          <w:noProof w:val="0"/>
          <w:color w:val="auto"/>
          <w:sz w:val="22"/>
          <w:szCs w:val="22"/>
          <w:lang w:val="en-GB"/>
        </w:rPr>
        <w:t>Whereas, the defendant would argue that he did not expect or foresee what could happen. In this case,</w:t>
      </w:r>
      <w:r w:rsidRPr="06890F77" w:rsidR="32F8E50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even though the defendant did not di</w:t>
      </w:r>
      <w:r w:rsidRPr="06890F77" w:rsidR="32F8E506">
        <w:rPr>
          <w:rFonts w:ascii="Calibri" w:hAnsi="Calibri" w:eastAsia="Calibri" w:cs="Calibri" w:asciiTheme="minorAscii" w:hAnsiTheme="minorAscii" w:eastAsiaTheme="minorAscii" w:cstheme="minorAscii"/>
          <w:b w:val="0"/>
          <w:bCs w:val="0"/>
          <w:i w:val="0"/>
          <w:iCs w:val="0"/>
          <w:noProof w:val="0"/>
          <w:color w:val="auto"/>
          <w:sz w:val="22"/>
          <w:szCs w:val="22"/>
          <w:lang w:val="en-GB"/>
        </w:rPr>
        <w:t>re</w:t>
      </w:r>
      <w:r w:rsidRPr="06890F77" w:rsidR="32F8E50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ctly push or force the victim out of the </w:t>
      </w:r>
      <w:r w:rsidRPr="06890F77" w:rsidR="48E99CDC">
        <w:rPr>
          <w:rFonts w:ascii="Calibri" w:hAnsi="Calibri" w:eastAsia="Calibri" w:cs="Calibri" w:asciiTheme="minorAscii" w:hAnsiTheme="minorAscii" w:eastAsiaTheme="minorAscii" w:cstheme="minorAscii"/>
          <w:b w:val="0"/>
          <w:bCs w:val="0"/>
          <w:i w:val="0"/>
          <w:iCs w:val="0"/>
          <w:noProof w:val="0"/>
          <w:color w:val="auto"/>
          <w:sz w:val="22"/>
          <w:szCs w:val="22"/>
          <w:lang w:val="en-GB"/>
        </w:rPr>
        <w:t>car, the</w:t>
      </w:r>
      <w:r w:rsidRPr="06890F77" w:rsidR="342A383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acts of the </w:t>
      </w:r>
      <w:r w:rsidRPr="06890F77" w:rsidR="78B181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victim were reasonable and did not </w:t>
      </w:r>
      <w:r w:rsidRPr="06890F77" w:rsidR="78B181B0">
        <w:rPr>
          <w:rFonts w:ascii="Calibri" w:hAnsi="Calibri" w:eastAsia="Calibri" w:cs="Calibri" w:asciiTheme="minorAscii" w:hAnsiTheme="minorAscii" w:eastAsiaTheme="minorAscii" w:cstheme="minorAscii"/>
          <w:b w:val="0"/>
          <w:bCs w:val="0"/>
          <w:i w:val="0"/>
          <w:iCs w:val="0"/>
          <w:noProof w:val="0"/>
          <w:color w:val="auto"/>
          <w:sz w:val="22"/>
          <w:szCs w:val="22"/>
          <w:lang w:val="en-GB"/>
        </w:rPr>
        <w:t>amount</w:t>
      </w:r>
      <w:r w:rsidRPr="06890F77" w:rsidR="78B181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to a novus actus.</w:t>
      </w:r>
      <w:r w:rsidRPr="06890F77" w:rsidR="78B181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DF50638">
        <w:rPr>
          <w:rFonts w:ascii="Calibri" w:hAnsi="Calibri" w:eastAsia="Calibri" w:cs="Calibri" w:asciiTheme="minorAscii" w:hAnsiTheme="minorAscii" w:eastAsiaTheme="minorAscii" w:cstheme="minorAscii"/>
          <w:b w:val="0"/>
          <w:bCs w:val="0"/>
          <w:i w:val="0"/>
          <w:iCs w:val="0"/>
          <w:noProof w:val="0"/>
          <w:color w:val="auto"/>
          <w:sz w:val="22"/>
          <w:szCs w:val="22"/>
          <w:lang w:val="en-GB"/>
        </w:rPr>
        <w:t>(Thomas,</w:t>
      </w:r>
      <w:r w:rsidRPr="06890F77" w:rsidR="3DF5063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M 2020) </w:t>
      </w:r>
      <w:r w:rsidRPr="06890F77" w:rsidR="288A57D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This case outlines how important the acts of the </w:t>
      </w:r>
      <w:r w:rsidRPr="06890F77" w:rsidR="546E97E5">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w:t>
      </w:r>
      <w:r w:rsidRPr="06890F77" w:rsidR="288A57D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are</w:t>
      </w:r>
      <w:r w:rsidRPr="06890F77" w:rsidR="4320B0D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the need for the claimant to act reasonable and just.</w:t>
      </w:r>
    </w:p>
    <w:p w:rsidR="719F3782" w:rsidP="06890F77" w:rsidRDefault="719F3782" w14:paraId="7F3BDA43" w14:textId="5FD1B38F">
      <w:pPr>
        <w:pStyle w:val="Normal"/>
        <w:ind w:left="0"/>
        <w:rPr>
          <w:rFonts w:ascii="Calibri" w:hAnsi="Calibri" w:eastAsia="Calibri" w:cs="Calibri" w:asciiTheme="minorAscii" w:hAnsiTheme="minorAscii" w:eastAsiaTheme="minorAscii" w:cstheme="minorAscii"/>
          <w:b w:val="0"/>
          <w:bCs w:val="0"/>
          <w:i w:val="1"/>
          <w:iCs w:val="1"/>
          <w:noProof w:val="0"/>
          <w:color w:val="auto"/>
          <w:sz w:val="22"/>
          <w:szCs w:val="22"/>
          <w:lang w:val="en-GB"/>
        </w:rPr>
      </w:pPr>
      <w:r w:rsidRPr="06890F77" w:rsidR="719F3782">
        <w:rPr>
          <w:rFonts w:ascii="Calibri" w:hAnsi="Calibri" w:eastAsia="Calibri" w:cs="Calibri" w:asciiTheme="minorAscii" w:hAnsiTheme="minorAscii" w:eastAsiaTheme="minorAscii" w:cstheme="minorAscii"/>
          <w:b w:val="0"/>
          <w:bCs w:val="0"/>
          <w:i w:val="0"/>
          <w:iCs w:val="0"/>
          <w:noProof w:val="0"/>
          <w:color w:val="auto"/>
          <w:sz w:val="22"/>
          <w:szCs w:val="22"/>
          <w:lang w:val="en-GB"/>
        </w:rPr>
        <w:t>If th</w:t>
      </w:r>
      <w:r w:rsidRPr="06890F77" w:rsidR="719F3782">
        <w:rPr>
          <w:rFonts w:ascii="Calibri" w:hAnsi="Calibri" w:eastAsia="Calibri" w:cs="Calibri" w:asciiTheme="minorAscii" w:hAnsiTheme="minorAscii" w:eastAsiaTheme="minorAscii" w:cstheme="minorAscii"/>
          <w:b w:val="0"/>
          <w:bCs w:val="0"/>
          <w:i w:val="0"/>
          <w:iCs w:val="0"/>
          <w:noProof w:val="0"/>
          <w:color w:val="auto"/>
          <w:sz w:val="22"/>
          <w:szCs w:val="22"/>
          <w:lang w:val="en-GB"/>
        </w:rPr>
        <w:t>e victim act</w:t>
      </w:r>
      <w:r w:rsidRPr="06890F77" w:rsidR="719F3782">
        <w:rPr>
          <w:rFonts w:ascii="Calibri" w:hAnsi="Calibri" w:eastAsia="Calibri" w:cs="Calibri" w:asciiTheme="minorAscii" w:hAnsiTheme="minorAscii" w:eastAsiaTheme="minorAscii" w:cstheme="minorAscii"/>
          <w:b w:val="0"/>
          <w:bCs w:val="0"/>
          <w:i w:val="0"/>
          <w:iCs w:val="0"/>
          <w:noProof w:val="0"/>
          <w:color w:val="auto"/>
          <w:sz w:val="22"/>
          <w:szCs w:val="22"/>
          <w:lang w:val="en-GB"/>
        </w:rPr>
        <w:t>s unreasonably in a certain situation in proportion with a threat, the co</w:t>
      </w:r>
      <w:r w:rsidRPr="06890F77" w:rsidR="5758407F">
        <w:rPr>
          <w:rFonts w:ascii="Calibri" w:hAnsi="Calibri" w:eastAsia="Calibri" w:cs="Calibri" w:asciiTheme="minorAscii" w:hAnsiTheme="minorAscii" w:eastAsiaTheme="minorAscii" w:cstheme="minorAscii"/>
          <w:b w:val="0"/>
          <w:bCs w:val="0"/>
          <w:i w:val="0"/>
          <w:iCs w:val="0"/>
          <w:noProof w:val="0"/>
          <w:color w:val="auto"/>
          <w:sz w:val="22"/>
          <w:szCs w:val="22"/>
          <w:lang w:val="en-GB"/>
        </w:rPr>
        <w:t>urts may hold a different outcome</w:t>
      </w:r>
      <w:r w:rsidRPr="06890F77" w:rsidR="5758407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6B59190D">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6B59190D">
        <w:rPr>
          <w:rFonts w:ascii="Calibri" w:hAnsi="Calibri" w:eastAsia="Calibri" w:cs="Calibri" w:asciiTheme="minorAscii" w:hAnsiTheme="minorAscii" w:eastAsiaTheme="minorAscii" w:cstheme="minorAscii"/>
          <w:b w:val="0"/>
          <w:bCs w:val="0"/>
          <w:i w:val="1"/>
          <w:iCs w:val="1"/>
          <w:noProof w:val="0"/>
          <w:color w:val="auto"/>
          <w:sz w:val="22"/>
          <w:szCs w:val="22"/>
          <w:lang w:val="en-GB"/>
        </w:rPr>
        <w:t>O’Sullivan, J 2008)</w:t>
      </w:r>
      <w:r w:rsidRPr="06890F77" w:rsidR="6B59190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D11497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In </w:t>
      </w:r>
      <w:r w:rsidRPr="06890F77" w:rsidR="5758407F">
        <w:rPr>
          <w:rFonts w:ascii="Calibri" w:hAnsi="Calibri" w:eastAsia="Calibri" w:cs="Calibri" w:asciiTheme="minorAscii" w:hAnsiTheme="minorAscii" w:eastAsiaTheme="minorAscii" w:cstheme="minorAscii"/>
          <w:b w:val="0"/>
          <w:bCs w:val="0"/>
          <w:i w:val="1"/>
          <w:iCs w:val="1"/>
          <w:noProof w:val="0"/>
          <w:color w:val="auto"/>
          <w:sz w:val="22"/>
          <w:szCs w:val="22"/>
          <w:lang w:val="en-GB"/>
        </w:rPr>
        <w:t>R v Williams &amp; Davis [1992] Crim LR 198</w:t>
      </w:r>
      <w:r w:rsidRPr="06890F77" w:rsidR="57F2C989">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35E1775C">
        <w:rPr>
          <w:rFonts w:ascii="Calibri" w:hAnsi="Calibri" w:eastAsia="Calibri" w:cs="Calibri" w:asciiTheme="minorAscii" w:hAnsiTheme="minorAscii" w:eastAsiaTheme="minorAscii" w:cstheme="minorAscii"/>
          <w:b w:val="0"/>
          <w:bCs w:val="0"/>
          <w:i w:val="0"/>
          <w:iCs w:val="0"/>
          <w:noProof w:val="0"/>
          <w:color w:val="auto"/>
          <w:sz w:val="22"/>
          <w:szCs w:val="22"/>
          <w:lang w:val="en-GB"/>
        </w:rPr>
        <w:t>the victim jumped from a travelling</w:t>
      </w:r>
      <w:r w:rsidRPr="06890F77" w:rsidR="35E1775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car to prevent the </w:t>
      </w:r>
      <w:r w:rsidRPr="06890F77" w:rsidR="5B08A146">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w:t>
      </w:r>
      <w:r w:rsidRPr="06890F77" w:rsidR="35E1775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robb</w:t>
      </w:r>
      <w:r w:rsidRPr="06890F77" w:rsidR="54A20AE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ing him. As a result of the injuries, he </w:t>
      </w:r>
      <w:r w:rsidRPr="06890F77" w:rsidR="1F7B6C6A">
        <w:rPr>
          <w:rFonts w:ascii="Calibri" w:hAnsi="Calibri" w:eastAsia="Calibri" w:cs="Calibri" w:asciiTheme="minorAscii" w:hAnsiTheme="minorAscii" w:eastAsiaTheme="minorAscii" w:cstheme="minorAscii"/>
          <w:b w:val="0"/>
          <w:bCs w:val="0"/>
          <w:i w:val="0"/>
          <w:iCs w:val="0"/>
          <w:noProof w:val="0"/>
          <w:color w:val="auto"/>
          <w:sz w:val="22"/>
          <w:szCs w:val="22"/>
          <w:lang w:val="en-GB"/>
        </w:rPr>
        <w:t>died</w:t>
      </w:r>
      <w:r w:rsidRPr="06890F77" w:rsidR="54A20AE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leaving important questions about the </w:t>
      </w:r>
      <w:r w:rsidRPr="06890F77" w:rsidR="54A20AE2">
        <w:rPr>
          <w:rFonts w:ascii="Calibri" w:hAnsi="Calibri" w:eastAsia="Calibri" w:cs="Calibri" w:asciiTheme="minorAscii" w:hAnsiTheme="minorAscii" w:eastAsiaTheme="minorAscii" w:cstheme="minorAscii"/>
          <w:b w:val="0"/>
          <w:bCs w:val="0"/>
          <w:i w:val="0"/>
          <w:iCs w:val="0"/>
          <w:noProof w:val="0"/>
          <w:color w:val="auto"/>
          <w:sz w:val="22"/>
          <w:szCs w:val="22"/>
          <w:lang w:val="en-GB"/>
        </w:rPr>
        <w:t>magnitude</w:t>
      </w:r>
      <w:r w:rsidRPr="06890F77" w:rsidR="54A20AE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of the threat. </w:t>
      </w:r>
      <w:r w:rsidRPr="06890F77" w:rsidR="6650680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Stuart Smith LJ- </w:t>
      </w:r>
      <w:r w:rsidRPr="06890F77" w:rsidR="66506806">
        <w:rPr>
          <w:rFonts w:ascii="Calibri" w:hAnsi="Calibri" w:eastAsia="Calibri" w:cs="Calibri" w:asciiTheme="minorAscii" w:hAnsiTheme="minorAscii" w:eastAsiaTheme="minorAscii" w:cstheme="minorAscii"/>
          <w:b w:val="0"/>
          <w:bCs w:val="0"/>
          <w:i w:val="1"/>
          <w:iCs w:val="1"/>
          <w:noProof w:val="0"/>
          <w:color w:val="auto"/>
          <w:sz w:val="22"/>
          <w:szCs w:val="22"/>
          <w:lang w:val="en-GB"/>
        </w:rPr>
        <w:t>ambit of reasonableness</w:t>
      </w:r>
      <w:r w:rsidRPr="06890F77" w:rsidR="2AD7B17A">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292A3638">
        <w:rPr>
          <w:rFonts w:ascii="Calibri" w:hAnsi="Calibri" w:eastAsia="Calibri" w:cs="Calibri" w:asciiTheme="minorAscii" w:hAnsiTheme="minorAscii" w:eastAsiaTheme="minorAscii" w:cstheme="minorAscii"/>
          <w:b w:val="0"/>
          <w:bCs w:val="0"/>
          <w:i w:val="0"/>
          <w:iCs w:val="0"/>
          <w:noProof w:val="0"/>
          <w:color w:val="auto"/>
          <w:sz w:val="22"/>
          <w:szCs w:val="22"/>
          <w:lang w:val="en-GB"/>
        </w:rPr>
        <w:t>The defendants were found not guilty. The o</w:t>
      </w:r>
      <w:r w:rsidRPr="06890F77" w:rsidR="66506806">
        <w:rPr>
          <w:rFonts w:ascii="Calibri" w:hAnsi="Calibri" w:eastAsia="Calibri" w:cs="Calibri" w:asciiTheme="minorAscii" w:hAnsiTheme="minorAscii" w:eastAsiaTheme="minorAscii" w:cstheme="minorAscii"/>
          <w:b w:val="0"/>
          <w:bCs w:val="0"/>
          <w:i w:val="0"/>
          <w:iCs w:val="0"/>
          <w:noProof w:val="0"/>
          <w:color w:val="auto"/>
          <w:sz w:val="22"/>
          <w:szCs w:val="22"/>
          <w:lang w:val="en-GB"/>
        </w:rPr>
        <w:t>utcome differe</w:t>
      </w:r>
      <w:r w:rsidRPr="06890F77" w:rsidR="52B6B2B8">
        <w:rPr>
          <w:rFonts w:ascii="Calibri" w:hAnsi="Calibri" w:eastAsia="Calibri" w:cs="Calibri" w:asciiTheme="minorAscii" w:hAnsiTheme="minorAscii" w:eastAsiaTheme="minorAscii" w:cstheme="minorAscii"/>
          <w:b w:val="0"/>
          <w:bCs w:val="0"/>
          <w:i w:val="0"/>
          <w:iCs w:val="0"/>
          <w:noProof w:val="0"/>
          <w:color w:val="auto"/>
          <w:sz w:val="22"/>
          <w:szCs w:val="22"/>
          <w:lang w:val="en-GB"/>
        </w:rPr>
        <w:t>d</w:t>
      </w:r>
      <w:r w:rsidRPr="06890F77" w:rsidR="6650680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to other cases</w:t>
      </w:r>
      <w:r w:rsidRPr="06890F77" w:rsidR="0B8991C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showed that the test of reasonableness is subjective and set to change.</w:t>
      </w:r>
      <w:r w:rsidRPr="06890F77" w:rsidR="408A66F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What ma</w:t>
      </w:r>
      <w:r w:rsidRPr="06890F77" w:rsidR="4D5793C4">
        <w:rPr>
          <w:rFonts w:ascii="Calibri" w:hAnsi="Calibri" w:eastAsia="Calibri" w:cs="Calibri" w:asciiTheme="minorAscii" w:hAnsiTheme="minorAscii" w:eastAsiaTheme="minorAscii" w:cstheme="minorAscii"/>
          <w:b w:val="0"/>
          <w:bCs w:val="0"/>
          <w:i w:val="0"/>
          <w:iCs w:val="0"/>
          <w:noProof w:val="0"/>
          <w:color w:val="auto"/>
          <w:sz w:val="22"/>
          <w:szCs w:val="22"/>
          <w:lang w:val="en-GB"/>
        </w:rPr>
        <w:t>y</w:t>
      </w:r>
      <w:r w:rsidRPr="06890F77" w:rsidR="408A66F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have been considered is the victims state of mind. He had to </w:t>
      </w:r>
      <w:r w:rsidRPr="06890F77" w:rsidR="565DDB7B">
        <w:rPr>
          <w:rFonts w:ascii="Calibri" w:hAnsi="Calibri" w:eastAsia="Calibri" w:cs="Calibri" w:asciiTheme="minorAscii" w:hAnsiTheme="minorAscii" w:eastAsiaTheme="minorAscii" w:cstheme="minorAscii"/>
          <w:b w:val="0"/>
          <w:bCs w:val="0"/>
          <w:i w:val="0"/>
          <w:iCs w:val="0"/>
          <w:noProof w:val="0"/>
          <w:color w:val="auto"/>
          <w:sz w:val="22"/>
          <w:szCs w:val="22"/>
          <w:lang w:val="en-GB"/>
        </w:rPr>
        <w:t>evaluate</w:t>
      </w:r>
      <w:r w:rsidRPr="06890F77" w:rsidR="408A66F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what might </w:t>
      </w:r>
      <w:r w:rsidRPr="06890F77" w:rsidR="40769B09">
        <w:rPr>
          <w:rFonts w:ascii="Calibri" w:hAnsi="Calibri" w:eastAsia="Calibri" w:cs="Calibri" w:asciiTheme="minorAscii" w:hAnsiTheme="minorAscii" w:eastAsiaTheme="minorAscii" w:cstheme="minorAscii"/>
          <w:b w:val="0"/>
          <w:bCs w:val="0"/>
          <w:i w:val="0"/>
          <w:iCs w:val="0"/>
          <w:noProof w:val="0"/>
          <w:color w:val="auto"/>
          <w:sz w:val="22"/>
          <w:szCs w:val="22"/>
          <w:lang w:val="en-GB"/>
        </w:rPr>
        <w:t>have</w:t>
      </w:r>
      <w:r w:rsidRPr="06890F77" w:rsidR="408A66F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happened if he stayed </w:t>
      </w:r>
      <w:r w:rsidRPr="06890F77" w:rsidR="6E05212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or escaped this situation. </w:t>
      </w:r>
      <w:r w:rsidRPr="06890F77" w:rsidR="75F3943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So, there might be </w:t>
      </w:r>
      <w:r w:rsidRPr="06890F77" w:rsidR="75F3943E">
        <w:rPr>
          <w:rFonts w:ascii="Calibri" w:hAnsi="Calibri" w:eastAsia="Calibri" w:cs="Calibri" w:asciiTheme="minorAscii" w:hAnsiTheme="minorAscii" w:eastAsiaTheme="minorAscii" w:cstheme="minorAscii"/>
          <w:b w:val="0"/>
          <w:bCs w:val="0"/>
          <w:i w:val="0"/>
          <w:iCs w:val="0"/>
          <w:noProof w:val="0"/>
          <w:color w:val="auto"/>
          <w:sz w:val="22"/>
          <w:szCs w:val="22"/>
          <w:lang w:val="en-GB"/>
        </w:rPr>
        <w:t>criticisms</w:t>
      </w:r>
      <w:r w:rsidRPr="06890F77" w:rsidR="75F3943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of the court in the sense that the victim believed he was in such danger that the only act he could try was escaping. </w:t>
      </w:r>
      <w:r w:rsidRPr="06890F77" w:rsidR="756A90FE">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R v Blaue [1975] 1 WLR 1411 </w:t>
      </w:r>
      <w:r w:rsidRPr="06890F77" w:rsidR="756A90F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established </w:t>
      </w:r>
      <w:r w:rsidRPr="06890F77" w:rsidR="756A90FE">
        <w:rPr>
          <w:rFonts w:ascii="Calibri" w:hAnsi="Calibri" w:eastAsia="Calibri" w:cs="Calibri" w:asciiTheme="minorAscii" w:hAnsiTheme="minorAscii" w:eastAsiaTheme="minorAscii" w:cstheme="minorAscii"/>
          <w:b w:val="0"/>
          <w:bCs w:val="0"/>
          <w:i w:val="1"/>
          <w:iCs w:val="1"/>
          <w:noProof w:val="0"/>
          <w:color w:val="auto"/>
          <w:sz w:val="22"/>
          <w:szCs w:val="22"/>
          <w:lang w:val="en-GB"/>
        </w:rPr>
        <w:t>‘you must take your victim</w:t>
      </w:r>
      <w:r w:rsidRPr="06890F77" w:rsidR="081A2209">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as you find them’. </w:t>
      </w:r>
      <w:r w:rsidRPr="06890F77" w:rsidR="3022CDC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Concluded that the defendant was responsible for death of victim. </w:t>
      </w:r>
      <w:r w:rsidRPr="06890F77" w:rsidR="2B3B5226">
        <w:rPr>
          <w:rFonts w:ascii="Calibri" w:hAnsi="Calibri" w:eastAsia="Calibri" w:cs="Calibri" w:asciiTheme="minorAscii" w:hAnsiTheme="minorAscii" w:eastAsiaTheme="minorAscii" w:cstheme="minorAscii"/>
          <w:b w:val="0"/>
          <w:bCs w:val="0"/>
          <w:i w:val="0"/>
          <w:iCs w:val="0"/>
          <w:noProof w:val="0"/>
          <w:color w:val="auto"/>
          <w:sz w:val="22"/>
          <w:szCs w:val="22"/>
          <w:lang w:val="en-GB"/>
        </w:rPr>
        <w:t>Each</w:t>
      </w:r>
      <w:r w:rsidRPr="06890F77" w:rsidR="2B3B522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case is different so you must carefully regard the actions and intentions of both parties to ensure fairness. </w:t>
      </w:r>
    </w:p>
    <w:p w:rsidR="1FCB47D1" w:rsidP="06890F77" w:rsidRDefault="1FCB47D1" w14:paraId="4E65048B" w14:textId="1546181F">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1FCB47D1">
        <w:rPr>
          <w:rFonts w:ascii="Calibri" w:hAnsi="Calibri" w:eastAsia="Calibri" w:cs="Calibri" w:asciiTheme="minorAscii" w:hAnsiTheme="minorAscii" w:eastAsiaTheme="minorAscii" w:cstheme="minorAscii"/>
          <w:b w:val="0"/>
          <w:bCs w:val="0"/>
          <w:i w:val="0"/>
          <w:iCs w:val="0"/>
          <w:noProof w:val="0"/>
          <w:color w:val="auto"/>
          <w:sz w:val="22"/>
          <w:szCs w:val="22"/>
          <w:lang w:val="en-GB"/>
        </w:rPr>
        <w:t>The actions of a third party m</w:t>
      </w:r>
      <w:r w:rsidRPr="06890F77" w:rsidR="1FCB47D1">
        <w:rPr>
          <w:rFonts w:ascii="Calibri" w:hAnsi="Calibri" w:eastAsia="Calibri" w:cs="Calibri" w:asciiTheme="minorAscii" w:hAnsiTheme="minorAscii" w:eastAsiaTheme="minorAscii" w:cstheme="minorAscii"/>
          <w:b w:val="0"/>
          <w:bCs w:val="0"/>
          <w:i w:val="0"/>
          <w:iCs w:val="0"/>
          <w:noProof w:val="0"/>
          <w:color w:val="auto"/>
          <w:sz w:val="22"/>
          <w:szCs w:val="22"/>
          <w:lang w:val="en-GB"/>
        </w:rPr>
        <w:t>ay be c</w:t>
      </w:r>
      <w:r w:rsidRPr="06890F77" w:rsidR="1FCB47D1">
        <w:rPr>
          <w:rFonts w:ascii="Calibri" w:hAnsi="Calibri" w:eastAsia="Calibri" w:cs="Calibri" w:asciiTheme="minorAscii" w:hAnsiTheme="minorAscii" w:eastAsiaTheme="minorAscii" w:cstheme="minorAscii"/>
          <w:b w:val="0"/>
          <w:bCs w:val="0"/>
          <w:i w:val="0"/>
          <w:iCs w:val="0"/>
          <w:noProof w:val="0"/>
          <w:color w:val="auto"/>
          <w:sz w:val="22"/>
          <w:szCs w:val="22"/>
          <w:lang w:val="en-GB"/>
        </w:rPr>
        <w:t>onsidere</w:t>
      </w:r>
      <w:r w:rsidRPr="06890F77" w:rsidR="1FCB47D1">
        <w:rPr>
          <w:rFonts w:ascii="Calibri" w:hAnsi="Calibri" w:eastAsia="Calibri" w:cs="Calibri" w:asciiTheme="minorAscii" w:hAnsiTheme="minorAscii" w:eastAsiaTheme="minorAscii" w:cstheme="minorAscii"/>
          <w:b w:val="0"/>
          <w:bCs w:val="0"/>
          <w:i w:val="0"/>
          <w:iCs w:val="0"/>
          <w:noProof w:val="0"/>
          <w:color w:val="auto"/>
          <w:sz w:val="22"/>
          <w:szCs w:val="22"/>
          <w:lang w:val="en-GB"/>
        </w:rPr>
        <w:t>d</w:t>
      </w:r>
      <w:r w:rsidRPr="06890F77" w:rsidR="1FCB47D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evaluating the chain of causation. </w:t>
      </w:r>
      <w:r w:rsidRPr="06890F77" w:rsidR="0B991BAD">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0B991BAD">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Hodgson, D 2016) </w:t>
      </w:r>
      <w:r w:rsidRPr="06890F77" w:rsidR="7F1DBA6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intervention must have been one likely to happen. </w:t>
      </w:r>
      <w:r w:rsidRPr="06890F77" w:rsidR="711FBE0C">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711FBE0C">
        <w:rPr>
          <w:rFonts w:ascii="Calibri" w:hAnsi="Calibri" w:eastAsia="Calibri" w:cs="Calibri" w:asciiTheme="minorAscii" w:hAnsiTheme="minorAscii" w:eastAsiaTheme="minorAscii" w:cstheme="minorAscii"/>
          <w:b w:val="0"/>
          <w:bCs w:val="0"/>
          <w:i w:val="1"/>
          <w:iCs w:val="1"/>
          <w:noProof w:val="0"/>
          <w:color w:val="auto"/>
          <w:sz w:val="22"/>
          <w:szCs w:val="22"/>
          <w:lang w:val="en-GB"/>
        </w:rPr>
        <w:t>Home Office v Dorset Yacht Co Ltd [1970] UKHL 2, [1970</w:t>
      </w:r>
      <w:r w:rsidRPr="06890F77" w:rsidR="2AA90154">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2AA90154">
        <w:rPr>
          <w:rFonts w:ascii="Calibri" w:hAnsi="Calibri" w:eastAsia="Calibri" w:cs="Calibri" w:asciiTheme="minorAscii" w:hAnsiTheme="minorAscii" w:eastAsiaTheme="minorAscii" w:cstheme="minorAscii"/>
          <w:b w:val="0"/>
          <w:bCs w:val="0"/>
          <w:i w:val="0"/>
          <w:iCs w:val="0"/>
          <w:noProof w:val="0"/>
          <w:color w:val="auto"/>
          <w:sz w:val="22"/>
          <w:szCs w:val="22"/>
          <w:lang w:val="en-GB"/>
        </w:rPr>
        <w:t>This</w:t>
      </w:r>
      <w:r w:rsidRPr="06890F77" w:rsidR="6C12553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case </w:t>
      </w:r>
      <w:r w:rsidRPr="06890F77" w:rsidR="54735ABC">
        <w:rPr>
          <w:rFonts w:ascii="Calibri" w:hAnsi="Calibri" w:eastAsia="Calibri" w:cs="Calibri" w:asciiTheme="minorAscii" w:hAnsiTheme="minorAscii" w:eastAsiaTheme="minorAscii" w:cstheme="minorAscii"/>
          <w:b w:val="0"/>
          <w:bCs w:val="0"/>
          <w:i w:val="0"/>
          <w:iCs w:val="0"/>
          <w:noProof w:val="0"/>
          <w:color w:val="auto"/>
          <w:sz w:val="22"/>
          <w:szCs w:val="22"/>
          <w:lang w:val="en-GB"/>
        </w:rPr>
        <w:t>demonstrated</w:t>
      </w:r>
      <w:r w:rsidRPr="06890F77" w:rsidR="6C12553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that t</w:t>
      </w:r>
      <w:r w:rsidRPr="06890F77" w:rsidR="0FEC114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he party in the position of power must ensure a duty of care over </w:t>
      </w:r>
      <w:r w:rsidRPr="06890F77" w:rsidR="78DEBC59">
        <w:rPr>
          <w:rFonts w:ascii="Calibri" w:hAnsi="Calibri" w:eastAsia="Calibri" w:cs="Calibri" w:asciiTheme="minorAscii" w:hAnsiTheme="minorAscii" w:eastAsiaTheme="minorAscii" w:cstheme="minorAscii"/>
          <w:b w:val="0"/>
          <w:bCs w:val="0"/>
          <w:i w:val="0"/>
          <w:iCs w:val="0"/>
          <w:noProof w:val="0"/>
          <w:color w:val="auto"/>
          <w:sz w:val="22"/>
          <w:szCs w:val="22"/>
          <w:lang w:val="en-GB"/>
        </w:rPr>
        <w:t>the</w:t>
      </w:r>
      <w:r w:rsidRPr="06890F77" w:rsidR="0FEC114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third party.</w:t>
      </w:r>
      <w:r w:rsidRPr="06890F77" w:rsidR="4247FBD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4247FBD4">
        <w:rPr>
          <w:rFonts w:ascii="Calibri" w:hAnsi="Calibri" w:eastAsia="Calibri" w:cs="Calibri" w:asciiTheme="minorAscii" w:hAnsiTheme="minorAscii" w:eastAsiaTheme="minorAscii" w:cstheme="minorAscii"/>
          <w:b w:val="0"/>
          <w:bCs w:val="0"/>
          <w:i w:val="0"/>
          <w:iCs w:val="0"/>
          <w:noProof w:val="0"/>
          <w:color w:val="auto"/>
          <w:sz w:val="22"/>
          <w:szCs w:val="22"/>
          <w:lang w:val="en-GB"/>
        </w:rPr>
        <w:t>Failing to d</w:t>
      </w:r>
      <w:r w:rsidRPr="06890F77" w:rsidR="4247FBD4">
        <w:rPr>
          <w:rFonts w:ascii="Calibri" w:hAnsi="Calibri" w:eastAsia="Calibri" w:cs="Calibri" w:asciiTheme="minorAscii" w:hAnsiTheme="minorAscii" w:eastAsiaTheme="minorAscii" w:cstheme="minorAscii"/>
          <w:b w:val="0"/>
          <w:bCs w:val="0"/>
          <w:i w:val="0"/>
          <w:iCs w:val="0"/>
          <w:noProof w:val="0"/>
          <w:color w:val="auto"/>
          <w:sz w:val="22"/>
          <w:szCs w:val="22"/>
          <w:lang w:val="en-GB"/>
        </w:rPr>
        <w:t>o</w:t>
      </w:r>
      <w:r w:rsidRPr="06890F77" w:rsidR="4247FBD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so, </w:t>
      </w:r>
      <w:r w:rsidRPr="06890F77" w:rsidR="219A6E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its </w:t>
      </w:r>
      <w:r w:rsidRPr="06890F77" w:rsidR="1A71442D">
        <w:rPr>
          <w:rFonts w:ascii="Calibri" w:hAnsi="Calibri" w:eastAsia="Calibri" w:cs="Calibri" w:asciiTheme="minorAscii" w:hAnsiTheme="minorAscii" w:eastAsiaTheme="minorAscii" w:cstheme="minorAscii"/>
          <w:b w:val="0"/>
          <w:bCs w:val="0"/>
          <w:i w:val="0"/>
          <w:iCs w:val="0"/>
          <w:noProof w:val="0"/>
          <w:color w:val="auto"/>
          <w:sz w:val="22"/>
          <w:szCs w:val="22"/>
          <w:lang w:val="en-GB"/>
        </w:rPr>
        <w:t>pr</w:t>
      </w:r>
      <w:r w:rsidRPr="06890F77" w:rsidR="1A71442D">
        <w:rPr>
          <w:rFonts w:ascii="Calibri" w:hAnsi="Calibri" w:eastAsia="Calibri" w:cs="Calibri" w:asciiTheme="minorAscii" w:hAnsiTheme="minorAscii" w:eastAsiaTheme="minorAscii" w:cstheme="minorAscii"/>
          <w:b w:val="0"/>
          <w:bCs w:val="0"/>
          <w:i w:val="0"/>
          <w:iCs w:val="0"/>
          <w:noProof w:val="0"/>
          <w:color w:val="auto"/>
          <w:sz w:val="22"/>
          <w:szCs w:val="22"/>
          <w:lang w:val="en-GB"/>
        </w:rPr>
        <w:t>edictable</w:t>
      </w:r>
      <w:r w:rsidRPr="06890F77" w:rsidR="219A6E6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that harm may result from their passivity. </w:t>
      </w:r>
      <w:r w:rsidRPr="06890F77" w:rsidR="1965B77C">
        <w:rPr>
          <w:rFonts w:ascii="Calibri" w:hAnsi="Calibri" w:eastAsia="Calibri" w:cs="Calibri" w:asciiTheme="minorAscii" w:hAnsiTheme="minorAscii" w:eastAsiaTheme="minorAscii" w:cstheme="minorAscii"/>
          <w:b w:val="0"/>
          <w:bCs w:val="0"/>
          <w:i w:val="0"/>
          <w:iCs w:val="0"/>
          <w:noProof w:val="0"/>
          <w:color w:val="auto"/>
          <w:sz w:val="22"/>
          <w:szCs w:val="22"/>
          <w:lang w:val="en-GB"/>
        </w:rPr>
        <w:t>The issue here is too what measures must th</w:t>
      </w:r>
      <w:r w:rsidRPr="06890F77" w:rsidR="1965B77C">
        <w:rPr>
          <w:rFonts w:ascii="Calibri" w:hAnsi="Calibri" w:eastAsia="Calibri" w:cs="Calibri" w:asciiTheme="minorAscii" w:hAnsiTheme="minorAscii" w:eastAsiaTheme="minorAscii" w:cstheme="minorAscii"/>
          <w:b w:val="0"/>
          <w:bCs w:val="0"/>
          <w:i w:val="0"/>
          <w:iCs w:val="0"/>
          <w:noProof w:val="0"/>
          <w:color w:val="auto"/>
          <w:sz w:val="22"/>
          <w:szCs w:val="22"/>
          <w:lang w:val="en-GB"/>
        </w:rPr>
        <w:t>e party in co</w:t>
      </w:r>
      <w:r w:rsidRPr="06890F77" w:rsidR="1965B77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ntrol take, to satisfy that they have acted with due </w:t>
      </w:r>
      <w:r w:rsidRPr="06890F77" w:rsidR="72EEE4A8">
        <w:rPr>
          <w:rFonts w:ascii="Calibri" w:hAnsi="Calibri" w:eastAsia="Calibri" w:cs="Calibri" w:asciiTheme="minorAscii" w:hAnsiTheme="minorAscii" w:eastAsiaTheme="minorAscii" w:cstheme="minorAscii"/>
          <w:b w:val="0"/>
          <w:bCs w:val="0"/>
          <w:i w:val="0"/>
          <w:iCs w:val="0"/>
          <w:noProof w:val="0"/>
          <w:color w:val="auto"/>
          <w:sz w:val="22"/>
          <w:szCs w:val="22"/>
          <w:lang w:val="en-GB"/>
        </w:rPr>
        <w:t>diligence</w:t>
      </w:r>
      <w:r w:rsidRPr="06890F77" w:rsidR="1965B77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care.</w:t>
      </w:r>
      <w:r w:rsidRPr="06890F77" w:rsidR="6A7792E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62CDDE2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On whom should the risk of negligence fall? Lord Denning MR concluded that </w:t>
      </w:r>
      <w:r w:rsidRPr="06890F77" w:rsidR="1B0C2CF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public policy should be applied because negligence has </w:t>
      </w:r>
      <w:r w:rsidRPr="06890F77" w:rsidR="1B0C2CF1">
        <w:rPr>
          <w:rFonts w:ascii="Calibri" w:hAnsi="Calibri" w:eastAsia="Calibri" w:cs="Calibri" w:asciiTheme="minorAscii" w:hAnsiTheme="minorAscii" w:eastAsiaTheme="minorAscii" w:cstheme="minorAscii"/>
          <w:b w:val="0"/>
          <w:bCs w:val="0"/>
          <w:i w:val="1"/>
          <w:iCs w:val="1"/>
          <w:noProof w:val="0"/>
          <w:color w:val="auto"/>
          <w:sz w:val="22"/>
          <w:szCs w:val="22"/>
          <w:lang w:val="en-GB"/>
        </w:rPr>
        <w:t>‘Up till now it has fallen on the innocent victim’</w:t>
      </w:r>
      <w:r w:rsidRPr="06890F77" w:rsidR="1B0C2CF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755136B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There </w:t>
      </w:r>
      <w:r w:rsidRPr="06890F77" w:rsidR="762931FD">
        <w:rPr>
          <w:rFonts w:ascii="Calibri" w:hAnsi="Calibri" w:eastAsia="Calibri" w:cs="Calibri" w:asciiTheme="minorAscii" w:hAnsiTheme="minorAscii" w:eastAsiaTheme="minorAscii" w:cstheme="minorAscii"/>
          <w:b w:val="0"/>
          <w:bCs w:val="0"/>
          <w:i w:val="0"/>
          <w:iCs w:val="0"/>
          <w:noProof w:val="0"/>
          <w:color w:val="auto"/>
          <w:sz w:val="22"/>
          <w:szCs w:val="22"/>
          <w:lang w:val="en-GB"/>
        </w:rPr>
        <w:t>were</w:t>
      </w:r>
      <w:r w:rsidRPr="06890F77" w:rsidR="755136B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previously distinct differences in approaches to public bodies, but development suggests that more and more </w:t>
      </w:r>
      <w:r w:rsidRPr="06890F77" w:rsidR="0800C7C4">
        <w:rPr>
          <w:rFonts w:ascii="Calibri" w:hAnsi="Calibri" w:eastAsia="Calibri" w:cs="Calibri" w:asciiTheme="minorAscii" w:hAnsiTheme="minorAscii" w:eastAsiaTheme="minorAscii" w:cstheme="minorAscii"/>
          <w:b w:val="0"/>
          <w:bCs w:val="0"/>
          <w:i w:val="0"/>
          <w:iCs w:val="0"/>
          <w:noProof w:val="0"/>
          <w:color w:val="auto"/>
          <w:sz w:val="22"/>
          <w:szCs w:val="22"/>
          <w:lang w:val="en-GB"/>
        </w:rPr>
        <w:t>responsibility</w:t>
      </w:r>
      <w:r w:rsidRPr="06890F77" w:rsidR="755136B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755136B9">
        <w:rPr>
          <w:rFonts w:ascii="Calibri" w:hAnsi="Calibri" w:eastAsia="Calibri" w:cs="Calibri" w:asciiTheme="minorAscii" w:hAnsiTheme="minorAscii" w:eastAsiaTheme="minorAscii" w:cstheme="minorAscii"/>
          <w:b w:val="0"/>
          <w:bCs w:val="0"/>
          <w:i w:val="0"/>
          <w:iCs w:val="0"/>
          <w:noProof w:val="0"/>
          <w:color w:val="auto"/>
          <w:sz w:val="22"/>
          <w:szCs w:val="22"/>
          <w:lang w:val="en-GB"/>
        </w:rPr>
        <w:t>is being placed on such services.</w:t>
      </w:r>
    </w:p>
    <w:p w:rsidR="4138745A" w:rsidP="06890F77" w:rsidRDefault="4138745A" w14:paraId="72F2E088" w14:textId="3457B031">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4138745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Another case which </w:t>
      </w:r>
      <w:r w:rsidRPr="06890F77" w:rsidR="4138745A">
        <w:rPr>
          <w:rFonts w:ascii="Calibri" w:hAnsi="Calibri" w:eastAsia="Calibri" w:cs="Calibri" w:asciiTheme="minorAscii" w:hAnsiTheme="minorAscii" w:eastAsiaTheme="minorAscii" w:cstheme="minorAscii"/>
          <w:b w:val="0"/>
          <w:bCs w:val="0"/>
          <w:i w:val="0"/>
          <w:iCs w:val="0"/>
          <w:noProof w:val="0"/>
          <w:color w:val="auto"/>
          <w:sz w:val="22"/>
          <w:szCs w:val="22"/>
          <w:lang w:val="en-GB"/>
        </w:rPr>
        <w:t>demonstrates</w:t>
      </w:r>
      <w:r w:rsidRPr="06890F77" w:rsidR="4138745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break in the chain of causa</w:t>
      </w:r>
      <w:r w:rsidRPr="06890F77" w:rsidR="4138745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tion is </w:t>
      </w:r>
      <w:r w:rsidRPr="06890F77" w:rsidR="4138745A">
        <w:rPr>
          <w:rFonts w:ascii="Calibri" w:hAnsi="Calibri" w:eastAsia="Calibri" w:cs="Calibri" w:asciiTheme="minorAscii" w:hAnsiTheme="minorAscii" w:eastAsiaTheme="minorAscii" w:cstheme="minorAscii"/>
          <w:b w:val="0"/>
          <w:bCs w:val="0"/>
          <w:i w:val="1"/>
          <w:iCs w:val="1"/>
          <w:noProof w:val="0"/>
          <w:color w:val="auto"/>
          <w:sz w:val="22"/>
          <w:szCs w:val="22"/>
          <w:lang w:val="en-GB"/>
        </w:rPr>
        <w:t>Knig</w:t>
      </w:r>
      <w:r w:rsidRPr="06890F77" w:rsidR="4138745A">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htley v Johns &amp; Ors [1982]. </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Police service </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f</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ailed to</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sufficiently secure a tunnel after</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 car cr</w:t>
      </w:r>
      <w:r w:rsidRPr="06890F77" w:rsidR="1044197F">
        <w:rPr>
          <w:rFonts w:ascii="Calibri" w:hAnsi="Calibri" w:eastAsia="Calibri" w:cs="Calibri" w:asciiTheme="minorAscii" w:hAnsiTheme="minorAscii" w:eastAsiaTheme="minorAscii" w:cstheme="minorAscii"/>
          <w:b w:val="0"/>
          <w:bCs w:val="0"/>
          <w:i w:val="0"/>
          <w:iCs w:val="0"/>
          <w:noProof w:val="0"/>
          <w:color w:val="auto"/>
          <w:sz w:val="22"/>
          <w:szCs w:val="22"/>
          <w:lang w:val="en-GB"/>
        </w:rPr>
        <w:t>ash. As a re</w:t>
      </w:r>
      <w:r w:rsidRPr="06890F77" w:rsidR="3C396DA6">
        <w:rPr>
          <w:rFonts w:ascii="Calibri" w:hAnsi="Calibri" w:eastAsia="Calibri" w:cs="Calibri" w:asciiTheme="minorAscii" w:hAnsiTheme="minorAscii" w:eastAsiaTheme="minorAscii" w:cstheme="minorAscii"/>
          <w:b w:val="0"/>
          <w:bCs w:val="0"/>
          <w:i w:val="0"/>
          <w:iCs w:val="0"/>
          <w:noProof w:val="0"/>
          <w:color w:val="auto"/>
          <w:sz w:val="22"/>
          <w:szCs w:val="22"/>
          <w:lang w:val="en-GB"/>
        </w:rPr>
        <w:t>sult of trying to do so, one of the officers</w:t>
      </w:r>
      <w:r w:rsidRPr="06890F77" w:rsidR="7DBDBA4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(upon instruction)</w:t>
      </w:r>
      <w:r w:rsidRPr="06890F77" w:rsidR="3C396DA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DF03820">
        <w:rPr>
          <w:rFonts w:ascii="Calibri" w:hAnsi="Calibri" w:eastAsia="Calibri" w:cs="Calibri" w:asciiTheme="minorAscii" w:hAnsiTheme="minorAscii" w:eastAsiaTheme="minorAscii" w:cstheme="minorAscii"/>
          <w:b w:val="0"/>
          <w:bCs w:val="0"/>
          <w:i w:val="0"/>
          <w:iCs w:val="0"/>
          <w:noProof w:val="0"/>
          <w:color w:val="auto"/>
          <w:sz w:val="22"/>
          <w:szCs w:val="22"/>
          <w:lang w:val="en-GB"/>
        </w:rPr>
        <w:t>travelling</w:t>
      </w:r>
      <w:r w:rsidRPr="06890F77" w:rsidR="3C396DA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against the flow of traffic was </w:t>
      </w:r>
      <w:r w:rsidRPr="06890F77" w:rsidR="78FCAE1A">
        <w:rPr>
          <w:rFonts w:ascii="Calibri" w:hAnsi="Calibri" w:eastAsia="Calibri" w:cs="Calibri" w:asciiTheme="minorAscii" w:hAnsiTheme="minorAscii" w:eastAsiaTheme="minorAscii" w:cstheme="minorAscii"/>
          <w:b w:val="0"/>
          <w:bCs w:val="0"/>
          <w:i w:val="0"/>
          <w:iCs w:val="0"/>
          <w:noProof w:val="0"/>
          <w:color w:val="auto"/>
          <w:sz w:val="22"/>
          <w:szCs w:val="22"/>
          <w:lang w:val="en-GB"/>
        </w:rPr>
        <w:t>involved</w:t>
      </w:r>
      <w:r w:rsidRPr="06890F77" w:rsidR="3C396DA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an </w:t>
      </w:r>
      <w:r w:rsidRPr="06890F77" w:rsidR="75DFF5A0">
        <w:rPr>
          <w:rFonts w:ascii="Calibri" w:hAnsi="Calibri" w:eastAsia="Calibri" w:cs="Calibri" w:asciiTheme="minorAscii" w:hAnsiTheme="minorAscii" w:eastAsiaTheme="minorAscii" w:cstheme="minorAscii"/>
          <w:b w:val="0"/>
          <w:bCs w:val="0"/>
          <w:i w:val="0"/>
          <w:iCs w:val="0"/>
          <w:noProof w:val="0"/>
          <w:color w:val="auto"/>
          <w:sz w:val="22"/>
          <w:szCs w:val="22"/>
          <w:lang w:val="en-GB"/>
        </w:rPr>
        <w:t>accident. Would</w:t>
      </w:r>
      <w:r w:rsidRPr="06890F77" w:rsidR="3F1274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this instruction be </w:t>
      </w:r>
      <w:r w:rsidRPr="06890F77" w:rsidR="3F1274D9">
        <w:rPr>
          <w:rFonts w:ascii="Calibri" w:hAnsi="Calibri" w:eastAsia="Calibri" w:cs="Calibri" w:asciiTheme="minorAscii" w:hAnsiTheme="minorAscii" w:eastAsiaTheme="minorAscii" w:cstheme="minorAscii"/>
          <w:b w:val="0"/>
          <w:bCs w:val="0"/>
          <w:i w:val="0"/>
          <w:iCs w:val="0"/>
          <w:noProof w:val="0"/>
          <w:color w:val="auto"/>
          <w:sz w:val="22"/>
          <w:szCs w:val="22"/>
          <w:lang w:val="en-GB"/>
        </w:rPr>
        <w:t>d</w:t>
      </w:r>
      <w:r w:rsidRPr="06890F77" w:rsidR="3F1274D9">
        <w:rPr>
          <w:rFonts w:ascii="Calibri" w:hAnsi="Calibri" w:eastAsia="Calibri" w:cs="Calibri" w:asciiTheme="minorAscii" w:hAnsiTheme="minorAscii" w:eastAsiaTheme="minorAscii" w:cstheme="minorAscii"/>
          <w:b w:val="0"/>
          <w:bCs w:val="0"/>
          <w:i w:val="0"/>
          <w:iCs w:val="0"/>
          <w:noProof w:val="0"/>
          <w:color w:val="auto"/>
          <w:sz w:val="22"/>
          <w:szCs w:val="22"/>
          <w:lang w:val="en-GB"/>
        </w:rPr>
        <w:t>eemed</w:t>
      </w:r>
      <w:r w:rsidRPr="06890F77" w:rsidR="3F1274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F1274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an </w:t>
      </w:r>
      <w:r w:rsidRPr="06890F77" w:rsidR="3F1274D9">
        <w:rPr>
          <w:rFonts w:ascii="Calibri" w:hAnsi="Calibri" w:eastAsia="Calibri" w:cs="Calibri" w:asciiTheme="minorAscii" w:hAnsiTheme="minorAscii" w:eastAsiaTheme="minorAscii" w:cstheme="minorAscii"/>
          <w:b w:val="0"/>
          <w:bCs w:val="0"/>
          <w:i w:val="1"/>
          <w:iCs w:val="1"/>
          <w:noProof w:val="0"/>
          <w:color w:val="auto"/>
          <w:sz w:val="22"/>
          <w:szCs w:val="22"/>
          <w:lang w:val="en-GB"/>
        </w:rPr>
        <w:t>actus novus</w:t>
      </w:r>
      <w:r w:rsidRPr="06890F77" w:rsidR="3F1274D9">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w:t>
      </w:r>
      <w:r w:rsidRPr="06890F77" w:rsidR="5D520C49">
        <w:rPr>
          <w:rFonts w:ascii="Calibri" w:hAnsi="Calibri" w:eastAsia="Calibri" w:cs="Calibri" w:asciiTheme="minorAscii" w:hAnsiTheme="minorAscii" w:eastAsiaTheme="minorAscii" w:cstheme="minorAscii"/>
          <w:b w:val="0"/>
          <w:bCs w:val="0"/>
          <w:i w:val="0"/>
          <w:iCs w:val="0"/>
          <w:noProof w:val="0"/>
          <w:color w:val="auto"/>
          <w:sz w:val="22"/>
          <w:szCs w:val="22"/>
          <w:lang w:val="en-GB"/>
        </w:rPr>
        <w:t>decision</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conclude</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d that</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defendant was ne</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gligen</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t</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40AB3BD5">
        <w:rPr>
          <w:rFonts w:ascii="Calibri" w:hAnsi="Calibri" w:eastAsia="Calibri" w:cs="Calibri" w:asciiTheme="minorAscii" w:hAnsiTheme="minorAscii" w:eastAsiaTheme="minorAscii" w:cstheme="minorAscii"/>
          <w:b w:val="0"/>
          <w:bCs w:val="0"/>
          <w:i w:val="1"/>
          <w:iCs w:val="1"/>
          <w:noProof w:val="0"/>
          <w:color w:val="auto"/>
          <w:sz w:val="22"/>
          <w:szCs w:val="22"/>
          <w:lang w:val="en-GB"/>
        </w:rPr>
        <w:t>(Stephenson, G 2000)</w:t>
      </w:r>
      <w:r w:rsidRPr="06890F77" w:rsidR="40AB3BD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5FC662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main </w:t>
      </w:r>
      <w:r w:rsidRPr="06890F77" w:rsidR="3096A693">
        <w:rPr>
          <w:rFonts w:ascii="Calibri" w:hAnsi="Calibri" w:eastAsia="Calibri" w:cs="Calibri" w:asciiTheme="minorAscii" w:hAnsiTheme="minorAscii" w:eastAsiaTheme="minorAscii" w:cstheme="minorAscii"/>
          <w:b w:val="0"/>
          <w:bCs w:val="0"/>
          <w:i w:val="0"/>
          <w:iCs w:val="0"/>
          <w:noProof w:val="0"/>
          <w:color w:val="auto"/>
          <w:sz w:val="22"/>
          <w:szCs w:val="22"/>
          <w:lang w:val="en-GB"/>
        </w:rPr>
        <w:t>issue that would arise here, r</w:t>
      </w:r>
      <w:r w:rsidRPr="06890F77" w:rsidR="3096A69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egarding </w:t>
      </w:r>
      <w:r w:rsidRPr="06890F77" w:rsidR="3096A693">
        <w:rPr>
          <w:rFonts w:ascii="Calibri" w:hAnsi="Calibri" w:eastAsia="Calibri" w:cs="Calibri" w:asciiTheme="minorAscii" w:hAnsiTheme="minorAscii" w:eastAsiaTheme="minorAscii" w:cstheme="minorAscii"/>
          <w:b w:val="0"/>
          <w:bCs w:val="0"/>
          <w:i w:val="0"/>
          <w:iCs w:val="0"/>
          <w:noProof w:val="0"/>
          <w:color w:val="auto"/>
          <w:sz w:val="22"/>
          <w:szCs w:val="22"/>
          <w:lang w:val="en-GB"/>
        </w:rPr>
        <w:t>fairness could be the fact that em</w:t>
      </w:r>
      <w:r w:rsidRPr="06890F77" w:rsidR="3096A693">
        <w:rPr>
          <w:rFonts w:ascii="Calibri" w:hAnsi="Calibri" w:eastAsia="Calibri" w:cs="Calibri" w:asciiTheme="minorAscii" w:hAnsiTheme="minorAscii" w:eastAsiaTheme="minorAscii" w:cstheme="minorAscii"/>
          <w:b w:val="0"/>
          <w:bCs w:val="0"/>
          <w:i w:val="0"/>
          <w:iCs w:val="0"/>
          <w:noProof w:val="0"/>
          <w:color w:val="auto"/>
          <w:sz w:val="22"/>
          <w:szCs w:val="22"/>
          <w:lang w:val="en-GB"/>
        </w:rPr>
        <w:t>ergency r</w:t>
      </w:r>
      <w:r w:rsidRPr="06890F77" w:rsidR="3096A693">
        <w:rPr>
          <w:rFonts w:ascii="Calibri" w:hAnsi="Calibri" w:eastAsia="Calibri" w:cs="Calibri" w:asciiTheme="minorAscii" w:hAnsiTheme="minorAscii" w:eastAsiaTheme="minorAscii" w:cstheme="minorAscii"/>
          <w:b w:val="0"/>
          <w:bCs w:val="0"/>
          <w:i w:val="0"/>
          <w:iCs w:val="0"/>
          <w:noProof w:val="0"/>
          <w:color w:val="auto"/>
          <w:sz w:val="22"/>
          <w:szCs w:val="22"/>
          <w:lang w:val="en-GB"/>
        </w:rPr>
        <w:t>esponders attending a crash is foreseeable.</w:t>
      </w:r>
      <w:r w:rsidRPr="06890F77" w:rsidR="396FC1B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However, in this case it seems fair to uphold the instruction, as a negligent </w:t>
      </w:r>
      <w:r w:rsidRPr="06890F77" w:rsidR="396FC1B8">
        <w:rPr>
          <w:rFonts w:ascii="Calibri" w:hAnsi="Calibri" w:eastAsia="Calibri" w:cs="Calibri" w:asciiTheme="minorAscii" w:hAnsiTheme="minorAscii" w:eastAsiaTheme="minorAscii" w:cstheme="minorAscii"/>
          <w:b w:val="0"/>
          <w:bCs w:val="0"/>
          <w:i w:val="0"/>
          <w:iCs w:val="0"/>
          <w:noProof w:val="0"/>
          <w:color w:val="auto"/>
          <w:sz w:val="22"/>
          <w:szCs w:val="22"/>
          <w:lang w:val="en-GB"/>
        </w:rPr>
        <w:t>intervening</w:t>
      </w:r>
      <w:r w:rsidRPr="06890F77" w:rsidR="396FC1B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 </w:t>
      </w:r>
    </w:p>
    <w:p w:rsidR="2C726CFF" w:rsidP="06890F77" w:rsidRDefault="2C726CFF" w14:paraId="73E87E85" w14:textId="468789CE">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2C726CF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In relation to third parties, medical negligence can occur. Although this rarely amounts to a break in the chain of causation, </w:t>
      </w:r>
      <w:r w:rsidRPr="06890F77" w:rsidR="122B75F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can occur through a </w:t>
      </w:r>
      <w:r w:rsidRPr="06890F77" w:rsidR="122B75FC">
        <w:rPr>
          <w:rFonts w:ascii="Calibri" w:hAnsi="Calibri" w:eastAsia="Calibri" w:cs="Calibri" w:asciiTheme="minorAscii" w:hAnsiTheme="minorAscii" w:eastAsiaTheme="minorAscii" w:cstheme="minorAscii"/>
          <w:b w:val="0"/>
          <w:bCs w:val="0"/>
          <w:i w:val="1"/>
          <w:iCs w:val="1"/>
          <w:noProof w:val="0"/>
          <w:color w:val="auto"/>
          <w:sz w:val="22"/>
          <w:szCs w:val="22"/>
          <w:lang w:val="en-GB"/>
        </w:rPr>
        <w:t>palpably wrong</w:t>
      </w:r>
      <w:r w:rsidRPr="06890F77" w:rsidR="122B75F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w:t>
      </w:r>
      <w:r w:rsidRPr="06890F77" w:rsidR="717DE89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717DE894">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Sarma, 2020). </w:t>
      </w:r>
      <w:r w:rsidRPr="06890F77" w:rsidR="395E16DA">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In </w:t>
      </w:r>
      <w:r w:rsidRPr="06890F77" w:rsidR="395E16DA">
        <w:rPr>
          <w:rFonts w:ascii="Calibri" w:hAnsi="Calibri" w:eastAsia="Calibri" w:cs="Calibri" w:asciiTheme="minorAscii" w:hAnsiTheme="minorAscii" w:eastAsiaTheme="minorAscii" w:cstheme="minorAscii"/>
          <w:b w:val="0"/>
          <w:bCs w:val="0"/>
          <w:i w:val="1"/>
          <w:iCs w:val="1"/>
          <w:noProof w:val="0"/>
          <w:color w:val="auto"/>
          <w:sz w:val="22"/>
          <w:szCs w:val="22"/>
          <w:u w:val="none"/>
          <w:lang w:val="en-GB"/>
        </w:rPr>
        <w:t>R v Smith [1959] 2 QB 35</w:t>
      </w:r>
      <w:r w:rsidRPr="06890F77" w:rsidR="56A1BB4D">
        <w:rPr>
          <w:rFonts w:ascii="Calibri" w:hAnsi="Calibri" w:eastAsia="Calibri" w:cs="Calibri" w:asciiTheme="minorAscii" w:hAnsiTheme="minorAscii" w:eastAsiaTheme="minorAscii" w:cstheme="minorAscii"/>
          <w:b w:val="0"/>
          <w:bCs w:val="0"/>
          <w:i w:val="1"/>
          <w:iCs w:val="1"/>
          <w:noProof w:val="0"/>
          <w:color w:val="auto"/>
          <w:sz w:val="22"/>
          <w:szCs w:val="22"/>
          <w:u w:val="none"/>
          <w:lang w:val="en-GB"/>
        </w:rPr>
        <w:t xml:space="preserve"> </w:t>
      </w:r>
      <w:r w:rsidRPr="06890F77" w:rsidR="56A1BB4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the </w:t>
      </w:r>
      <w:r w:rsidRPr="06890F77" w:rsidR="23C8CEFE">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victim</w:t>
      </w:r>
      <w:r w:rsidRPr="06890F77" w:rsidR="56A1BB4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sustained a stab to his lungs. The medical team did not appreciate the seriousness of the situation </w:t>
      </w:r>
      <w:r w:rsidRPr="06890F77" w:rsidR="382D61BF">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and even failed to diagnose it. As a </w:t>
      </w:r>
      <w:r w:rsidRPr="06890F77" w:rsidR="45EE0441">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result,</w:t>
      </w:r>
      <w:r w:rsidRPr="06890F77" w:rsidR="382D61BF">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the victim died. </w:t>
      </w:r>
      <w:r w:rsidRPr="06890F77" w:rsidR="0AEDF05F">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The defendant appealed stating the poor medical facilities caused the death. This was rejected as the original injury was the operating and </w:t>
      </w:r>
      <w:r w:rsidRPr="06890F77" w:rsidR="626DB42F">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substantial cause of the consequence.</w:t>
      </w:r>
      <w:r w:rsidRPr="06890F77" w:rsidR="6A12A714">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w:t>
      </w:r>
      <w:r w:rsidRPr="06890F77" w:rsidR="1BCB12BD">
        <w:rPr>
          <w:rFonts w:ascii="Calibri" w:hAnsi="Calibri" w:eastAsia="Calibri" w:cs="Calibri" w:asciiTheme="minorAscii" w:hAnsiTheme="minorAscii" w:eastAsiaTheme="minorAscii" w:cstheme="minorAscii"/>
          <w:b w:val="0"/>
          <w:bCs w:val="0"/>
          <w:i w:val="1"/>
          <w:iCs w:val="1"/>
          <w:noProof w:val="0"/>
          <w:color w:val="auto"/>
          <w:sz w:val="22"/>
          <w:szCs w:val="22"/>
          <w:u w:val="none"/>
          <w:lang w:val="en-GB"/>
        </w:rPr>
        <w:t>(Stephenson, G 2000)</w:t>
      </w:r>
    </w:p>
    <w:p w:rsidR="625BFAC9" w:rsidP="06890F77" w:rsidRDefault="625BFAC9" w14:paraId="3C3924B1" w14:textId="0C3618B8">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625BFAC9">
        <w:rPr>
          <w:rFonts w:ascii="Calibri" w:hAnsi="Calibri" w:eastAsia="Calibri" w:cs="Calibri" w:asciiTheme="minorAscii" w:hAnsiTheme="minorAscii" w:eastAsiaTheme="minorAscii" w:cstheme="minorAscii"/>
          <w:b w:val="0"/>
          <w:bCs w:val="0"/>
          <w:i w:val="0"/>
          <w:iCs w:val="0"/>
          <w:noProof w:val="0"/>
          <w:color w:val="auto"/>
          <w:sz w:val="22"/>
          <w:szCs w:val="22"/>
          <w:lang w:val="en-GB"/>
        </w:rPr>
        <w:t>If a natural act occurs, separate of the breach the defendant usually will not be liable.</w:t>
      </w:r>
      <w:r w:rsidRPr="06890F77" w:rsidR="1BF2904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1BF29043">
        <w:rPr>
          <w:rFonts w:ascii="Calibri" w:hAnsi="Calibri" w:eastAsia="Calibri" w:cs="Calibri" w:asciiTheme="minorAscii" w:hAnsiTheme="minorAscii" w:eastAsiaTheme="minorAscii" w:cstheme="minorAscii"/>
          <w:b w:val="0"/>
          <w:bCs w:val="0"/>
          <w:i w:val="1"/>
          <w:iCs w:val="1"/>
          <w:noProof w:val="0"/>
          <w:color w:val="auto"/>
          <w:sz w:val="22"/>
          <w:szCs w:val="22"/>
          <w:lang w:val="en-GB"/>
        </w:rPr>
        <w:t>(Thomas, M, 2020</w:t>
      </w:r>
      <w:r w:rsidRPr="06890F77" w:rsidR="1BF29043">
        <w:rPr>
          <w:rFonts w:ascii="Calibri" w:hAnsi="Calibri" w:eastAsia="Calibri" w:cs="Calibri" w:asciiTheme="minorAscii" w:hAnsiTheme="minorAscii" w:eastAsiaTheme="minorAscii" w:cstheme="minorAscii"/>
          <w:b w:val="0"/>
          <w:bCs w:val="0"/>
          <w:i w:val="0"/>
          <w:iCs w:val="0"/>
          <w:noProof w:val="0"/>
          <w:color w:val="auto"/>
          <w:sz w:val="22"/>
          <w:szCs w:val="22"/>
          <w:lang w:val="en-GB"/>
        </w:rPr>
        <w:t>) In</w:t>
      </w:r>
      <w:r w:rsidRPr="06890F77" w:rsidR="4B7B768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roofErr w:type="spellStart"/>
      <w:r w:rsidRPr="06890F77" w:rsidR="3E823EBD">
        <w:rPr>
          <w:rFonts w:ascii="Calibri" w:hAnsi="Calibri" w:eastAsia="Calibri" w:cs="Calibri" w:asciiTheme="minorAscii" w:hAnsiTheme="minorAscii" w:eastAsiaTheme="minorAscii" w:cstheme="minorAscii"/>
          <w:b w:val="0"/>
          <w:bCs w:val="0"/>
          <w:i w:val="1"/>
          <w:iCs w:val="1"/>
          <w:noProof w:val="0"/>
          <w:color w:val="auto"/>
          <w:sz w:val="22"/>
          <w:szCs w:val="22"/>
          <w:lang w:val="en-GB"/>
        </w:rPr>
        <w:t>Carslogie</w:t>
      </w:r>
      <w:proofErr w:type="spellEnd"/>
      <w:r w:rsidRPr="06890F77" w:rsidR="3E823EBD">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Steamship Co Ltd v Royal Norwegian Government [1952] </w:t>
      </w:r>
      <w:r w:rsidRPr="06890F77" w:rsidR="0B2D4D6C">
        <w:rPr>
          <w:rFonts w:ascii="Calibri" w:hAnsi="Calibri" w:eastAsia="Calibri" w:cs="Calibri" w:asciiTheme="minorAscii" w:hAnsiTheme="minorAscii" w:eastAsiaTheme="minorAscii" w:cstheme="minorAscii"/>
          <w:b w:val="0"/>
          <w:bCs w:val="0"/>
          <w:i w:val="0"/>
          <w:iCs w:val="0"/>
          <w:noProof w:val="0"/>
          <w:color w:val="auto"/>
          <w:sz w:val="22"/>
          <w:szCs w:val="22"/>
          <w:lang w:val="en-GB"/>
        </w:rPr>
        <w:t>the defendants were found not liable for damage caused by a storm.</w:t>
      </w:r>
      <w:r w:rsidRPr="06890F77" w:rsidR="1918B88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Essentially, the storm broke the chain of causation.</w:t>
      </w:r>
      <w:r w:rsidRPr="06890F77" w:rsidR="7410663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issue held here was whether the original act of </w:t>
      </w:r>
      <w:r w:rsidRPr="06890F77" w:rsidR="06BFF73E">
        <w:rPr>
          <w:rFonts w:ascii="Calibri" w:hAnsi="Calibri" w:eastAsia="Calibri" w:cs="Calibri" w:asciiTheme="minorAscii" w:hAnsiTheme="minorAscii" w:eastAsiaTheme="minorAscii" w:cstheme="minorAscii"/>
          <w:b w:val="0"/>
          <w:bCs w:val="0"/>
          <w:i w:val="0"/>
          <w:iCs w:val="0"/>
          <w:noProof w:val="0"/>
          <w:color w:val="auto"/>
          <w:sz w:val="22"/>
          <w:szCs w:val="22"/>
          <w:lang w:val="en-GB"/>
        </w:rPr>
        <w:t>negligence</w:t>
      </w:r>
      <w:r w:rsidRPr="06890F77" w:rsidR="7410663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before the natural act, </w:t>
      </w:r>
      <w:r w:rsidRPr="06890F77" w:rsidR="3BD3A1D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could be susceptible to damages. </w:t>
      </w:r>
      <w:r w:rsidRPr="06890F77" w:rsidR="5430DF1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courts here balanced the damages caused by awarding a sum for the original damage. </w:t>
      </w:r>
    </w:p>
    <w:p w:rsidR="0B2E0655" w:rsidP="06890F77" w:rsidRDefault="0B2E0655" w14:paraId="07234629" w14:textId="4E26C4D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890F77" w:rsidR="0B2E065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An act or event that breaks the causal connection between a wrong or crime committed by the defendant and </w:t>
      </w:r>
      <w:r w:rsidRPr="06890F77" w:rsidR="0B2E0655">
        <w:rPr>
          <w:rFonts w:ascii="Calibri" w:hAnsi="Calibri" w:eastAsia="Calibri" w:cs="Calibri" w:asciiTheme="minorAscii" w:hAnsiTheme="minorAscii" w:eastAsiaTheme="minorAscii" w:cstheme="minorAscii"/>
          <w:b w:val="0"/>
          <w:bCs w:val="0"/>
          <w:i w:val="0"/>
          <w:iCs w:val="0"/>
          <w:noProof w:val="0"/>
          <w:color w:val="auto"/>
          <w:sz w:val="22"/>
          <w:szCs w:val="22"/>
          <w:lang w:val="en-GB"/>
        </w:rPr>
        <w:t>subsequent</w:t>
      </w:r>
      <w:r w:rsidRPr="06890F77" w:rsidR="0B2E065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happenings and therefore relieves the defendant from responsibility for these happenings. </w:t>
      </w:r>
      <w:r w:rsidRPr="06890F77" w:rsidR="0B2E065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(Oxford, 2021)</w:t>
      </w:r>
      <w:r w:rsidRPr="06890F77" w:rsidR="0B2E065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In some cases, there can be</w:t>
      </w:r>
      <w:r w:rsidRPr="06890F77" w:rsidR="52EFB78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intervening cause, which br</w:t>
      </w:r>
      <w:r w:rsidRPr="06890F77" w:rsidR="372C4678">
        <w:rPr>
          <w:rFonts w:ascii="Calibri" w:hAnsi="Calibri" w:eastAsia="Calibri" w:cs="Calibri" w:asciiTheme="minorAscii" w:hAnsiTheme="minorAscii" w:eastAsiaTheme="minorAscii" w:cstheme="minorAscii"/>
          <w:b w:val="0"/>
          <w:bCs w:val="0"/>
          <w:i w:val="0"/>
          <w:iCs w:val="0"/>
          <w:noProof w:val="0"/>
          <w:color w:val="auto"/>
          <w:sz w:val="22"/>
          <w:szCs w:val="22"/>
          <w:lang w:val="en-GB"/>
        </w:rPr>
        <w:t>oke</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chain of causation.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It's</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also called a ‘</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novus actus interveniens</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act of the claimant is important. </w:t>
      </w:r>
      <w:r w:rsidRPr="06890F77" w:rsidR="357CB399">
        <w:rPr>
          <w:rFonts w:ascii="Calibri" w:hAnsi="Calibri" w:eastAsia="Calibri" w:cs="Calibri" w:asciiTheme="minorAscii" w:hAnsiTheme="minorAscii" w:eastAsiaTheme="minorAscii" w:cstheme="minorAscii"/>
          <w:b w:val="0"/>
          <w:bCs w:val="0"/>
          <w:i w:val="1"/>
          <w:iCs w:val="1"/>
          <w:noProof w:val="0"/>
          <w:color w:val="auto"/>
          <w:sz w:val="22"/>
          <w:szCs w:val="22"/>
          <w:lang w:val="en-GB"/>
        </w:rPr>
        <w:t>(Cooke, J 2019)</w:t>
      </w:r>
      <w:r w:rsidRPr="06890F77" w:rsidR="357CB39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courts use a test to look at whether the claimant was acting </w:t>
      </w:r>
      <w:r w:rsidRPr="06890F77" w:rsidR="5061ED2A">
        <w:rPr>
          <w:rFonts w:ascii="Calibri" w:hAnsi="Calibri" w:eastAsia="Calibri" w:cs="Calibri" w:asciiTheme="minorAscii" w:hAnsiTheme="minorAscii" w:eastAsiaTheme="minorAscii" w:cstheme="minorAscii"/>
          <w:b w:val="0"/>
          <w:bCs w:val="0"/>
          <w:i w:val="0"/>
          <w:iCs w:val="0"/>
          <w:noProof w:val="0"/>
          <w:color w:val="auto"/>
          <w:sz w:val="22"/>
          <w:szCs w:val="22"/>
          <w:lang w:val="en-GB"/>
        </w:rPr>
        <w:t>reasonably</w:t>
      </w:r>
      <w:r w:rsidRPr="06890F77" w:rsidR="053DD8F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roofErr w:type="spellStart"/>
      <w:r w:rsidRPr="06890F77" w:rsidR="053DD8F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Pigney</w:t>
      </w:r>
      <w:proofErr w:type="spellEnd"/>
      <w:r w:rsidRPr="06890F77" w:rsidR="053DD8F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v Pointer’s Transport Services Ltd [1957] 1 WLR 1121, </w:t>
      </w:r>
      <w:r w:rsidRPr="06890F77" w:rsidR="053DD8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test of direct consequence for remoteness was applied.</w:t>
      </w:r>
      <w:r w:rsidRPr="06890F77" w:rsidR="053DD8FB">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22B3178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(Hodgson, D 2016). </w:t>
      </w:r>
      <w:r w:rsidRPr="06890F77" w:rsidR="673A60F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In </w:t>
      </w:r>
      <w:r w:rsidRPr="06890F77" w:rsidR="007A52D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McGhee v National Coal Board [1973] 1 WLR 1</w:t>
      </w:r>
      <w:r w:rsidRPr="06890F77" w:rsidR="468CD39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06890F77" w:rsidR="468CD3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defendant did not provide washing facilities</w:t>
      </w:r>
      <w:r w:rsidRPr="06890F77" w:rsidR="5E9309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 claimant developed skin irritation from </w:t>
      </w:r>
      <w:r w:rsidRPr="06890F77" w:rsidR="69DAD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exposure to dust. </w:t>
      </w:r>
      <w:r w:rsidRPr="06890F77" w:rsidR="4D54DA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Lord Salmon</w:t>
      </w:r>
      <w:r w:rsidRPr="06890F77" w:rsidR="6964D7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stated his ‘</w:t>
      </w:r>
      <w:r w:rsidRPr="06890F77" w:rsidR="6964D73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negligence has materially increased the risk of his employee contracting an industrial disease’. </w:t>
      </w:r>
      <w:r w:rsidRPr="06890F77" w:rsidR="0ED927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breach of duty increased the risks.</w:t>
      </w:r>
    </w:p>
    <w:p w:rsidR="5D18B14C" w:rsidP="06890F77" w:rsidRDefault="5D18B14C" w14:paraId="113125B9" w14:textId="43EE027F">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highlight w:val="green"/>
          <w:lang w:val="en-GB"/>
        </w:rPr>
      </w:pPr>
      <w:r w:rsidRPr="06890F77" w:rsidR="5D18B14C">
        <w:rPr>
          <w:rFonts w:ascii="Calibri" w:hAnsi="Calibri" w:eastAsia="Calibri" w:cs="Calibri" w:asciiTheme="minorAscii" w:hAnsiTheme="minorAscii" w:eastAsiaTheme="minorAscii" w:cstheme="minorAscii"/>
          <w:b w:val="0"/>
          <w:bCs w:val="0"/>
          <w:i w:val="1"/>
          <w:iCs w:val="1"/>
          <w:noProof w:val="0"/>
          <w:color w:val="auto"/>
          <w:sz w:val="22"/>
          <w:szCs w:val="22"/>
          <w:lang w:val="en-GB"/>
        </w:rPr>
        <w:t>McKew</w:t>
      </w:r>
      <w:r w:rsidRPr="06890F77" w:rsidR="5D18B14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v Holland &amp; Hannen &amp; </w:t>
      </w:r>
      <w:proofErr w:type="spellStart"/>
      <w:r w:rsidRPr="06890F77" w:rsidR="5D18B14C">
        <w:rPr>
          <w:rFonts w:ascii="Calibri" w:hAnsi="Calibri" w:eastAsia="Calibri" w:cs="Calibri" w:asciiTheme="minorAscii" w:hAnsiTheme="minorAscii" w:eastAsiaTheme="minorAscii" w:cstheme="minorAscii"/>
          <w:b w:val="0"/>
          <w:bCs w:val="0"/>
          <w:i w:val="1"/>
          <w:iCs w:val="1"/>
          <w:noProof w:val="0"/>
          <w:color w:val="auto"/>
          <w:sz w:val="22"/>
          <w:szCs w:val="22"/>
          <w:lang w:val="en-GB"/>
        </w:rPr>
        <w:t>Cubitts</w:t>
      </w:r>
      <w:proofErr w:type="spellEnd"/>
      <w:r w:rsidRPr="06890F77" w:rsidR="5D18B14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(Scotland) Ltd. [1969] 3 All ER 1621 </w:t>
      </w:r>
      <w:r w:rsidRPr="06890F77" w:rsidR="509ACDD6">
        <w:rPr>
          <w:rFonts w:ascii="Calibri" w:hAnsi="Calibri" w:eastAsia="Calibri" w:cs="Calibri" w:asciiTheme="minorAscii" w:hAnsiTheme="minorAscii" w:eastAsiaTheme="minorAscii" w:cstheme="minorAscii"/>
          <w:b w:val="0"/>
          <w:bCs w:val="0"/>
          <w:i w:val="0"/>
          <w:iCs w:val="0"/>
          <w:noProof w:val="0"/>
          <w:color w:val="auto"/>
          <w:sz w:val="22"/>
          <w:szCs w:val="22"/>
          <w:lang w:val="en-GB"/>
        </w:rPr>
        <w:t>showed that a defendant will not be liable for injury if the claimants actions amount to a no</w:t>
      </w:r>
      <w:r w:rsidRPr="06890F77" w:rsidR="23A445C9">
        <w:rPr>
          <w:rFonts w:ascii="Calibri" w:hAnsi="Calibri" w:eastAsia="Calibri" w:cs="Calibri" w:asciiTheme="minorAscii" w:hAnsiTheme="minorAscii" w:eastAsiaTheme="minorAscii" w:cstheme="minorAscii"/>
          <w:b w:val="0"/>
          <w:bCs w:val="0"/>
          <w:i w:val="0"/>
          <w:iCs w:val="0"/>
          <w:noProof w:val="0"/>
          <w:color w:val="auto"/>
          <w:sz w:val="22"/>
          <w:szCs w:val="22"/>
          <w:lang w:val="en-GB"/>
        </w:rPr>
        <w:t>vus actus.</w:t>
      </w:r>
      <w:r w:rsidRPr="06890F77" w:rsidR="4FB8A8B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this specific case, the claimant had already suffered </w:t>
      </w:r>
      <w:r w:rsidRPr="06890F77" w:rsidR="4FB8A8B7">
        <w:rPr>
          <w:rFonts w:ascii="Calibri" w:hAnsi="Calibri" w:eastAsia="Calibri" w:cs="Calibri" w:asciiTheme="minorAscii" w:hAnsiTheme="minorAscii" w:eastAsiaTheme="minorAscii" w:cstheme="minorAscii"/>
          <w:b w:val="0"/>
          <w:bCs w:val="0"/>
          <w:i w:val="0"/>
          <w:iCs w:val="0"/>
          <w:noProof w:val="0"/>
          <w:color w:val="auto"/>
          <w:sz w:val="22"/>
          <w:szCs w:val="22"/>
          <w:lang w:val="en-GB"/>
        </w:rPr>
        <w:t>numerous</w:t>
      </w:r>
      <w:r w:rsidRPr="06890F77" w:rsidR="4FB8A8B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injuries to his left leg, meaning it could give way at any time. </w:t>
      </w:r>
      <w:r w:rsidRPr="06890F77" w:rsidR="4035465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While walking down a set of stairs with no </w:t>
      </w:r>
      <w:r w:rsidRPr="06890F77" w:rsidR="352D4227">
        <w:rPr>
          <w:rFonts w:ascii="Calibri" w:hAnsi="Calibri" w:eastAsia="Calibri" w:cs="Calibri" w:asciiTheme="minorAscii" w:hAnsiTheme="minorAscii" w:eastAsiaTheme="minorAscii" w:cstheme="minorAscii"/>
          <w:b w:val="0"/>
          <w:bCs w:val="0"/>
          <w:i w:val="0"/>
          <w:iCs w:val="0"/>
          <w:noProof w:val="0"/>
          <w:color w:val="auto"/>
          <w:sz w:val="22"/>
          <w:szCs w:val="22"/>
          <w:lang w:val="en-GB"/>
        </w:rPr>
        <w:t>handrail</w:t>
      </w:r>
      <w:r w:rsidRPr="06890F77" w:rsidR="4035465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aids, he </w:t>
      </w:r>
      <w:r w:rsidRPr="06890F77" w:rsidR="51E76241">
        <w:rPr>
          <w:rFonts w:ascii="Calibri" w:hAnsi="Calibri" w:eastAsia="Calibri" w:cs="Calibri" w:asciiTheme="minorAscii" w:hAnsiTheme="minorAscii" w:eastAsiaTheme="minorAscii" w:cstheme="minorAscii"/>
          <w:b w:val="0"/>
          <w:bCs w:val="0"/>
          <w:i w:val="0"/>
          <w:iCs w:val="0"/>
          <w:noProof w:val="0"/>
          <w:color w:val="auto"/>
          <w:sz w:val="22"/>
          <w:szCs w:val="22"/>
          <w:lang w:val="en-GB"/>
        </w:rPr>
        <w:t>further</w:t>
      </w:r>
      <w:r w:rsidRPr="06890F77" w:rsidR="4035465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injured himself, fracturing his ankle. </w:t>
      </w:r>
      <w:r w:rsidRPr="06890F77" w:rsidR="53C857A7">
        <w:rPr>
          <w:rFonts w:ascii="Calibri" w:hAnsi="Calibri" w:eastAsia="Calibri" w:cs="Calibri" w:asciiTheme="minorAscii" w:hAnsiTheme="minorAscii" w:eastAsiaTheme="minorAscii" w:cstheme="minorAscii"/>
          <w:b w:val="0"/>
          <w:bCs w:val="0"/>
          <w:i w:val="1"/>
          <w:iCs w:val="1"/>
          <w:noProof w:val="0"/>
          <w:color w:val="auto"/>
          <w:sz w:val="22"/>
          <w:szCs w:val="22"/>
          <w:lang w:val="en-GB"/>
        </w:rPr>
        <w:t>(Reid et al. 1970)</w:t>
      </w:r>
      <w:r w:rsidRPr="06890F77" w:rsidR="53C857A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4035465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court had to conclude </w:t>
      </w:r>
      <w:r w:rsidRPr="06890F77" w:rsidR="6F1F08AD">
        <w:rPr>
          <w:rFonts w:ascii="Calibri" w:hAnsi="Calibri" w:eastAsia="Calibri" w:cs="Calibri" w:asciiTheme="minorAscii" w:hAnsiTheme="minorAscii" w:eastAsiaTheme="minorAscii" w:cstheme="minorAscii"/>
          <w:b w:val="0"/>
          <w:bCs w:val="0"/>
          <w:i w:val="0"/>
          <w:iCs w:val="0"/>
          <w:noProof w:val="0"/>
          <w:color w:val="auto"/>
          <w:sz w:val="22"/>
          <w:szCs w:val="22"/>
          <w:lang w:val="en-GB"/>
        </w:rPr>
        <w:t>whether</w:t>
      </w:r>
      <w:r w:rsidRPr="06890F77" w:rsidR="4035465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this new intervening act </w:t>
      </w:r>
      <w:r w:rsidRPr="06890F77" w:rsidR="25EE4F4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would break the chain of causation. It was decided that the claimant knew of the potential risks, </w:t>
      </w:r>
      <w:r w:rsidRPr="06890F77" w:rsidR="200BEB0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therefore damages were not available. </w:t>
      </w:r>
      <w:r w:rsidRPr="06890F77" w:rsidR="2C603D3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showed that the claimant must act </w:t>
      </w:r>
      <w:r w:rsidRPr="06890F77" w:rsidR="39C82F7A">
        <w:rPr>
          <w:rFonts w:ascii="Calibri" w:hAnsi="Calibri" w:eastAsia="Calibri" w:cs="Calibri" w:asciiTheme="minorAscii" w:hAnsiTheme="minorAscii" w:eastAsiaTheme="minorAscii" w:cstheme="minorAscii"/>
          <w:b w:val="0"/>
          <w:bCs w:val="0"/>
          <w:i w:val="0"/>
          <w:iCs w:val="0"/>
          <w:noProof w:val="0"/>
          <w:color w:val="auto"/>
          <w:sz w:val="22"/>
          <w:szCs w:val="22"/>
          <w:lang w:val="en-GB"/>
        </w:rPr>
        <w:t>reaso</w:t>
      </w:r>
      <w:r w:rsidRPr="06890F77" w:rsidR="39C82F7A">
        <w:rPr>
          <w:rFonts w:ascii="Calibri" w:hAnsi="Calibri" w:eastAsia="Calibri" w:cs="Calibri" w:asciiTheme="minorAscii" w:hAnsiTheme="minorAscii" w:eastAsiaTheme="minorAscii" w:cstheme="minorAscii"/>
          <w:b w:val="0"/>
          <w:bCs w:val="0"/>
          <w:i w:val="0"/>
          <w:iCs w:val="0"/>
          <w:noProof w:val="0"/>
          <w:color w:val="auto"/>
          <w:sz w:val="22"/>
          <w:szCs w:val="22"/>
          <w:lang w:val="en-GB"/>
        </w:rPr>
        <w:t>nably</w:t>
      </w:r>
      <w:r w:rsidRPr="06890F77" w:rsidR="2C603D31">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30F7FC3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1FFDAE6E">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1FFDAE6E">
        <w:rPr>
          <w:rFonts w:ascii="Calibri" w:hAnsi="Calibri" w:eastAsia="Calibri" w:cs="Calibri" w:asciiTheme="minorAscii" w:hAnsiTheme="minorAscii" w:eastAsiaTheme="minorAscii" w:cstheme="minorAscii"/>
          <w:b w:val="0"/>
          <w:bCs w:val="0"/>
          <w:i w:val="1"/>
          <w:iCs w:val="1"/>
          <w:noProof w:val="0"/>
          <w:color w:val="auto"/>
          <w:sz w:val="22"/>
          <w:szCs w:val="22"/>
          <w:lang w:val="en-GB"/>
        </w:rPr>
        <w:t>Hodgson, D 2016)</w:t>
      </w:r>
      <w:r w:rsidRPr="06890F77" w:rsidR="1FFDAE6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0401743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case of </w:t>
      </w:r>
      <w:r w:rsidRPr="06890F77" w:rsidR="04017430">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Wieland v Cyril Lord Carpets Ltd [1969] 3 All ER 1006 </w:t>
      </w:r>
      <w:r w:rsidRPr="06890F77" w:rsidR="04017430">
        <w:rPr>
          <w:rFonts w:ascii="Calibri" w:hAnsi="Calibri" w:eastAsia="Calibri" w:cs="Calibri" w:asciiTheme="minorAscii" w:hAnsiTheme="minorAscii" w:eastAsiaTheme="minorAscii" w:cstheme="minorAscii"/>
          <w:b w:val="0"/>
          <w:bCs w:val="0"/>
          <w:i w:val="0"/>
          <w:iCs w:val="0"/>
          <w:noProof w:val="0"/>
          <w:color w:val="auto"/>
          <w:sz w:val="22"/>
          <w:szCs w:val="22"/>
          <w:lang w:val="en-GB"/>
        </w:rPr>
        <w:t>provided a different outcome, despite the cases looking</w:t>
      </w:r>
      <w:r w:rsidRPr="06890F77" w:rsidR="44A9668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very</w:t>
      </w:r>
      <w:r w:rsidRPr="06890F77" w:rsidR="0401743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similar on th</w:t>
      </w:r>
      <w:r w:rsidRPr="06890F77" w:rsidR="42A6596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 face of it. Here the claimant sustained a neck and head injury because of negligence </w:t>
      </w:r>
      <w:r w:rsidRPr="06890F77" w:rsidR="2E41C6A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by the defendant. </w:t>
      </w:r>
      <w:r w:rsidRPr="06890F77" w:rsidR="7CE7B555">
        <w:rPr>
          <w:rFonts w:ascii="Calibri" w:hAnsi="Calibri" w:eastAsia="Calibri" w:cs="Calibri" w:asciiTheme="minorAscii" w:hAnsiTheme="minorAscii" w:eastAsiaTheme="minorAscii" w:cstheme="minorAscii"/>
          <w:b w:val="0"/>
          <w:bCs w:val="0"/>
          <w:i w:val="0"/>
          <w:iCs w:val="0"/>
          <w:noProof w:val="0"/>
          <w:color w:val="auto"/>
          <w:sz w:val="22"/>
          <w:szCs w:val="22"/>
          <w:lang w:val="en-GB"/>
        </w:rPr>
        <w:t>As a result, f</w:t>
      </w:r>
      <w:r w:rsidRPr="06890F77" w:rsidR="2E41C6A0">
        <w:rPr>
          <w:rFonts w:ascii="Calibri" w:hAnsi="Calibri" w:eastAsia="Calibri" w:cs="Calibri" w:asciiTheme="minorAscii" w:hAnsiTheme="minorAscii" w:eastAsiaTheme="minorAscii" w:cstheme="minorAscii"/>
          <w:b w:val="0"/>
          <w:bCs w:val="0"/>
          <w:i w:val="0"/>
          <w:iCs w:val="0"/>
          <w:noProof w:val="0"/>
          <w:color w:val="auto"/>
          <w:sz w:val="22"/>
          <w:szCs w:val="22"/>
          <w:lang w:val="en-GB"/>
        </w:rPr>
        <w:t>urther injuries developed f</w:t>
      </w:r>
      <w:r w:rsidRPr="06890F77" w:rsidR="6883229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rom a fall suffered due to </w:t>
      </w:r>
      <w:r w:rsidRPr="06890F77" w:rsidR="690754B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her sight being hindered by the neck brace. The question was whether the </w:t>
      </w:r>
      <w:r w:rsidRPr="06890F77" w:rsidR="2145A384">
        <w:rPr>
          <w:rFonts w:ascii="Calibri" w:hAnsi="Calibri" w:eastAsia="Calibri" w:cs="Calibri" w:asciiTheme="minorAscii" w:hAnsiTheme="minorAscii" w:eastAsiaTheme="minorAscii" w:cstheme="minorAscii"/>
          <w:b w:val="0"/>
          <w:bCs w:val="0"/>
          <w:i w:val="0"/>
          <w:iCs w:val="0"/>
          <w:noProof w:val="0"/>
          <w:color w:val="auto"/>
          <w:sz w:val="22"/>
          <w:szCs w:val="22"/>
          <w:lang w:val="en-GB"/>
        </w:rPr>
        <w:t>claimants'</w:t>
      </w:r>
      <w:r w:rsidRPr="06890F77" w:rsidR="690754B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actions broke the chain of </w:t>
      </w:r>
      <w:r w:rsidRPr="06890F77" w:rsidR="30BACCCF">
        <w:rPr>
          <w:rFonts w:ascii="Calibri" w:hAnsi="Calibri" w:eastAsia="Calibri" w:cs="Calibri" w:asciiTheme="minorAscii" w:hAnsiTheme="minorAscii" w:eastAsiaTheme="minorAscii" w:cstheme="minorAscii"/>
          <w:b w:val="0"/>
          <w:bCs w:val="0"/>
          <w:i w:val="0"/>
          <w:iCs w:val="0"/>
          <w:noProof w:val="0"/>
          <w:color w:val="auto"/>
          <w:sz w:val="22"/>
          <w:szCs w:val="22"/>
          <w:lang w:val="en-GB"/>
        </w:rPr>
        <w:t>causation,</w:t>
      </w:r>
      <w:r w:rsidRPr="06890F77" w:rsidR="390326F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removing </w:t>
      </w:r>
      <w:r w:rsidRPr="06890F77" w:rsidR="433DFD3B">
        <w:rPr>
          <w:rFonts w:ascii="Calibri" w:hAnsi="Calibri" w:eastAsia="Calibri" w:cs="Calibri" w:asciiTheme="minorAscii" w:hAnsiTheme="minorAscii" w:eastAsiaTheme="minorAscii" w:cstheme="minorAscii"/>
          <w:b w:val="0"/>
          <w:bCs w:val="0"/>
          <w:i w:val="0"/>
          <w:iCs w:val="0"/>
          <w:noProof w:val="0"/>
          <w:color w:val="auto"/>
          <w:sz w:val="22"/>
          <w:szCs w:val="22"/>
          <w:lang w:val="en-GB"/>
        </w:rPr>
        <w:t>liability</w:t>
      </w:r>
      <w:r w:rsidRPr="06890F77" w:rsidR="390326F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from the </w:t>
      </w:r>
      <w:r w:rsidRPr="06890F77" w:rsidR="1A90A175">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w:t>
      </w:r>
      <w:r w:rsidRPr="06890F77" w:rsidR="390326F2">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390326F2">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6C8036FE">
        <w:rPr>
          <w:rFonts w:ascii="Calibri" w:hAnsi="Calibri" w:eastAsia="Calibri" w:cs="Calibri" w:asciiTheme="minorAscii" w:hAnsiTheme="minorAscii" w:eastAsiaTheme="minorAscii" w:cstheme="minorAscii"/>
          <w:b w:val="0"/>
          <w:bCs w:val="0"/>
          <w:i w:val="1"/>
          <w:iCs w:val="1"/>
          <w:noProof w:val="0"/>
          <w:color w:val="auto"/>
          <w:sz w:val="22"/>
          <w:szCs w:val="22"/>
          <w:lang w:val="en-GB"/>
        </w:rPr>
        <w:t>(D. B. Casson, 1970)</w:t>
      </w:r>
      <w:r w:rsidRPr="06890F77" w:rsidR="6C8036F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90326F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defendant was in fact liable for the fall </w:t>
      </w:r>
      <w:r w:rsidRPr="06890F77" w:rsidR="53A18E0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as the </w:t>
      </w:r>
      <w:r w:rsidRPr="06890F77" w:rsidR="38AD09B1">
        <w:rPr>
          <w:rFonts w:ascii="Calibri" w:hAnsi="Calibri" w:eastAsia="Calibri" w:cs="Calibri" w:asciiTheme="minorAscii" w:hAnsiTheme="minorAscii" w:eastAsiaTheme="minorAscii" w:cstheme="minorAscii"/>
          <w:b w:val="0"/>
          <w:bCs w:val="0"/>
          <w:i w:val="0"/>
          <w:iCs w:val="0"/>
          <w:noProof w:val="0"/>
          <w:color w:val="auto"/>
          <w:sz w:val="22"/>
          <w:szCs w:val="22"/>
          <w:lang w:val="en-GB"/>
        </w:rPr>
        <w:t>claimant's</w:t>
      </w:r>
      <w:r w:rsidRPr="06890F77" w:rsidR="53A18E0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 did not amount to a novus actus. </w:t>
      </w:r>
      <w:r w:rsidRPr="06890F77" w:rsidR="436C5522">
        <w:rPr>
          <w:rFonts w:ascii="Calibri" w:hAnsi="Calibri" w:eastAsia="Calibri" w:cs="Calibri" w:asciiTheme="minorAscii" w:hAnsiTheme="minorAscii" w:eastAsiaTheme="minorAscii" w:cstheme="minorAscii"/>
          <w:b w:val="0"/>
          <w:bCs w:val="0"/>
          <w:i w:val="0"/>
          <w:iCs w:val="0"/>
          <w:noProof w:val="0"/>
          <w:color w:val="auto"/>
          <w:sz w:val="22"/>
          <w:szCs w:val="22"/>
          <w:lang w:val="en-GB"/>
        </w:rPr>
        <w:t>This e</w:t>
      </w:r>
      <w:r w:rsidRPr="06890F77" w:rsidR="6D5F19CA">
        <w:rPr>
          <w:rFonts w:ascii="Calibri" w:hAnsi="Calibri" w:eastAsia="Calibri" w:cs="Calibri" w:asciiTheme="minorAscii" w:hAnsiTheme="minorAscii" w:eastAsiaTheme="minorAscii" w:cstheme="minorAscii"/>
          <w:b w:val="0"/>
          <w:bCs w:val="0"/>
          <w:i w:val="0"/>
          <w:iCs w:val="0"/>
          <w:noProof w:val="0"/>
          <w:color w:val="auto"/>
          <w:sz w:val="22"/>
          <w:szCs w:val="22"/>
          <w:lang w:val="en-GB"/>
        </w:rPr>
        <w:t>mphasises the importance of individual and independent acts</w:t>
      </w:r>
      <w:r w:rsidRPr="06890F77" w:rsidR="45A391B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but will also </w:t>
      </w:r>
      <w:r w:rsidRPr="06890F77" w:rsidR="45A391B2">
        <w:rPr>
          <w:rFonts w:ascii="Calibri" w:hAnsi="Calibri" w:eastAsia="Calibri" w:cs="Calibri" w:asciiTheme="minorAscii" w:hAnsiTheme="minorAscii" w:eastAsiaTheme="minorAscii" w:cstheme="minorAscii"/>
          <w:b w:val="0"/>
          <w:bCs w:val="0"/>
          <w:i w:val="0"/>
          <w:iCs w:val="0"/>
          <w:noProof w:val="0"/>
          <w:color w:val="auto"/>
          <w:sz w:val="22"/>
          <w:szCs w:val="22"/>
          <w:lang w:val="en-GB"/>
        </w:rPr>
        <w:t>consider</w:t>
      </w:r>
      <w:r w:rsidRPr="06890F77" w:rsidR="45A391B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D89F0E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any </w:t>
      </w:r>
      <w:r w:rsidRPr="06890F77" w:rsidR="45A391B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earlier act may impair one's ability to </w:t>
      </w:r>
      <w:r w:rsidRPr="06890F77" w:rsidR="40A655A3">
        <w:rPr>
          <w:rFonts w:ascii="Calibri" w:hAnsi="Calibri" w:eastAsia="Calibri" w:cs="Calibri" w:asciiTheme="minorAscii" w:hAnsiTheme="minorAscii" w:eastAsiaTheme="minorAscii" w:cstheme="minorAscii"/>
          <w:b w:val="0"/>
          <w:bCs w:val="0"/>
          <w:i w:val="0"/>
          <w:iCs w:val="0"/>
          <w:noProof w:val="0"/>
          <w:color w:val="auto"/>
          <w:sz w:val="22"/>
          <w:szCs w:val="22"/>
          <w:lang w:val="en-GB"/>
        </w:rPr>
        <w:t>act reasonably</w:t>
      </w:r>
      <w:r w:rsidRPr="06890F77" w:rsidR="6D5F19C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1A7C18DE" w:rsidP="06890F77" w:rsidRDefault="1A7C18DE" w14:paraId="63D2A930" w14:textId="03CB5B5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highlight w:val="yellow"/>
          <w:lang w:val="en-GB"/>
        </w:rPr>
      </w:pPr>
      <w:r w:rsidRPr="06890F77" w:rsidR="1A7C18DE">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Jobling v Associated Dairies Ltd [1982] AC 794 </w:t>
      </w:r>
      <w:r w:rsidRPr="06890F77" w:rsidR="4691AC7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suffered a back injury due to negligence by his employers. Unrelated to this injury, the claimant discovered </w:t>
      </w:r>
      <w:r w:rsidRPr="06890F77" w:rsidR="673F39E5">
        <w:rPr>
          <w:rFonts w:ascii="Calibri" w:hAnsi="Calibri" w:eastAsia="Calibri" w:cs="Calibri" w:asciiTheme="minorAscii" w:hAnsiTheme="minorAscii" w:eastAsiaTheme="minorAscii" w:cstheme="minorAscii"/>
          <w:b w:val="0"/>
          <w:bCs w:val="0"/>
          <w:i w:val="0"/>
          <w:iCs w:val="0"/>
          <w:noProof w:val="0"/>
          <w:color w:val="auto"/>
          <w:sz w:val="22"/>
          <w:szCs w:val="22"/>
          <w:lang w:val="en-GB"/>
        </w:rPr>
        <w:t>he had a spinal disease which raised the question whether the employer was liable for loss of earnings</w:t>
      </w:r>
      <w:r w:rsidRPr="06890F77" w:rsidR="5A720D1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Where the tort is followed by a disabling illness, this must be </w:t>
      </w:r>
      <w:r w:rsidRPr="06890F77" w:rsidR="02E890D2">
        <w:rPr>
          <w:rFonts w:ascii="Calibri" w:hAnsi="Calibri" w:eastAsia="Calibri" w:cs="Calibri" w:asciiTheme="minorAscii" w:hAnsiTheme="minorAscii" w:eastAsiaTheme="minorAscii" w:cstheme="minorAscii"/>
          <w:b w:val="0"/>
          <w:bCs w:val="0"/>
          <w:i w:val="0"/>
          <w:iCs w:val="0"/>
          <w:noProof w:val="0"/>
          <w:color w:val="auto"/>
          <w:sz w:val="22"/>
          <w:szCs w:val="22"/>
          <w:lang w:val="en-GB"/>
        </w:rPr>
        <w:t>considered</w:t>
      </w:r>
      <w:r w:rsidRPr="06890F77" w:rsidR="5A720D1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assessing the tortfeasor’s liability.</w:t>
      </w:r>
      <w:r w:rsidRPr="06890F77" w:rsidR="643F5E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643F5E2E">
        <w:rPr>
          <w:rFonts w:ascii="Calibri" w:hAnsi="Calibri" w:eastAsia="Calibri" w:cs="Calibri" w:asciiTheme="minorAscii" w:hAnsiTheme="minorAscii" w:eastAsiaTheme="minorAscii" w:cstheme="minorAscii"/>
          <w:b w:val="0"/>
          <w:bCs w:val="0"/>
          <w:i w:val="1"/>
          <w:iCs w:val="1"/>
          <w:noProof w:val="0"/>
          <w:color w:val="auto"/>
          <w:sz w:val="22"/>
          <w:szCs w:val="22"/>
          <w:lang w:val="en-GB"/>
        </w:rPr>
        <w:t>(Cooke, 2019)</w:t>
      </w:r>
      <w:r w:rsidRPr="06890F77" w:rsidR="643F5E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courts will examine the whole situation</w:t>
      </w:r>
      <w:r w:rsidRPr="06890F77" w:rsidR="03242D3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1FB814B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w:t>
      </w:r>
      <w:r w:rsidRPr="06890F77" w:rsidR="14704DFB">
        <w:rPr>
          <w:rFonts w:ascii="Calibri" w:hAnsi="Calibri" w:eastAsia="Calibri" w:cs="Calibri" w:asciiTheme="minorAscii" w:hAnsiTheme="minorAscii" w:eastAsiaTheme="minorAscii" w:cstheme="minorAscii"/>
          <w:b w:val="0"/>
          <w:bCs w:val="0"/>
          <w:i w:val="0"/>
          <w:iCs w:val="0"/>
          <w:noProof w:val="0"/>
          <w:color w:val="auto"/>
          <w:sz w:val="22"/>
          <w:szCs w:val="22"/>
          <w:lang w:val="en-GB"/>
        </w:rPr>
        <w:t>employer</w:t>
      </w:r>
      <w:r w:rsidRPr="06890F77" w:rsidR="1FB814B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was only responsible to pay partial loss of earnings up to a point. This was an exception to the </w:t>
      </w:r>
      <w:r w:rsidRPr="06890F77" w:rsidR="03EC8DE3">
        <w:rPr>
          <w:rFonts w:ascii="Calibri" w:hAnsi="Calibri" w:eastAsia="Calibri" w:cs="Calibri" w:asciiTheme="minorAscii" w:hAnsiTheme="minorAscii" w:eastAsiaTheme="minorAscii" w:cstheme="minorAscii"/>
          <w:b w:val="0"/>
          <w:bCs w:val="0"/>
          <w:i w:val="0"/>
          <w:iCs w:val="0"/>
          <w:noProof w:val="0"/>
          <w:color w:val="auto"/>
          <w:sz w:val="22"/>
          <w:szCs w:val="22"/>
          <w:lang w:val="en-GB"/>
        </w:rPr>
        <w:t>normal</w:t>
      </w:r>
      <w:r w:rsidRPr="06890F77" w:rsidR="1FB814B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test for causation</w:t>
      </w:r>
      <w:r w:rsidRPr="06890F77" w:rsidR="3C9EFC1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C9EFC16">
        <w:rPr>
          <w:rFonts w:ascii="Calibri" w:hAnsi="Calibri" w:eastAsia="Calibri" w:cs="Calibri" w:asciiTheme="minorAscii" w:hAnsiTheme="minorAscii" w:eastAsiaTheme="minorAscii" w:cstheme="minorAscii"/>
          <w:b w:val="0"/>
          <w:bCs w:val="0"/>
          <w:i w:val="1"/>
          <w:iCs w:val="1"/>
          <w:noProof w:val="0"/>
          <w:color w:val="auto"/>
          <w:sz w:val="22"/>
          <w:szCs w:val="22"/>
          <w:lang w:val="en-GB"/>
        </w:rPr>
        <w:t>(Baker v Willoughby)</w:t>
      </w:r>
      <w:r w:rsidRPr="06890F77" w:rsidR="585784C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06890F77" w:rsidR="585784C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was a significant case, as it showed the courts will not </w:t>
      </w:r>
      <w:r w:rsidRPr="06890F77" w:rsidR="5C6BF8D6">
        <w:rPr>
          <w:rFonts w:ascii="Calibri" w:hAnsi="Calibri" w:eastAsia="Calibri" w:cs="Calibri" w:asciiTheme="minorAscii" w:hAnsiTheme="minorAscii" w:eastAsiaTheme="minorAscii" w:cstheme="minorAscii"/>
          <w:b w:val="0"/>
          <w:bCs w:val="0"/>
          <w:i w:val="0"/>
          <w:iCs w:val="0"/>
          <w:noProof w:val="0"/>
          <w:color w:val="auto"/>
          <w:sz w:val="22"/>
          <w:szCs w:val="22"/>
          <w:lang w:val="en-GB"/>
        </w:rPr>
        <w:t>overcompensate</w:t>
      </w:r>
      <w:r w:rsidRPr="06890F77" w:rsidR="585784C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‘victim’</w:t>
      </w:r>
      <w:r w:rsidRPr="06890F77" w:rsidR="70B2C88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that vicissitudes in life are expected</w:t>
      </w:r>
      <w:r w:rsidRPr="06890F77" w:rsidR="585784CC">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25C4E8A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7FB791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This case </w:t>
      </w:r>
      <w:r w:rsidRPr="06890F77" w:rsidR="32137C3C">
        <w:rPr>
          <w:rFonts w:ascii="Calibri" w:hAnsi="Calibri" w:eastAsia="Calibri" w:cs="Calibri" w:asciiTheme="minorAscii" w:hAnsiTheme="minorAscii" w:eastAsiaTheme="minorAscii" w:cstheme="minorAscii"/>
          <w:b w:val="0"/>
          <w:bCs w:val="0"/>
          <w:i w:val="0"/>
          <w:iCs w:val="0"/>
          <w:noProof w:val="0"/>
          <w:color w:val="auto"/>
          <w:sz w:val="22"/>
          <w:szCs w:val="22"/>
          <w:lang w:val="en-GB"/>
        </w:rPr>
        <w:t>involved</w:t>
      </w:r>
      <w:r w:rsidRPr="06890F77" w:rsidR="5F0A044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w:t>
      </w:r>
      <w:r w:rsidRPr="06890F77" w:rsidR="37CAAC8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37CAAC82">
        <w:rPr>
          <w:rFonts w:ascii="Calibri" w:hAnsi="Calibri" w:eastAsia="Calibri" w:cs="Calibri" w:asciiTheme="minorAscii" w:hAnsiTheme="minorAscii" w:eastAsiaTheme="minorAscii" w:cstheme="minorAscii"/>
          <w:b w:val="0"/>
          <w:bCs w:val="0"/>
          <w:i w:val="0"/>
          <w:iCs w:val="0"/>
          <w:noProof w:val="0"/>
          <w:color w:val="auto"/>
          <w:sz w:val="22"/>
          <w:szCs w:val="22"/>
          <w:lang w:val="en-GB"/>
        </w:rPr>
        <w:t>unforeseeable natural event breaking the chain of causation</w:t>
      </w:r>
      <w:r w:rsidRPr="06890F77" w:rsidR="622DA0DA">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p>
    <w:p w:rsidR="4BDC199D" w:rsidP="06890F77" w:rsidRDefault="4BDC199D" w14:paraId="36FD37C2" w14:textId="7E576B5E">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4BDC199D">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Baker v Willoughby [1970] AC </w:t>
      </w:r>
      <w:r w:rsidRPr="06890F77" w:rsidR="7956D3C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467 </w:t>
      </w:r>
      <w:r w:rsidRPr="06890F77" w:rsidR="7956D3CC">
        <w:rPr>
          <w:rFonts w:ascii="Calibri" w:hAnsi="Calibri" w:eastAsia="Calibri" w:cs="Calibri" w:asciiTheme="minorAscii" w:hAnsiTheme="minorAscii" w:eastAsiaTheme="minorAscii" w:cstheme="minorAscii"/>
          <w:b w:val="0"/>
          <w:bCs w:val="0"/>
          <w:i w:val="0"/>
          <w:iCs w:val="0"/>
          <w:noProof w:val="0"/>
          <w:color w:val="auto"/>
          <w:sz w:val="22"/>
          <w:szCs w:val="22"/>
          <w:lang w:val="en-GB"/>
        </w:rPr>
        <w:t>looked at whether</w:t>
      </w:r>
      <w:r w:rsidRPr="06890F77" w:rsidR="29DBBD0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defendant should be held responsible for long term effects of an injury which have been made worse by the conduct of a third party.</w:t>
      </w:r>
      <w:r w:rsidRPr="06890F77" w:rsidR="37FBB8F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this specific case, negligent driving by the defendant resulted in a leg injury and </w:t>
      </w:r>
      <w:r w:rsidRPr="06890F77" w:rsidR="2295F257">
        <w:rPr>
          <w:rFonts w:ascii="Calibri" w:hAnsi="Calibri" w:eastAsia="Calibri" w:cs="Calibri" w:asciiTheme="minorAscii" w:hAnsiTheme="minorAscii" w:eastAsiaTheme="minorAscii" w:cstheme="minorAscii"/>
          <w:b w:val="0"/>
          <w:bCs w:val="0"/>
          <w:i w:val="0"/>
          <w:iCs w:val="0"/>
          <w:noProof w:val="0"/>
          <w:color w:val="auto"/>
          <w:sz w:val="22"/>
          <w:szCs w:val="22"/>
          <w:lang w:val="en-GB"/>
        </w:rPr>
        <w:t>long-term</w:t>
      </w:r>
      <w:r w:rsidRPr="06890F77" w:rsidR="37FBB8F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556EDEA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physical issues. This </w:t>
      </w:r>
      <w:r w:rsidRPr="06890F77" w:rsidR="556EDEA6">
        <w:rPr>
          <w:rFonts w:ascii="Calibri" w:hAnsi="Calibri" w:eastAsia="Calibri" w:cs="Calibri" w:asciiTheme="minorAscii" w:hAnsiTheme="minorAscii" w:eastAsiaTheme="minorAscii" w:cstheme="minorAscii"/>
          <w:b w:val="0"/>
          <w:bCs w:val="0"/>
          <w:i w:val="0"/>
          <w:iCs w:val="0"/>
          <w:noProof w:val="0"/>
          <w:color w:val="auto"/>
          <w:sz w:val="22"/>
          <w:szCs w:val="22"/>
          <w:lang w:val="en-GB"/>
        </w:rPr>
        <w:t>impacted</w:t>
      </w:r>
      <w:r w:rsidRPr="06890F77" w:rsidR="556EDEA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upon the claimants social and working life. </w:t>
      </w:r>
      <w:r w:rsidRPr="06890F77" w:rsidR="0882702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To continue, separate to this, the defendant was victim of a robbery causing irreversible damage leading to it being amputated. </w:t>
      </w:r>
      <w:r w:rsidRPr="06890F77" w:rsidR="6D83D22E">
        <w:rPr>
          <w:rFonts w:ascii="Calibri" w:hAnsi="Calibri" w:eastAsia="Calibri" w:cs="Calibri" w:asciiTheme="minorAscii" w:hAnsiTheme="minorAscii" w:eastAsiaTheme="minorAscii" w:cstheme="minorAscii"/>
          <w:b w:val="0"/>
          <w:bCs w:val="0"/>
          <w:i w:val="0"/>
          <w:iCs w:val="0"/>
          <w:noProof w:val="0"/>
          <w:color w:val="auto"/>
          <w:sz w:val="22"/>
          <w:szCs w:val="22"/>
          <w:lang w:val="en-GB"/>
        </w:rPr>
        <w:t>The concern was whether the seco</w:t>
      </w:r>
      <w:r w:rsidRPr="06890F77" w:rsidR="6D83D2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nd </w:t>
      </w:r>
      <w:r w:rsidRPr="06890F77" w:rsidR="3871B206">
        <w:rPr>
          <w:rFonts w:ascii="Calibri" w:hAnsi="Calibri" w:eastAsia="Calibri" w:cs="Calibri" w:asciiTheme="minorAscii" w:hAnsiTheme="minorAscii" w:eastAsiaTheme="minorAscii" w:cstheme="minorAscii"/>
          <w:b w:val="0"/>
          <w:bCs w:val="0"/>
          <w:i w:val="0"/>
          <w:iCs w:val="0"/>
          <w:noProof w:val="0"/>
          <w:color w:val="auto"/>
          <w:sz w:val="22"/>
          <w:szCs w:val="22"/>
          <w:lang w:val="en-GB"/>
        </w:rPr>
        <w:t>Injury</w:t>
      </w:r>
      <w:r w:rsidRPr="06890F77" w:rsidR="6D83D2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was a new </w:t>
      </w:r>
      <w:r w:rsidRPr="06890F77" w:rsidR="3DB92373">
        <w:rPr>
          <w:rFonts w:ascii="Calibri" w:hAnsi="Calibri" w:eastAsia="Calibri" w:cs="Calibri" w:asciiTheme="minorAscii" w:hAnsiTheme="minorAscii" w:eastAsiaTheme="minorAscii" w:cstheme="minorAscii"/>
          <w:b w:val="0"/>
          <w:bCs w:val="0"/>
          <w:i w:val="0"/>
          <w:iCs w:val="0"/>
          <w:noProof w:val="0"/>
          <w:color w:val="auto"/>
          <w:sz w:val="22"/>
          <w:szCs w:val="22"/>
          <w:lang w:val="en-GB"/>
        </w:rPr>
        <w:t>intervening</w:t>
      </w:r>
      <w:r w:rsidRPr="06890F77" w:rsidR="6D83D2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 or if the </w:t>
      </w:r>
      <w:r w:rsidRPr="06890F77" w:rsidR="57CDCF81">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defendant</w:t>
      </w:r>
      <w:r w:rsidRPr="06890F77" w:rsidR="6D83D2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was to be held accountable for </w:t>
      </w:r>
      <w:r w:rsidRPr="06890F77" w:rsidR="1FB9FEAA">
        <w:rPr>
          <w:rFonts w:ascii="Calibri" w:hAnsi="Calibri" w:eastAsia="Calibri" w:cs="Calibri" w:asciiTheme="minorAscii" w:hAnsiTheme="minorAscii" w:eastAsiaTheme="minorAscii" w:cstheme="minorAscii"/>
          <w:b w:val="0"/>
          <w:bCs w:val="0"/>
          <w:i w:val="0"/>
          <w:iCs w:val="0"/>
          <w:noProof w:val="0"/>
          <w:color w:val="auto"/>
          <w:sz w:val="22"/>
          <w:szCs w:val="22"/>
          <w:lang w:val="en-GB"/>
        </w:rPr>
        <w:t>damages suf</w:t>
      </w:r>
      <w:r w:rsidRPr="06890F77" w:rsidR="1FB9FEAA">
        <w:rPr>
          <w:rFonts w:ascii="Calibri" w:hAnsi="Calibri" w:eastAsia="Calibri" w:cs="Calibri" w:asciiTheme="minorAscii" w:hAnsiTheme="minorAscii" w:eastAsiaTheme="minorAscii" w:cstheme="minorAscii"/>
          <w:b w:val="0"/>
          <w:bCs w:val="0"/>
          <w:i w:val="0"/>
          <w:iCs w:val="0"/>
          <w:noProof w:val="0"/>
          <w:color w:val="auto"/>
          <w:sz w:val="22"/>
          <w:szCs w:val="22"/>
          <w:lang w:val="en-GB"/>
        </w:rPr>
        <w:t>fer</w:t>
      </w:r>
      <w:r w:rsidRPr="06890F77" w:rsidR="5002736C">
        <w:rPr>
          <w:rFonts w:ascii="Calibri" w:hAnsi="Calibri" w:eastAsia="Calibri" w:cs="Calibri" w:asciiTheme="minorAscii" w:hAnsiTheme="minorAscii" w:eastAsiaTheme="minorAscii" w:cstheme="minorAscii"/>
          <w:b w:val="0"/>
          <w:bCs w:val="0"/>
          <w:i w:val="0"/>
          <w:iCs w:val="0"/>
          <w:noProof w:val="0"/>
          <w:color w:val="auto"/>
          <w:sz w:val="22"/>
          <w:szCs w:val="22"/>
          <w:lang w:val="en-GB"/>
        </w:rPr>
        <w:t>e</w:t>
      </w:r>
      <w:r w:rsidRPr="06890F77" w:rsidR="5002736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d. </w:t>
      </w:r>
      <w:r w:rsidRPr="06890F77" w:rsidR="293AA65C">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06890F77" w:rsidR="293AA65C">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Caldwell, R. </w:t>
      </w:r>
      <w:r w:rsidRPr="06890F77" w:rsidR="293AA65C">
        <w:rPr>
          <w:rFonts w:ascii="Calibri" w:hAnsi="Calibri" w:eastAsia="Calibri" w:cs="Calibri" w:asciiTheme="minorAscii" w:hAnsiTheme="minorAscii" w:eastAsiaTheme="minorAscii" w:cstheme="minorAscii"/>
          <w:b w:val="0"/>
          <w:bCs w:val="0"/>
          <w:i w:val="1"/>
          <w:iCs w:val="1"/>
          <w:noProof w:val="0"/>
          <w:color w:val="auto"/>
          <w:sz w:val="22"/>
          <w:szCs w:val="22"/>
          <w:lang w:val="en-GB"/>
        </w:rPr>
        <w:t>2017)</w:t>
      </w:r>
      <w:r w:rsidRPr="06890F77" w:rsidR="293AA65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5002736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approach the court took was that if the </w:t>
      </w:r>
      <w:r w:rsidRPr="06890F77" w:rsidR="5002736C">
        <w:rPr>
          <w:rFonts w:ascii="Calibri" w:hAnsi="Calibri" w:eastAsia="Calibri" w:cs="Calibri" w:asciiTheme="minorAscii" w:hAnsiTheme="minorAscii" w:eastAsiaTheme="minorAscii" w:cstheme="minorAscii"/>
          <w:b w:val="0"/>
          <w:bCs w:val="0"/>
          <w:i w:val="0"/>
          <w:iCs w:val="0"/>
          <w:noProof w:val="0"/>
          <w:color w:val="auto"/>
          <w:sz w:val="22"/>
          <w:szCs w:val="22"/>
          <w:lang w:val="en-GB"/>
        </w:rPr>
        <w:t>initial</w:t>
      </w:r>
      <w:r w:rsidRPr="06890F77" w:rsidR="5002736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negligent act had not occurred, the </w:t>
      </w:r>
      <w:r w:rsidRPr="06890F77" w:rsidR="566909D0">
        <w:rPr>
          <w:rFonts w:ascii="Calibri" w:hAnsi="Calibri" w:eastAsia="Calibri" w:cs="Calibri" w:asciiTheme="minorAscii" w:hAnsiTheme="minorAscii" w:eastAsiaTheme="minorAscii" w:cstheme="minorAscii"/>
          <w:b w:val="0"/>
          <w:bCs w:val="0"/>
          <w:i w:val="0"/>
          <w:iCs w:val="0"/>
          <w:noProof w:val="0"/>
          <w:color w:val="auto"/>
          <w:sz w:val="22"/>
          <w:szCs w:val="22"/>
          <w:lang w:val="en-GB"/>
        </w:rPr>
        <w:t>claimant</w:t>
      </w:r>
      <w:r w:rsidRPr="06890F77" w:rsidR="566909D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would not have lost his leg. It was </w:t>
      </w:r>
      <w:r w:rsidRPr="06890F77" w:rsidR="566909D0">
        <w:rPr>
          <w:rFonts w:ascii="Calibri" w:hAnsi="Calibri" w:eastAsia="Calibri" w:cs="Calibri" w:asciiTheme="minorAscii" w:hAnsiTheme="minorAscii" w:eastAsiaTheme="minorAscii" w:cstheme="minorAscii"/>
          <w:b w:val="0"/>
          <w:bCs w:val="0"/>
          <w:i w:val="0"/>
          <w:iCs w:val="0"/>
          <w:noProof w:val="0"/>
          <w:color w:val="auto"/>
          <w:sz w:val="22"/>
          <w:szCs w:val="22"/>
          <w:lang w:val="en-GB"/>
        </w:rPr>
        <w:t>stated</w:t>
      </w:r>
      <w:r w:rsidRPr="06890F77" w:rsidR="566909D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that when there are two accidents that are consecutive and contribute to the same injury, the original defendant would be liable for the overall injury. (</w:t>
      </w:r>
      <w:r w:rsidRPr="06890F77" w:rsidR="566909D0">
        <w:rPr>
          <w:rFonts w:ascii="Calibri" w:hAnsi="Calibri" w:eastAsia="Calibri" w:cs="Calibri" w:asciiTheme="minorAscii" w:hAnsiTheme="minorAscii" w:eastAsiaTheme="minorAscii" w:cstheme="minorAscii"/>
          <w:b w:val="0"/>
          <w:bCs w:val="0"/>
          <w:i w:val="1"/>
          <w:iCs w:val="1"/>
          <w:noProof w:val="0"/>
          <w:color w:val="auto"/>
          <w:sz w:val="22"/>
          <w:szCs w:val="22"/>
          <w:lang w:val="en-GB"/>
        </w:rPr>
        <w:t>Steele, J 2017)</w:t>
      </w:r>
      <w:r w:rsidRPr="06890F77" w:rsidR="71E8640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some cases, the courts want to ensure that a particular defendant remains liable despite an intervening event because </w:t>
      </w:r>
      <w:r w:rsidRPr="06890F77" w:rsidR="335BDAF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they are culpable for their </w:t>
      </w:r>
      <w:r w:rsidRPr="06890F77" w:rsidR="255DDE99">
        <w:rPr>
          <w:rFonts w:ascii="Calibri" w:hAnsi="Calibri" w:eastAsia="Calibri" w:cs="Calibri" w:asciiTheme="minorAscii" w:hAnsiTheme="minorAscii" w:eastAsiaTheme="minorAscii" w:cstheme="minorAscii"/>
          <w:b w:val="0"/>
          <w:bCs w:val="0"/>
          <w:i w:val="0"/>
          <w:iCs w:val="0"/>
          <w:noProof w:val="0"/>
          <w:color w:val="auto"/>
          <w:sz w:val="22"/>
          <w:szCs w:val="22"/>
          <w:lang w:val="en-GB"/>
        </w:rPr>
        <w:t>original</w:t>
      </w:r>
      <w:r w:rsidRPr="06890F77" w:rsidR="335BDAF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act. Finally, it may prevent them from repeating that act, provides fairness and may deter other people f</w:t>
      </w:r>
      <w:r w:rsidRPr="06890F77" w:rsidR="066552E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rom future negligence. </w:t>
      </w:r>
      <w:r w:rsidRPr="06890F77" w:rsidR="2D5ACB2C">
        <w:rPr>
          <w:rFonts w:ascii="Calibri" w:hAnsi="Calibri" w:eastAsia="Calibri" w:cs="Calibri" w:asciiTheme="minorAscii" w:hAnsiTheme="minorAscii" w:eastAsiaTheme="minorAscii" w:cstheme="minorAscii"/>
          <w:b w:val="0"/>
          <w:bCs w:val="0"/>
          <w:i w:val="0"/>
          <w:iCs w:val="0"/>
          <w:noProof w:val="0"/>
          <w:color w:val="auto"/>
          <w:sz w:val="22"/>
          <w:szCs w:val="22"/>
          <w:lang w:val="en-GB"/>
        </w:rPr>
        <w:t>It will ensure that any separate events that occur, where the victim suffers as a result of a previous negligent act, that the defendant can be found liable for further dama</w:t>
      </w:r>
      <w:r w:rsidRPr="06890F77" w:rsidR="0CAD3DC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ge. </w:t>
      </w:r>
    </w:p>
    <w:p w:rsidR="051D17AF" w:rsidP="06890F77" w:rsidRDefault="051D17AF" w14:paraId="7540628B" w14:textId="7C54915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051D17A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S</w:t>
      </w:r>
      <w:r w:rsidRPr="06890F77" w:rsidR="5CA6259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mith v Littlewoods Organisation Ltd [1987] AC 241</w:t>
      </w:r>
      <w:r w:rsidRPr="06890F77" w:rsidR="22FB2B1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06890F77" w:rsidR="22FB2B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duty of care will not exist in relation to </w:t>
      </w:r>
      <w:r w:rsidRPr="06890F77" w:rsidR="024D9D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omissions</w:t>
      </w:r>
      <w:r w:rsidRPr="06890F77" w:rsidR="22FB2B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acts by third parts. </w:t>
      </w:r>
      <w:r w:rsidRPr="06890F77" w:rsidR="3A8BEC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However,</w:t>
      </w:r>
      <w:r w:rsidRPr="06890F77" w:rsidR="22FB2B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6890F77" w:rsidR="66C790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Lord Goff identified </w:t>
      </w:r>
      <w:r w:rsidRPr="06890F77" w:rsidR="671BE0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exceptions to this, where </w:t>
      </w:r>
      <w:r w:rsidRPr="06890F77" w:rsidR="66C790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conditions </w:t>
      </w:r>
      <w:r w:rsidRPr="06890F77" w:rsidR="40F282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arise </w:t>
      </w:r>
      <w:r w:rsidRPr="06890F77" w:rsidR="66C790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for a party to become liable by the actions of a third party. </w:t>
      </w:r>
    </w:p>
    <w:p w:rsidR="48DDA4C3" w:rsidP="06890F77" w:rsidRDefault="48DDA4C3" w14:paraId="541E2EC1" w14:textId="61FEA97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48DDA4C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Topp v London Country Buses (</w:t>
      </w:r>
      <w:r w:rsidRPr="06890F77" w:rsidR="48DDA4C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South West</w:t>
      </w:r>
      <w:r w:rsidRPr="06890F77" w:rsidR="48DDA4C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Ltd [1993] 3 All ER 448 </w:t>
      </w:r>
      <w:r w:rsidRPr="06890F77" w:rsidR="48DDA4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is an example of breaking the chain of causation. </w:t>
      </w:r>
      <w:r w:rsidRPr="06890F77" w:rsidR="4F443B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this case a minibus was stolen which resulted in a death. The claimant tried to sue the bus </w:t>
      </w:r>
      <w:r w:rsidRPr="06890F77" w:rsidR="1A321A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service</w:t>
      </w:r>
      <w:r w:rsidRPr="06890F77" w:rsidR="4F443B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w:t>
      </w:r>
      <w:r w:rsidRPr="06890F77" w:rsidR="5081B7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ince the joyriders could not be tracked</w:t>
      </w:r>
      <w:r w:rsidRPr="06890F77" w:rsidR="74A41D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after the crime</w:t>
      </w:r>
      <w:r w:rsidRPr="06890F77" w:rsidR="5081B7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6890F77" w:rsidR="527069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No duty of care </w:t>
      </w:r>
      <w:r w:rsidRPr="06890F77" w:rsidR="527069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emerged</w:t>
      </w:r>
      <w:r w:rsidRPr="06890F77" w:rsidR="527069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it was a voluntary act</w:t>
      </w:r>
      <w:r w:rsidRPr="06890F77" w:rsidR="382972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was </w:t>
      </w:r>
      <w:r w:rsidRPr="06890F77" w:rsidR="382972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06890F77" w:rsidR="382972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novus actus interveniens.</w:t>
      </w:r>
      <w:r w:rsidRPr="06890F77" w:rsidR="548F3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6890F77" w:rsidR="754FB8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Furthermore, a</w:t>
      </w:r>
      <w:r w:rsidRPr="06890F77" w:rsidR="548F3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 seen in </w:t>
      </w:r>
      <w:r w:rsidRPr="06890F77" w:rsidR="548F3F8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Stansbie</w:t>
      </w:r>
      <w:r w:rsidRPr="06890F77" w:rsidR="548F3F8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v Troman [1948] 2 KB 48</w:t>
      </w:r>
      <w:r w:rsidRPr="06890F77" w:rsidR="548F3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is comparable to the </w:t>
      </w:r>
      <w:r w:rsidRPr="06890F77" w:rsidR="548F3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previous</w:t>
      </w:r>
      <w:r w:rsidRPr="06890F77" w:rsidR="548F3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case, </w:t>
      </w:r>
      <w:r w:rsidRPr="06890F77" w:rsidR="06527A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claimant alleged that a decorator who was alone in her property ow</w:t>
      </w:r>
      <w:r w:rsidRPr="06890F77" w:rsidR="25A294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ed</w:t>
      </w:r>
      <w:r w:rsidRPr="06890F77" w:rsidR="06527A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duty of care</w:t>
      </w:r>
      <w:r w:rsidRPr="06890F77" w:rsidR="418D2B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not only to act responsibly but to protect the house. </w:t>
      </w:r>
      <w:r w:rsidRPr="06890F77" w:rsidR="7E6C84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Unlike </w:t>
      </w:r>
      <w:r w:rsidRPr="06890F77" w:rsidR="7E6C84A4">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Topp v London Country Buses, </w:t>
      </w:r>
      <w:r w:rsidRPr="06890F77" w:rsidR="7E6C84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Stansbie was found liable when a thief </w:t>
      </w:r>
      <w:r w:rsidRPr="06890F77" w:rsidR="15FD46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entered</w:t>
      </w:r>
      <w:r w:rsidRPr="06890F77" w:rsidR="7E6C84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stole</w:t>
      </w:r>
      <w:r w:rsidRPr="06890F77" w:rsidR="5DBEF7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defendants' properties. There was clearly a failure to take care. </w:t>
      </w:r>
      <w:r w:rsidRPr="06890F77" w:rsidR="2D8E07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Here you can see a different approach and result between both cases. Surely, </w:t>
      </w:r>
      <w:r w:rsidRPr="06890F77" w:rsidR="2D8E077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London Country Buses </w:t>
      </w:r>
      <w:r w:rsidRPr="06890F77" w:rsidR="2D8E07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knew of the possibility of danger</w:t>
      </w:r>
      <w:r w:rsidRPr="06890F77" w:rsidR="4C8693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06890F77" w:rsidR="4C8693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a result of</w:t>
      </w:r>
      <w:r w:rsidRPr="06890F77" w:rsidR="4C8693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not removing it, a death occurred</w:t>
      </w:r>
      <w:r w:rsidRPr="06890F77" w:rsidR="1217BD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6890F77" w:rsidR="1217BDC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‘created or failed to remove danger</w:t>
      </w:r>
      <w:r w:rsidRPr="06890F77" w:rsidR="1217BDC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w:t>
      </w:r>
      <w:r w:rsidRPr="06890F77" w:rsidR="22ECF1F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w:t>
      </w:r>
      <w:r w:rsidRPr="06890F77" w:rsidR="22ECF1F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(Lord Goff, 1987). </w:t>
      </w:r>
    </w:p>
    <w:p w:rsidR="444FC7EE" w:rsidP="06890F77" w:rsidRDefault="444FC7EE" w14:paraId="6FEBFF49" w14:textId="6E61A799">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5E6B08D3">
        <w:rPr>
          <w:rFonts w:ascii="Calibri" w:hAnsi="Calibri" w:eastAsia="Calibri" w:cs="Calibri" w:asciiTheme="minorAscii" w:hAnsiTheme="minorAscii" w:eastAsiaTheme="minorAscii" w:cstheme="minorAscii"/>
          <w:b w:val="0"/>
          <w:bCs w:val="0"/>
          <w:i w:val="1"/>
          <w:iCs w:val="1"/>
          <w:noProof w:val="0"/>
          <w:color w:val="auto"/>
          <w:sz w:val="22"/>
          <w:szCs w:val="22"/>
          <w:lang w:val="en-GB"/>
        </w:rPr>
        <w:t>Haynes v Harwood [1935] 1 KB 146</w:t>
      </w:r>
      <w:r w:rsidRPr="06890F77" w:rsidR="5E6B08D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0E8DBF86">
        <w:rPr>
          <w:rFonts w:ascii="Calibri" w:hAnsi="Calibri" w:eastAsia="Calibri" w:cs="Calibri" w:asciiTheme="minorAscii" w:hAnsiTheme="minorAscii" w:eastAsiaTheme="minorAscii" w:cstheme="minorAscii"/>
          <w:b w:val="0"/>
          <w:bCs w:val="0"/>
          <w:i w:val="0"/>
          <w:iCs w:val="0"/>
          <w:noProof w:val="0"/>
          <w:color w:val="auto"/>
          <w:sz w:val="22"/>
          <w:szCs w:val="22"/>
          <w:lang w:val="en-GB"/>
        </w:rPr>
        <w:t>demonstrated</w:t>
      </w:r>
      <w:r w:rsidRPr="06890F77" w:rsidR="5E6B08D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 exception to the general rule of duty of care </w:t>
      </w:r>
      <w:r w:rsidRPr="06890F77" w:rsidR="23768469">
        <w:rPr>
          <w:rFonts w:ascii="Calibri" w:hAnsi="Calibri" w:eastAsia="Calibri" w:cs="Calibri" w:asciiTheme="minorAscii" w:hAnsiTheme="minorAscii" w:eastAsiaTheme="minorAscii" w:cstheme="minorAscii"/>
          <w:b w:val="0"/>
          <w:bCs w:val="0"/>
          <w:i w:val="0"/>
          <w:iCs w:val="0"/>
          <w:noProof w:val="0"/>
          <w:color w:val="auto"/>
          <w:sz w:val="22"/>
          <w:szCs w:val="22"/>
          <w:lang w:val="en-GB"/>
        </w:rPr>
        <w:t>in</w:t>
      </w:r>
      <w:r w:rsidRPr="06890F77" w:rsidR="5E6B08D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regards to third parties.</w:t>
      </w:r>
      <w:r w:rsidRPr="06890F77" w:rsidR="2A8B4EA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legal owner of a horse was responsible for i</w:t>
      </w:r>
      <w:r w:rsidRPr="06890F77" w:rsidR="4F6BD89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njuries caused by not securing the </w:t>
      </w:r>
      <w:r w:rsidRPr="06890F77" w:rsidR="1A59B868">
        <w:rPr>
          <w:rFonts w:ascii="Calibri" w:hAnsi="Calibri" w:eastAsia="Calibri" w:cs="Calibri" w:asciiTheme="minorAscii" w:hAnsiTheme="minorAscii" w:eastAsiaTheme="minorAscii" w:cstheme="minorAscii"/>
          <w:b w:val="0"/>
          <w:bCs w:val="0"/>
          <w:i w:val="0"/>
          <w:iCs w:val="0"/>
          <w:noProof w:val="0"/>
          <w:color w:val="auto"/>
          <w:sz w:val="22"/>
          <w:szCs w:val="22"/>
          <w:lang w:val="en-GB"/>
        </w:rPr>
        <w:t>animal</w:t>
      </w:r>
      <w:r w:rsidRPr="06890F77" w:rsidR="4F6BD89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effectively. </w:t>
      </w:r>
      <w:r w:rsidRPr="06890F77" w:rsidR="79AC2B0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showed that the duty of care can extend not only to animals, but ensuring that they are </w:t>
      </w:r>
      <w:r w:rsidRPr="06890F77" w:rsidR="449A0AD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controlled. The defendant did not identify that the horse was a </w:t>
      </w:r>
      <w:r w:rsidRPr="06890F77" w:rsidR="3EB7A696">
        <w:rPr>
          <w:rFonts w:ascii="Calibri" w:hAnsi="Calibri" w:eastAsia="Calibri" w:cs="Calibri" w:asciiTheme="minorAscii" w:hAnsiTheme="minorAscii" w:eastAsiaTheme="minorAscii" w:cstheme="minorAscii"/>
          <w:b w:val="0"/>
          <w:bCs w:val="0"/>
          <w:i w:val="0"/>
          <w:iCs w:val="0"/>
          <w:noProof w:val="0"/>
          <w:color w:val="auto"/>
          <w:sz w:val="22"/>
          <w:szCs w:val="22"/>
          <w:lang w:val="en-GB"/>
        </w:rPr>
        <w:t>danger</w:t>
      </w:r>
      <w:r w:rsidRPr="06890F77" w:rsidR="3EB7A69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failed to take steps to prevent injuries. </w:t>
      </w:r>
    </w:p>
    <w:p w:rsidR="06890F77" w:rsidP="06890F77" w:rsidRDefault="06890F77" w14:paraId="5D3F73DA" w14:textId="0BC64BD0">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0A2FFB3B" w:rsidP="06890F77" w:rsidRDefault="0A2FFB3B" w14:paraId="24112F93" w14:textId="154C378E">
      <w:pPr>
        <w:pStyle w:val="Normal"/>
        <w:ind w:left="0"/>
        <w:rPr>
          <w:rFonts w:ascii="Calibri" w:hAnsi="Calibri" w:eastAsia="Calibri" w:cs="Calibri" w:asciiTheme="minorAscii" w:hAnsiTheme="minorAscii" w:eastAsiaTheme="minorAscii" w:cstheme="minorAscii"/>
          <w:b w:val="1"/>
          <w:bCs w:val="1"/>
          <w:i w:val="0"/>
          <w:iCs w:val="0"/>
          <w:noProof w:val="0"/>
          <w:color w:val="auto"/>
          <w:sz w:val="24"/>
          <w:szCs w:val="24"/>
          <w:lang w:val="en-GB"/>
        </w:rPr>
      </w:pPr>
      <w:r w:rsidRPr="06890F77" w:rsidR="0A2FFB3B">
        <w:rPr>
          <w:rFonts w:ascii="Calibri" w:hAnsi="Calibri" w:eastAsia="Calibri" w:cs="Calibri" w:asciiTheme="minorAscii" w:hAnsiTheme="minorAscii" w:eastAsiaTheme="minorAscii" w:cstheme="minorAscii"/>
          <w:b w:val="1"/>
          <w:bCs w:val="1"/>
          <w:i w:val="0"/>
          <w:iCs w:val="0"/>
          <w:noProof w:val="0"/>
          <w:color w:val="auto"/>
          <w:sz w:val="24"/>
          <w:szCs w:val="24"/>
          <w:lang w:val="en-GB"/>
        </w:rPr>
        <w:t>Case List</w:t>
      </w:r>
    </w:p>
    <w:p w:rsidR="444FC7EE" w:rsidP="06890F77" w:rsidRDefault="444FC7EE" w14:paraId="536167AA" w14:textId="419D938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3613C5C9">
        <w:rPr>
          <w:rFonts w:ascii="Calibri" w:hAnsi="Calibri" w:eastAsia="Calibri" w:cs="Calibri" w:asciiTheme="minorAscii" w:hAnsiTheme="minorAscii" w:eastAsiaTheme="minorAscii" w:cstheme="minorAscii"/>
          <w:b w:val="0"/>
          <w:bCs w:val="0"/>
          <w:i w:val="0"/>
          <w:iCs w:val="0"/>
          <w:noProof w:val="0"/>
          <w:color w:val="auto"/>
          <w:sz w:val="22"/>
          <w:szCs w:val="22"/>
          <w:lang w:val="en-GB"/>
        </w:rPr>
        <w:t>Donoghue v Stevenson [1932]</w:t>
      </w:r>
    </w:p>
    <w:p w:rsidR="00A9A954" w:rsidP="06890F77" w:rsidRDefault="00A9A954" w14:paraId="64A17D97" w14:textId="6CE97641">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00A9A95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Caparo Industries </w:t>
      </w:r>
      <w:proofErr w:type="spellStart"/>
      <w:r w:rsidRPr="06890F77" w:rsidR="00A9A954">
        <w:rPr>
          <w:rFonts w:ascii="Calibri" w:hAnsi="Calibri" w:eastAsia="Calibri" w:cs="Calibri" w:asciiTheme="minorAscii" w:hAnsiTheme="minorAscii" w:eastAsiaTheme="minorAscii" w:cstheme="minorAscii"/>
          <w:b w:val="0"/>
          <w:bCs w:val="0"/>
          <w:i w:val="0"/>
          <w:iCs w:val="0"/>
          <w:noProof w:val="0"/>
          <w:color w:val="auto"/>
          <w:sz w:val="22"/>
          <w:szCs w:val="22"/>
          <w:lang w:val="en-GB"/>
        </w:rPr>
        <w:t>pIc</w:t>
      </w:r>
      <w:proofErr w:type="spellEnd"/>
      <w:r w:rsidRPr="06890F77" w:rsidR="00A9A95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v Dickman [1990] 2 AC 605</w:t>
      </w:r>
    </w:p>
    <w:p w:rsidR="3613C5C9" w:rsidP="06890F77" w:rsidRDefault="3613C5C9" w14:paraId="4937F4B8" w14:textId="154D0B25">
      <w:pPr>
        <w:pStyle w:val="Normal"/>
        <w:ind w:left="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pPr>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Corr v IBC Vehicles Ltd [2008] UKHL 13; [2008] 2 WLR 499</w:t>
      </w:r>
    </w:p>
    <w:p w:rsidR="3613C5C9" w:rsidP="06890F77" w:rsidRDefault="3613C5C9" w14:paraId="3C030A5B" w14:textId="3CF90EE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Home Office v Dorset Yacht Co Ltd [1970] UKHL 2, [1970]</w:t>
      </w:r>
    </w:p>
    <w:p w:rsidR="3613C5C9" w:rsidP="06890F77" w:rsidRDefault="3613C5C9" w14:paraId="07C888E5" w14:textId="3504375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Knightley v Johns &amp; Ors [1982]</w:t>
      </w:r>
    </w:p>
    <w:p w:rsidR="6C0C4856" w:rsidP="06890F77" w:rsidRDefault="6C0C4856" w14:paraId="4379E119" w14:textId="53D5068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6C0C48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 v Smith [1959] 2 QB 35</w:t>
      </w:r>
    </w:p>
    <w:p w:rsidR="39B05DCB" w:rsidP="06890F77" w:rsidRDefault="39B05DCB" w14:paraId="6A132AC7" w14:textId="1945559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39B05D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 v Roberts [1971] EWCA Crim 4</w:t>
      </w:r>
    </w:p>
    <w:p w:rsidR="3613C5C9" w:rsidP="06890F77" w:rsidRDefault="3613C5C9" w14:paraId="26C0927A" w14:textId="4927307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Carslogie</w:t>
      </w:r>
      <w:proofErr w:type="spellEnd"/>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Steamship Co Ltd v Royal Norwegian Government [1952]  </w:t>
      </w:r>
    </w:p>
    <w:p w:rsidR="3613C5C9" w:rsidP="06890F77" w:rsidRDefault="3613C5C9" w14:paraId="5958EC23" w14:textId="098E8EF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Weiland v Cyril Lord Carpets Ltd [1969]</w:t>
      </w:r>
    </w:p>
    <w:p w:rsidR="1902D064" w:rsidP="06890F77" w:rsidRDefault="1902D064" w14:paraId="439F7AAB" w14:textId="56092D8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1902D0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 v Blaue [1975] 1 WLR 1411</w:t>
      </w:r>
    </w:p>
    <w:p w:rsidR="3613C5C9" w:rsidP="06890F77" w:rsidRDefault="3613C5C9" w14:paraId="7EE19483" w14:textId="4FCC965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Pigney</w:t>
      </w:r>
      <w:proofErr w:type="spellEnd"/>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v Pointer’s Transport Services Ltd [1957] 1 WLR 1121</w:t>
      </w:r>
    </w:p>
    <w:p w:rsidR="3613C5C9" w:rsidP="06890F77" w:rsidRDefault="3613C5C9" w14:paraId="171D0A8E" w14:textId="1C7A216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McKew v Holland &amp; Hannen &amp; </w:t>
      </w:r>
      <w:proofErr w:type="spellStart"/>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Cubitts</w:t>
      </w:r>
      <w:proofErr w:type="spellEnd"/>
      <w:r w:rsidRPr="06890F77" w:rsidR="3613C5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(Scotland) Ltd. [1969] 3 All ER 1621</w:t>
      </w:r>
    </w:p>
    <w:p w:rsidR="234229D7" w:rsidP="06890F77" w:rsidRDefault="234229D7" w14:paraId="19B001EE" w14:textId="62D6B3C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234229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Jobling v Associated Dairies Ltd [1982] AC 794</w:t>
      </w:r>
    </w:p>
    <w:p w:rsidR="58A94665" w:rsidP="06890F77" w:rsidRDefault="58A94665" w14:paraId="370D60E0" w14:textId="0C79EC9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58A946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Baker v Willoughby [1970] AC 467</w:t>
      </w:r>
    </w:p>
    <w:p w:rsidR="234229D7" w:rsidP="06890F77" w:rsidRDefault="234229D7" w14:paraId="26CEC67C" w14:textId="142E4EA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234229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Hotson v East Berkshire Area Health Authority [1987] 2 All ER 909</w:t>
      </w:r>
    </w:p>
    <w:p w:rsidR="0B04D407" w:rsidP="06890F77" w:rsidRDefault="0B04D407" w14:paraId="78ED17C5" w14:textId="35BC363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0B04D4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McGhee v National Coal Board [1973] 1 WLR 1</w:t>
      </w:r>
    </w:p>
    <w:p w:rsidR="234229D7" w:rsidP="06890F77" w:rsidRDefault="234229D7" w14:paraId="1F5635AC" w14:textId="4A124D4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234229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Smith v Littlewoods Organisation Ltd [1987] AC 241</w:t>
      </w:r>
    </w:p>
    <w:p w:rsidR="679FE230" w:rsidP="06890F77" w:rsidRDefault="679FE230" w14:paraId="2F0BB902" w14:textId="0C4873A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679FE2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Stansbie v Troman [1948]</w:t>
      </w:r>
    </w:p>
    <w:p w:rsidR="234229D7" w:rsidP="06890F77" w:rsidRDefault="234229D7" w14:paraId="4FB74672" w14:textId="6211046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90F77" w:rsidR="234229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Topp v London Country Buses (South West) Ltd [1993] 3 All ER 448</w:t>
      </w:r>
    </w:p>
    <w:p w:rsidR="7A89AFB7" w:rsidP="06890F77" w:rsidRDefault="7A89AFB7" w14:paraId="277CEB4B" w14:textId="5F2B3B74">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A89AFB7">
        <w:rPr>
          <w:rFonts w:ascii="Calibri" w:hAnsi="Calibri" w:eastAsia="Calibri" w:cs="Calibri" w:asciiTheme="minorAscii" w:hAnsiTheme="minorAscii" w:eastAsiaTheme="minorAscii" w:cstheme="minorAscii"/>
          <w:b w:val="0"/>
          <w:bCs w:val="0"/>
          <w:i w:val="0"/>
          <w:iCs w:val="0"/>
          <w:noProof w:val="0"/>
          <w:color w:val="auto"/>
          <w:sz w:val="22"/>
          <w:szCs w:val="22"/>
          <w:lang w:val="en-GB"/>
        </w:rPr>
        <w:t>Haynes v Harwood [1935] 1 KB 146</w:t>
      </w:r>
    </w:p>
    <w:p w:rsidR="06890F77" w:rsidP="06890F77" w:rsidRDefault="06890F77" w14:paraId="299B3642" w14:textId="541272D4">
      <w:pPr>
        <w:pStyle w:val="Normal"/>
        <w:ind w:left="0"/>
        <w:rPr>
          <w:rFonts w:ascii="Calibri" w:hAnsi="Calibri" w:eastAsia="Calibri" w:cs="Calibri" w:asciiTheme="minorAscii" w:hAnsiTheme="minorAscii" w:eastAsiaTheme="minorAscii" w:cstheme="minorAscii"/>
          <w:b w:val="0"/>
          <w:bCs w:val="0"/>
          <w:i w:val="1"/>
          <w:iCs w:val="1"/>
          <w:noProof w:val="0"/>
          <w:color w:val="auto"/>
          <w:sz w:val="22"/>
          <w:szCs w:val="22"/>
          <w:lang w:val="en-GB"/>
        </w:rPr>
      </w:pPr>
    </w:p>
    <w:p w:rsidR="06890F77" w:rsidP="06890F77" w:rsidRDefault="06890F77" w14:paraId="5073C88B" w14:textId="56921AAE">
      <w:pPr>
        <w:pStyle w:val="Normal"/>
        <w:ind w:left="0"/>
        <w:rPr>
          <w:rFonts w:ascii="Calibri" w:hAnsi="Calibri" w:eastAsia="Calibri" w:cs="Calibri" w:asciiTheme="minorAscii" w:hAnsiTheme="minorAscii" w:eastAsiaTheme="minorAscii" w:cstheme="minorAscii"/>
          <w:b w:val="0"/>
          <w:bCs w:val="0"/>
          <w:i w:val="1"/>
          <w:iCs w:val="1"/>
          <w:noProof w:val="0"/>
          <w:color w:val="auto"/>
          <w:sz w:val="22"/>
          <w:szCs w:val="22"/>
          <w:lang w:val="en-GB"/>
        </w:rPr>
      </w:pPr>
    </w:p>
    <w:p w:rsidR="2686B2AA" w:rsidP="06890F77" w:rsidRDefault="2686B2AA" w14:paraId="030F0B11" w14:textId="22791685">
      <w:pPr>
        <w:pStyle w:val="Normal"/>
        <w:ind w:left="0"/>
        <w:rPr>
          <w:rFonts w:ascii="Calibri" w:hAnsi="Calibri" w:eastAsia="Calibri" w:cs="Calibri" w:asciiTheme="minorAscii" w:hAnsiTheme="minorAscii" w:eastAsiaTheme="minorAscii" w:cstheme="minorAscii"/>
          <w:b w:val="1"/>
          <w:bCs w:val="1"/>
          <w:i w:val="0"/>
          <w:iCs w:val="0"/>
          <w:noProof w:val="0"/>
          <w:color w:val="auto"/>
          <w:sz w:val="24"/>
          <w:szCs w:val="24"/>
          <w:lang w:val="en-GB"/>
        </w:rPr>
      </w:pPr>
      <w:r w:rsidRPr="06890F77" w:rsidR="2686B2AA">
        <w:rPr>
          <w:rFonts w:ascii="Calibri" w:hAnsi="Calibri" w:eastAsia="Calibri" w:cs="Calibri" w:asciiTheme="minorAscii" w:hAnsiTheme="minorAscii" w:eastAsiaTheme="minorAscii" w:cstheme="minorAscii"/>
          <w:b w:val="1"/>
          <w:bCs w:val="1"/>
          <w:i w:val="0"/>
          <w:iCs w:val="0"/>
          <w:noProof w:val="0"/>
          <w:color w:val="auto"/>
          <w:sz w:val="24"/>
          <w:szCs w:val="24"/>
          <w:lang w:val="en-GB"/>
        </w:rPr>
        <w:t>References</w:t>
      </w:r>
    </w:p>
    <w:p w:rsidR="6BBF6225" w:rsidP="06890F77" w:rsidRDefault="6BBF6225" w14:paraId="2321AF06" w14:textId="407DB3E2">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2686B2A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Thomas, M. (2020) ‘Breaking the Chain of Causation: Reasonable Foreseeability and the ‘Exact Form’ of a Subsequent Act: R v A [2020] EWCA Crim 407; [2020] 1 WLR 2320’, The Journal of Criminal Law, 84(6), pp. 626–629. </w:t>
      </w:r>
      <w:proofErr w:type="spellStart"/>
      <w:r w:rsidRPr="06890F77" w:rsidR="2686B2AA">
        <w:rPr>
          <w:rFonts w:ascii="Calibri" w:hAnsi="Calibri" w:eastAsia="Calibri" w:cs="Calibri" w:asciiTheme="minorAscii" w:hAnsiTheme="minorAscii" w:eastAsiaTheme="minorAscii" w:cstheme="minorAscii"/>
          <w:b w:val="0"/>
          <w:bCs w:val="0"/>
          <w:i w:val="0"/>
          <w:iCs w:val="0"/>
          <w:noProof w:val="0"/>
          <w:color w:val="auto"/>
          <w:sz w:val="22"/>
          <w:szCs w:val="22"/>
          <w:lang w:val="en-GB"/>
        </w:rPr>
        <w:t>doi</w:t>
      </w:r>
      <w:proofErr w:type="spellEnd"/>
      <w:r w:rsidRPr="06890F77" w:rsidR="2686B2AA">
        <w:rPr>
          <w:rFonts w:ascii="Calibri" w:hAnsi="Calibri" w:eastAsia="Calibri" w:cs="Calibri" w:asciiTheme="minorAscii" w:hAnsiTheme="minorAscii" w:eastAsiaTheme="minorAscii" w:cstheme="minorAscii"/>
          <w:b w:val="0"/>
          <w:bCs w:val="0"/>
          <w:i w:val="0"/>
          <w:iCs w:val="0"/>
          <w:noProof w:val="0"/>
          <w:color w:val="auto"/>
          <w:sz w:val="22"/>
          <w:szCs w:val="22"/>
          <w:lang w:val="en-GB"/>
        </w:rPr>
        <w:t>: 10.1177/0022018320972529.</w:t>
      </w:r>
    </w:p>
    <w:p w:rsidR="6BBF6225" w:rsidP="06890F77" w:rsidRDefault="6BBF6225" w14:paraId="6A847CA5" w14:textId="790FD98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0800C0F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J. G. F (1950) ‘Tort—Negligence—Dangerous Substances— “Novus Actus Interveniens”—Contributory Negligence’, Cambridge law journal, 10(3), pp. 470–471. doi:10.1017/S0008197300004578.</w:t>
      </w:r>
    </w:p>
    <w:p w:rsidR="6BBF6225" w:rsidP="06890F77" w:rsidRDefault="6BBF6225" w14:paraId="3BF79280" w14:textId="22DF53A8">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6BBF6225">
        <w:rPr>
          <w:rFonts w:ascii="Calibri" w:hAnsi="Calibri" w:eastAsia="Calibri" w:cs="Calibri" w:asciiTheme="minorAscii" w:hAnsiTheme="minorAscii" w:eastAsiaTheme="minorAscii" w:cstheme="minorAscii"/>
          <w:b w:val="0"/>
          <w:bCs w:val="0"/>
          <w:i w:val="0"/>
          <w:iCs w:val="0"/>
          <w:noProof w:val="0"/>
          <w:color w:val="auto"/>
          <w:sz w:val="22"/>
          <w:szCs w:val="22"/>
          <w:lang w:val="en-GB"/>
        </w:rPr>
        <w:t>Steel, S. (2015). Proof of Causation in Tort Law. United Kingdom: Cambridge University Press.</w:t>
      </w:r>
    </w:p>
    <w:p w:rsidR="5B3FDB09" w:rsidP="06890F77" w:rsidRDefault="5B3FDB09" w14:paraId="1EEFC322" w14:textId="15F3462B">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5B3FDB09">
        <w:rPr>
          <w:rFonts w:ascii="Calibri" w:hAnsi="Calibri" w:eastAsia="Calibri" w:cs="Calibri" w:asciiTheme="minorAscii" w:hAnsiTheme="minorAscii" w:eastAsiaTheme="minorAscii" w:cstheme="minorAscii"/>
          <w:b w:val="0"/>
          <w:bCs w:val="0"/>
          <w:i w:val="0"/>
          <w:iCs w:val="0"/>
          <w:noProof w:val="0"/>
          <w:sz w:val="22"/>
          <w:szCs w:val="22"/>
          <w:lang w:val="en-GB"/>
        </w:rPr>
        <w:t>swarb.co.uk. 2021. Corr v IBC Vehicles Ltd: HL 27 Feb 2008 - swarb.co.uk. [online] Available at: &lt;https://swarb.co.uk/corr-v-ibc-vehicles-ltd-hl-27-feb-2008/&gt; [Accessed 6 December 2021].</w:t>
      </w:r>
    </w:p>
    <w:p w:rsidR="2B2B1DA7" w:rsidP="06890F77" w:rsidRDefault="2B2B1DA7" w14:paraId="59A480D1" w14:textId="55B5FA56">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2B2B1DA7">
        <w:rPr>
          <w:rFonts w:ascii="Calibri" w:hAnsi="Calibri" w:eastAsia="Calibri" w:cs="Calibri" w:asciiTheme="minorAscii" w:hAnsiTheme="minorAscii" w:eastAsiaTheme="minorAscii" w:cstheme="minorAscii"/>
          <w:b w:val="0"/>
          <w:bCs w:val="0"/>
          <w:i w:val="0"/>
          <w:iCs w:val="0"/>
          <w:noProof w:val="0"/>
          <w:color w:val="auto"/>
          <w:sz w:val="22"/>
          <w:szCs w:val="22"/>
          <w:lang w:val="en-GB"/>
        </w:rPr>
        <w:t>Cooke</w:t>
      </w:r>
      <w:r w:rsidRPr="06890F77" w:rsidR="346CCB84">
        <w:rPr>
          <w:rFonts w:ascii="Calibri" w:hAnsi="Calibri" w:eastAsia="Calibri" w:cs="Calibri" w:asciiTheme="minorAscii" w:hAnsiTheme="minorAscii" w:eastAsiaTheme="minorAscii" w:cstheme="minorAscii"/>
          <w:b w:val="0"/>
          <w:bCs w:val="0"/>
          <w:i w:val="0"/>
          <w:iCs w:val="0"/>
          <w:noProof w:val="0"/>
          <w:color w:val="auto"/>
          <w:sz w:val="22"/>
          <w:szCs w:val="22"/>
          <w:lang w:val="en-GB"/>
        </w:rPr>
        <w:t>, J</w:t>
      </w:r>
      <w:r w:rsidRPr="06890F77" w:rsidR="2B2B1DA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06890F77" w:rsidR="2B2B1DA7">
        <w:rPr>
          <w:rFonts w:ascii="Calibri" w:hAnsi="Calibri" w:eastAsia="Calibri" w:cs="Calibri" w:asciiTheme="minorAscii" w:hAnsiTheme="minorAscii" w:eastAsiaTheme="minorAscii" w:cstheme="minorAscii"/>
          <w:b w:val="0"/>
          <w:bCs w:val="0"/>
          <w:i w:val="0"/>
          <w:iCs w:val="0"/>
          <w:noProof w:val="0"/>
          <w:color w:val="auto"/>
          <w:sz w:val="22"/>
          <w:szCs w:val="22"/>
          <w:lang w:val="en-GB"/>
        </w:rPr>
        <w:t>(2019). Law of tort (Fourteenth edition.). Pearson Education Limited.</w:t>
      </w:r>
    </w:p>
    <w:p w:rsidR="70CAF632" w:rsidP="06890F77" w:rsidRDefault="70CAF632" w14:paraId="562B95A3" w14:textId="45CA9B98">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0CAF632">
        <w:rPr>
          <w:rFonts w:ascii="Calibri" w:hAnsi="Calibri" w:eastAsia="Calibri" w:cs="Calibri" w:asciiTheme="minorAscii" w:hAnsiTheme="minorAscii" w:eastAsiaTheme="minorAscii" w:cstheme="minorAscii"/>
          <w:b w:val="0"/>
          <w:bCs w:val="0"/>
          <w:i w:val="0"/>
          <w:iCs w:val="0"/>
          <w:noProof w:val="0"/>
          <w:color w:val="auto"/>
          <w:sz w:val="22"/>
          <w:szCs w:val="22"/>
          <w:lang w:val="en-GB"/>
        </w:rPr>
        <w:t>Oxford Reference. 2021. novus actus interveniens. [online] Available at: &lt;https://www.oxfordreference.com/view/10.1093/oi/authority.20110803100240793&gt; [Accessed 1 December 2021].</w:t>
      </w:r>
    </w:p>
    <w:p w:rsidR="6E0F4EAA" w:rsidP="06890F77" w:rsidRDefault="6E0F4EAA" w14:paraId="46118A79" w14:textId="59F6431C">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6E0F4EA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‘Tort. Negligence. Collision between Ships. Remoteness of Damage. Novus Actus Interveniens. Canadian Pacific Ry. Co. v. Kelvin Shipping Co. Ltd. (1928) 138 L. T. 369’ (1929) Cambridge law journal, 3(3), pp. 458–459.</w:t>
      </w:r>
    </w:p>
    <w:p w:rsidR="0B11ED36" w:rsidP="06890F77" w:rsidRDefault="0B11ED36" w14:paraId="42288D7F" w14:textId="7E1472BC">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0B11ED36">
        <w:rPr>
          <w:rFonts w:ascii="Calibri" w:hAnsi="Calibri" w:eastAsia="Calibri" w:cs="Calibri" w:asciiTheme="minorAscii" w:hAnsiTheme="minorAscii" w:eastAsiaTheme="minorAscii" w:cstheme="minorAscii"/>
          <w:b w:val="0"/>
          <w:bCs w:val="0"/>
          <w:i w:val="0"/>
          <w:iCs w:val="0"/>
          <w:noProof w:val="0"/>
          <w:color w:val="auto"/>
          <w:sz w:val="22"/>
          <w:szCs w:val="22"/>
          <w:lang w:val="en-GB"/>
        </w:rPr>
        <w:t>Caldwell</w:t>
      </w:r>
      <w:r w:rsidRPr="06890F77" w:rsidR="70CAF632">
        <w:rPr>
          <w:rFonts w:ascii="Calibri" w:hAnsi="Calibri" w:eastAsia="Calibri" w:cs="Calibri" w:asciiTheme="minorAscii" w:hAnsiTheme="minorAscii" w:eastAsiaTheme="minorAscii" w:cstheme="minorAscii"/>
          <w:b w:val="0"/>
          <w:bCs w:val="0"/>
          <w:i w:val="0"/>
          <w:iCs w:val="0"/>
          <w:noProof w:val="0"/>
          <w:color w:val="auto"/>
          <w:sz w:val="22"/>
          <w:szCs w:val="22"/>
          <w:lang w:val="en-GB"/>
        </w:rPr>
        <w:t>, R. (2017) Law of Tort, Third Edition. Emerald guide.</w:t>
      </w:r>
    </w:p>
    <w:p w:rsidR="7475E50E" w:rsidP="06890F77" w:rsidRDefault="7475E50E" w14:paraId="5348D657" w14:textId="5219DD5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475E50E">
        <w:rPr>
          <w:rFonts w:ascii="Calibri" w:hAnsi="Calibri" w:eastAsia="Calibri" w:cs="Calibri" w:asciiTheme="minorAscii" w:hAnsiTheme="minorAscii" w:eastAsiaTheme="minorAscii" w:cstheme="minorAscii"/>
          <w:b w:val="0"/>
          <w:bCs w:val="0"/>
          <w:i w:val="0"/>
          <w:iCs w:val="0"/>
          <w:noProof w:val="0"/>
          <w:color w:val="auto"/>
          <w:sz w:val="22"/>
          <w:szCs w:val="22"/>
          <w:lang w:val="en-GB"/>
        </w:rPr>
        <w:t>Reid et al. (1970) ‘</w:t>
      </w:r>
      <w:proofErr w:type="spellStart"/>
      <w:r w:rsidRPr="06890F77" w:rsidR="7475E50E">
        <w:rPr>
          <w:rFonts w:ascii="Calibri" w:hAnsi="Calibri" w:eastAsia="Calibri" w:cs="Calibri" w:asciiTheme="minorAscii" w:hAnsiTheme="minorAscii" w:eastAsiaTheme="minorAscii" w:cstheme="minorAscii"/>
          <w:b w:val="0"/>
          <w:bCs w:val="0"/>
          <w:i w:val="0"/>
          <w:iCs w:val="0"/>
          <w:noProof w:val="0"/>
          <w:color w:val="auto"/>
          <w:sz w:val="22"/>
          <w:szCs w:val="22"/>
          <w:lang w:val="en-GB"/>
        </w:rPr>
        <w:t>McKEW</w:t>
      </w:r>
      <w:proofErr w:type="spellEnd"/>
      <w:r w:rsidRPr="06890F77" w:rsidR="7475E50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v. HOLLAND &amp; HANNEN &amp; CUBITTS SCOTLAND LTD’, Managerial law, 8(4), pp. 921–926. doi:10.1108/eb021844.</w:t>
      </w:r>
    </w:p>
    <w:p w:rsidR="59EFFCAD" w:rsidP="06890F77" w:rsidRDefault="59EFFCAD" w14:paraId="4DC882D0" w14:textId="4388FF56">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Lucid Law. n.d. Wieland v Cyril Lord Carpets Ltd [1969] 3 All ER 1006 - Lucid Law. [online] Available at: &lt;https://lucidlaw.co.</w:t>
      </w:r>
      <w:proofErr w:type="spellStart"/>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uk</w:t>
      </w:r>
      <w:proofErr w:type="spellEnd"/>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/tort-law/tort-of-negligence/causation/</w:t>
      </w:r>
      <w:proofErr w:type="spellStart"/>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wieland</w:t>
      </w:r>
      <w:proofErr w:type="spellEnd"/>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-v-</w:t>
      </w:r>
      <w:proofErr w:type="spellStart"/>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cyril</w:t>
      </w:r>
      <w:proofErr w:type="spellEnd"/>
      <w:r w:rsidRPr="06890F77" w:rsidR="59EFFCAD">
        <w:rPr>
          <w:rFonts w:ascii="Calibri" w:hAnsi="Calibri" w:eastAsia="Calibri" w:cs="Calibri" w:asciiTheme="minorAscii" w:hAnsiTheme="minorAscii" w:eastAsiaTheme="minorAscii" w:cstheme="minorAscii"/>
          <w:b w:val="0"/>
          <w:bCs w:val="0"/>
          <w:i w:val="0"/>
          <w:iCs w:val="0"/>
          <w:noProof w:val="0"/>
          <w:sz w:val="22"/>
          <w:szCs w:val="22"/>
          <w:lang w:val="en-GB"/>
        </w:rPr>
        <w:t>-lord-carpets-ltd/&gt; [Accessed 4 December 2021].</w:t>
      </w:r>
    </w:p>
    <w:p w:rsidR="70C58447" w:rsidP="06890F77" w:rsidRDefault="70C58447" w14:paraId="71D4F374" w14:textId="7B7CB6B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0C58447">
        <w:rPr>
          <w:rFonts w:ascii="Calibri" w:hAnsi="Calibri" w:eastAsia="Calibri" w:cs="Calibri" w:asciiTheme="minorAscii" w:hAnsiTheme="minorAscii" w:eastAsiaTheme="minorAscii" w:cstheme="minorAscii"/>
          <w:b w:val="0"/>
          <w:bCs w:val="0"/>
          <w:i w:val="0"/>
          <w:iCs w:val="0"/>
          <w:noProof w:val="0"/>
          <w:color w:val="auto"/>
          <w:sz w:val="22"/>
          <w:szCs w:val="22"/>
          <w:lang w:val="en-GB"/>
        </w:rPr>
        <w:t>Law.jrank.org. 2021. Tort Law - Causation. [online] Available at: &lt;https://law.jrank.org/pages/10821/Tort-Law-Causation.html&gt; [Accessed 7 December 2021].</w:t>
      </w:r>
    </w:p>
    <w:p w:rsidR="0D2DC466" w:rsidP="06890F77" w:rsidRDefault="0D2DC466" w14:paraId="4F1EECE2" w14:textId="28BCF8A0">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0D2DC466">
        <w:rPr>
          <w:rFonts w:ascii="Calibri" w:hAnsi="Calibri" w:eastAsia="Calibri" w:cs="Calibri" w:asciiTheme="minorAscii" w:hAnsiTheme="minorAscii" w:eastAsiaTheme="minorAscii" w:cstheme="minorAscii"/>
          <w:b w:val="0"/>
          <w:bCs w:val="0"/>
          <w:i w:val="0"/>
          <w:iCs w:val="0"/>
          <w:noProof w:val="0"/>
          <w:color w:val="auto"/>
          <w:sz w:val="22"/>
          <w:szCs w:val="22"/>
          <w:lang w:val="en-GB"/>
        </w:rPr>
        <w:t>D. B. Casson (1970) ‘Foreseeable Act as Novus Actus Interveniens’, Modern law review, 33(4), pp. 450–453.</w:t>
      </w:r>
    </w:p>
    <w:p w:rsidR="16A8D97B" w:rsidP="06890F77" w:rsidRDefault="16A8D97B" w14:paraId="4827A0DC" w14:textId="3248F534">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16A8D97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Steele, J. (2017) Tort </w:t>
      </w:r>
      <w:r w:rsidRPr="06890F77" w:rsidR="638CC3EF">
        <w:rPr>
          <w:rFonts w:ascii="Calibri" w:hAnsi="Calibri" w:eastAsia="Calibri" w:cs="Calibri" w:asciiTheme="minorAscii" w:hAnsiTheme="minorAscii" w:eastAsiaTheme="minorAscii" w:cstheme="minorAscii"/>
          <w:b w:val="0"/>
          <w:bCs w:val="0"/>
          <w:i w:val="0"/>
          <w:iCs w:val="0"/>
          <w:noProof w:val="0"/>
          <w:color w:val="auto"/>
          <w:sz w:val="22"/>
          <w:szCs w:val="22"/>
          <w:lang w:val="en-GB"/>
        </w:rPr>
        <w:t>law:</w:t>
      </w:r>
      <w:r w:rsidRPr="06890F77" w:rsidR="16A8D97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text, cases, and materials. Fourth edition. Oxford: Oxford University Press</w:t>
      </w:r>
    </w:p>
    <w:p w:rsidR="2F6A6979" w:rsidP="06890F77" w:rsidRDefault="2F6A6979" w14:paraId="55ABFCA5" w14:textId="5C232435">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‘Tort. Negligence. Police Constable Injured in Stopping Runaway Horses in Crowded Street. Doctrines of Novus Actus Interveniens and </w:t>
      </w:r>
      <w:proofErr w:type="spellStart"/>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Volenti</w:t>
      </w:r>
      <w:proofErr w:type="spellEnd"/>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roofErr w:type="gramStart"/>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Non Fit</w:t>
      </w:r>
      <w:proofErr w:type="gramEnd"/>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roofErr w:type="spellStart"/>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Iniuria</w:t>
      </w:r>
      <w:proofErr w:type="spellEnd"/>
      <w:r w:rsidRPr="06890F77" w:rsidR="2F6A697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Held Not to be Applicable in the Circumstances. Haynes v. Harwood. [1935] 1 K. B. 146’ (1935) Cambridge law journal, 5(3), pp. 410–411.</w:t>
      </w:r>
    </w:p>
    <w:p w:rsidR="7B1CE078" w:rsidP="06890F77" w:rsidRDefault="7B1CE078" w14:paraId="62AC6511" w14:textId="1743E9F9">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B1CE078">
        <w:rPr>
          <w:rFonts w:ascii="Calibri" w:hAnsi="Calibri" w:eastAsia="Calibri" w:cs="Calibri" w:asciiTheme="minorAscii" w:hAnsiTheme="minorAscii" w:eastAsiaTheme="minorAscii" w:cstheme="minorAscii"/>
          <w:b w:val="0"/>
          <w:bCs w:val="0"/>
          <w:i w:val="0"/>
          <w:iCs w:val="0"/>
          <w:noProof w:val="0"/>
          <w:color w:val="auto"/>
          <w:sz w:val="22"/>
          <w:szCs w:val="22"/>
          <w:lang w:val="en-GB"/>
        </w:rPr>
        <w:t>Hodgson, D. (2016). The Law of Intervening Causation. United Kingdom: Taylor &amp; Francis.</w:t>
      </w:r>
    </w:p>
    <w:p w:rsidR="734B3767" w:rsidP="06890F77" w:rsidRDefault="734B3767" w14:paraId="280AE5A1" w14:textId="5D2505A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34B376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Giri, S.K. and Sarma, B. (2020) ‘Doctrine of Novus Actus Interveniens Not Always a </w:t>
      </w:r>
      <w:r w:rsidRPr="06890F77" w:rsidR="515332C0">
        <w:rPr>
          <w:rFonts w:ascii="Calibri" w:hAnsi="Calibri" w:eastAsia="Calibri" w:cs="Calibri" w:asciiTheme="minorAscii" w:hAnsiTheme="minorAscii" w:eastAsiaTheme="minorAscii" w:cstheme="minorAscii"/>
          <w:b w:val="0"/>
          <w:bCs w:val="0"/>
          <w:i w:val="0"/>
          <w:iCs w:val="0"/>
          <w:noProof w:val="0"/>
          <w:color w:val="auto"/>
          <w:sz w:val="22"/>
          <w:szCs w:val="22"/>
          <w:lang w:val="en-GB"/>
        </w:rPr>
        <w:t>Defence</w:t>
      </w:r>
      <w:r w:rsidRPr="06890F77" w:rsidR="734B3767">
        <w:rPr>
          <w:rFonts w:ascii="Calibri" w:hAnsi="Calibri" w:eastAsia="Calibri" w:cs="Calibri" w:asciiTheme="minorAscii" w:hAnsiTheme="minorAscii" w:eastAsiaTheme="minorAscii" w:cstheme="minorAscii"/>
          <w:b w:val="0"/>
          <w:bCs w:val="0"/>
          <w:i w:val="0"/>
          <w:iCs w:val="0"/>
          <w:noProof w:val="0"/>
          <w:color w:val="auto"/>
          <w:sz w:val="22"/>
          <w:szCs w:val="22"/>
          <w:lang w:val="en-GB"/>
        </w:rPr>
        <w:t>: Analysis of a Case</w:t>
      </w:r>
      <w:r w:rsidRPr="06890F77" w:rsidR="5502C0B9">
        <w:rPr>
          <w:rFonts w:ascii="Calibri" w:hAnsi="Calibri" w:eastAsia="Calibri" w:cs="Calibri" w:asciiTheme="minorAscii" w:hAnsiTheme="minorAscii" w:eastAsiaTheme="minorAscii" w:cstheme="minorAscii"/>
          <w:b w:val="0"/>
          <w:bCs w:val="0"/>
          <w:i w:val="0"/>
          <w:iCs w:val="0"/>
          <w:noProof w:val="0"/>
          <w:color w:val="auto"/>
          <w:sz w:val="22"/>
          <w:szCs w:val="22"/>
          <w:lang w:val="en-GB"/>
        </w:rPr>
        <w:t>’, journal</w:t>
      </w:r>
      <w:r w:rsidRPr="06890F77" w:rsidR="734B376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of critical care medicine, 24(10), pp. 983–985. doi:10.5005/jp-journals-10071-23634.</w:t>
      </w:r>
    </w:p>
    <w:p w:rsidR="7DD3BAF2" w:rsidP="06890F77" w:rsidRDefault="7DD3BAF2" w14:paraId="225480F0" w14:textId="5A21DCD9">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DD3BAF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Stephenson, G (2000) Source book on Tort Law. </w:t>
      </w:r>
      <w:r w:rsidRPr="06890F77" w:rsidR="67926C6C">
        <w:rPr>
          <w:rFonts w:ascii="Calibri" w:hAnsi="Calibri" w:eastAsia="Calibri" w:cs="Calibri" w:asciiTheme="minorAscii" w:hAnsiTheme="minorAscii" w:eastAsiaTheme="minorAscii" w:cstheme="minorAscii"/>
          <w:b w:val="0"/>
          <w:bCs w:val="0"/>
          <w:i w:val="0"/>
          <w:iCs w:val="0"/>
          <w:noProof w:val="0"/>
          <w:color w:val="auto"/>
          <w:sz w:val="22"/>
          <w:szCs w:val="22"/>
          <w:lang w:val="en-GB"/>
        </w:rPr>
        <w:t>Second</w:t>
      </w:r>
      <w:r w:rsidRPr="06890F77" w:rsidR="7DD3BAF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Edition. </w:t>
      </w:r>
      <w:r w:rsidRPr="06890F77" w:rsidR="7DD3BAF2">
        <w:rPr>
          <w:rFonts w:ascii="Calibri" w:hAnsi="Calibri" w:eastAsia="Calibri" w:cs="Calibri" w:asciiTheme="minorAscii" w:hAnsiTheme="minorAscii" w:eastAsiaTheme="minorAscii" w:cstheme="minorAscii"/>
          <w:b w:val="0"/>
          <w:bCs w:val="0"/>
          <w:i w:val="0"/>
          <w:iCs w:val="0"/>
          <w:noProof w:val="0"/>
          <w:color w:val="auto"/>
          <w:sz w:val="22"/>
          <w:szCs w:val="22"/>
          <w:lang w:val="en-GB"/>
        </w:rPr>
        <w:t>Cavendish</w:t>
      </w:r>
      <w:r w:rsidRPr="06890F77" w:rsidR="043A5157">
        <w:rPr>
          <w:rFonts w:ascii="Calibri" w:hAnsi="Calibri" w:eastAsia="Calibri" w:cs="Calibri" w:asciiTheme="minorAscii" w:hAnsiTheme="minorAscii" w:eastAsiaTheme="minorAscii" w:cstheme="minorAscii"/>
          <w:b w:val="0"/>
          <w:bCs w:val="0"/>
          <w:i w:val="0"/>
          <w:iCs w:val="0"/>
          <w:noProof w:val="0"/>
          <w:color w:val="auto"/>
          <w:sz w:val="22"/>
          <w:szCs w:val="22"/>
          <w:lang w:val="en-GB"/>
        </w:rPr>
        <w:t>Publishing</w:t>
      </w:r>
      <w:r w:rsidRPr="06890F77" w:rsidR="043A5157">
        <w:rPr>
          <w:rFonts w:ascii="Calibri" w:hAnsi="Calibri" w:eastAsia="Calibri" w:cs="Calibri" w:asciiTheme="minorAscii" w:hAnsiTheme="minorAscii" w:eastAsiaTheme="minorAscii" w:cstheme="minorAscii"/>
          <w:b w:val="0"/>
          <w:bCs w:val="0"/>
          <w:i w:val="0"/>
          <w:iCs w:val="0"/>
          <w:noProof w:val="0"/>
          <w:color w:val="auto"/>
          <w:sz w:val="22"/>
          <w:szCs w:val="22"/>
          <w:lang w:val="en-GB"/>
        </w:rPr>
        <w:t>. Pp. 175-187</w:t>
      </w:r>
    </w:p>
    <w:p w:rsidR="7FB4288A" w:rsidP="06890F77" w:rsidRDefault="7FB4288A" w14:paraId="4D9F88CE" w14:textId="6D48B528">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6890F77" w:rsidR="7FB4288A">
        <w:rPr>
          <w:rFonts w:ascii="Calibri" w:hAnsi="Calibri" w:eastAsia="Calibri" w:cs="Calibri" w:asciiTheme="minorAscii" w:hAnsiTheme="minorAscii" w:eastAsiaTheme="minorAscii" w:cstheme="minorAscii"/>
          <w:b w:val="0"/>
          <w:bCs w:val="0"/>
          <w:i w:val="0"/>
          <w:iCs w:val="0"/>
          <w:noProof w:val="0"/>
          <w:color w:val="auto"/>
          <w:sz w:val="22"/>
          <w:szCs w:val="22"/>
          <w:lang w:val="en-GB"/>
        </w:rPr>
        <w:t>O’Sullivan, J. (2008) ‘EMPLOYER’S LIABILITY FOR INJURED EMPLOYEE’S SUICIDE’, Cambridge law journal, 67(2), pp. 241–244. doi:10.1017/S0008197308000548.</w:t>
      </w:r>
    </w:p>
    <w:p w:rsidR="06890F77" w:rsidP="06890F77" w:rsidRDefault="06890F77" w14:paraId="175AB140" w14:textId="38114A0A">
      <w:pPr>
        <w:pStyle w:val="Normal"/>
        <w:ind w:left="0"/>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DVHoKYOG6mtMq" int2:id="VBWa0ycp">
      <int2:state int2:type="LegacyProofing" int2:value="Rejected"/>
    </int2:textHash>
    <int2:textHash int2:hashCode="lccy2dv0eJyiCt" int2:id="7P5IkafT">
      <int2:state int2:type="LegacyProofing" int2:value="Rejected"/>
    </int2:textHash>
    <int2:textHash int2:hashCode="BLrGPYjI/f9d2G" int2:id="tA1XtJvs">
      <int2:state int2:type="LegacyProofing" int2:value="Rejected"/>
    </int2:textHash>
    <int2:textHash int2:hashCode="n9rpFuUDECAbOw" int2:id="PqXIeJxH">
      <int2:state int2:type="LegacyProofing" int2:value="Rejected"/>
    </int2:textHash>
    <int2:textHash int2:hashCode="XG91U2bK1SJsE7" int2:id="qqGvrJkr">
      <int2:state int2:type="LegacyProofing" int2:value="Rejected"/>
    </int2:textHash>
    <int2:textHash int2:hashCode="C9641TZ8ddzsN7" int2:id="RnZ10NbY">
      <int2:state int2:type="LegacyProofing"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DDAD5C"/>
    <w:rsid w:val="000F2797"/>
    <w:rsid w:val="0053ACA6"/>
    <w:rsid w:val="005EDDA4"/>
    <w:rsid w:val="007A52DE"/>
    <w:rsid w:val="00A9A954"/>
    <w:rsid w:val="0139E71F"/>
    <w:rsid w:val="015BA659"/>
    <w:rsid w:val="016C5180"/>
    <w:rsid w:val="01AAF7F8"/>
    <w:rsid w:val="01B0DCDA"/>
    <w:rsid w:val="0211012E"/>
    <w:rsid w:val="024D9DB0"/>
    <w:rsid w:val="02820DCC"/>
    <w:rsid w:val="02A2B03C"/>
    <w:rsid w:val="02E890D2"/>
    <w:rsid w:val="030FE195"/>
    <w:rsid w:val="03242D33"/>
    <w:rsid w:val="03621F9F"/>
    <w:rsid w:val="03629043"/>
    <w:rsid w:val="039ED411"/>
    <w:rsid w:val="03ACD18F"/>
    <w:rsid w:val="03EC8DE3"/>
    <w:rsid w:val="03F503FF"/>
    <w:rsid w:val="040159C7"/>
    <w:rsid w:val="04017430"/>
    <w:rsid w:val="042BBCC7"/>
    <w:rsid w:val="04372DCF"/>
    <w:rsid w:val="043A5157"/>
    <w:rsid w:val="04A3F242"/>
    <w:rsid w:val="04E1537A"/>
    <w:rsid w:val="04E298BA"/>
    <w:rsid w:val="051D17AF"/>
    <w:rsid w:val="053DD8FB"/>
    <w:rsid w:val="0575E451"/>
    <w:rsid w:val="05D2FE30"/>
    <w:rsid w:val="06527A9A"/>
    <w:rsid w:val="066552E9"/>
    <w:rsid w:val="06890F77"/>
    <w:rsid w:val="06BFF73E"/>
    <w:rsid w:val="06D128E9"/>
    <w:rsid w:val="074160D5"/>
    <w:rsid w:val="0776215F"/>
    <w:rsid w:val="079D88C0"/>
    <w:rsid w:val="07AB395C"/>
    <w:rsid w:val="07B1BA8E"/>
    <w:rsid w:val="07E8EECE"/>
    <w:rsid w:val="07EFF724"/>
    <w:rsid w:val="0800C0F1"/>
    <w:rsid w:val="0800C7C4"/>
    <w:rsid w:val="081A2209"/>
    <w:rsid w:val="0820724C"/>
    <w:rsid w:val="08827028"/>
    <w:rsid w:val="09A53BCA"/>
    <w:rsid w:val="09BC42AD"/>
    <w:rsid w:val="0A2FFB3B"/>
    <w:rsid w:val="0A565918"/>
    <w:rsid w:val="0A67F02B"/>
    <w:rsid w:val="0A6AA6CA"/>
    <w:rsid w:val="0AB93DC1"/>
    <w:rsid w:val="0AEDF05F"/>
    <w:rsid w:val="0B04D407"/>
    <w:rsid w:val="0B105482"/>
    <w:rsid w:val="0B11ED36"/>
    <w:rsid w:val="0B1F8FF3"/>
    <w:rsid w:val="0B2C713C"/>
    <w:rsid w:val="0B2D4D6C"/>
    <w:rsid w:val="0B2E0655"/>
    <w:rsid w:val="0B856498"/>
    <w:rsid w:val="0B8991CF"/>
    <w:rsid w:val="0B991BAD"/>
    <w:rsid w:val="0C9AB3CF"/>
    <w:rsid w:val="0CAC24E3"/>
    <w:rsid w:val="0CAD3DC5"/>
    <w:rsid w:val="0CB8BAC4"/>
    <w:rsid w:val="0CC78D64"/>
    <w:rsid w:val="0D2DC466"/>
    <w:rsid w:val="0D60E18A"/>
    <w:rsid w:val="0DD3AB18"/>
    <w:rsid w:val="0DEA5D56"/>
    <w:rsid w:val="0E342748"/>
    <w:rsid w:val="0E47F544"/>
    <w:rsid w:val="0E786562"/>
    <w:rsid w:val="0E8DBF86"/>
    <w:rsid w:val="0ED92722"/>
    <w:rsid w:val="0F39E737"/>
    <w:rsid w:val="0F474AEF"/>
    <w:rsid w:val="0F57BB1C"/>
    <w:rsid w:val="0F82F236"/>
    <w:rsid w:val="0F862DB7"/>
    <w:rsid w:val="0F89383F"/>
    <w:rsid w:val="0FEC1149"/>
    <w:rsid w:val="0FF6C1E9"/>
    <w:rsid w:val="0FFD0FBE"/>
    <w:rsid w:val="1044197F"/>
    <w:rsid w:val="104C1587"/>
    <w:rsid w:val="10B97ED7"/>
    <w:rsid w:val="10B9A248"/>
    <w:rsid w:val="10CE868F"/>
    <w:rsid w:val="10D035DC"/>
    <w:rsid w:val="11446B06"/>
    <w:rsid w:val="1198E01F"/>
    <w:rsid w:val="11F16CE1"/>
    <w:rsid w:val="11FDC5F8"/>
    <w:rsid w:val="1217BDC5"/>
    <w:rsid w:val="122B75FC"/>
    <w:rsid w:val="122F127E"/>
    <w:rsid w:val="12554F38"/>
    <w:rsid w:val="1273110F"/>
    <w:rsid w:val="1275B8AF"/>
    <w:rsid w:val="1280CE02"/>
    <w:rsid w:val="12E03B67"/>
    <w:rsid w:val="131AE7EB"/>
    <w:rsid w:val="134A9EEB"/>
    <w:rsid w:val="1383B649"/>
    <w:rsid w:val="13C23D2E"/>
    <w:rsid w:val="140EE170"/>
    <w:rsid w:val="14118910"/>
    <w:rsid w:val="14306AF0"/>
    <w:rsid w:val="14704DFB"/>
    <w:rsid w:val="147C0BC8"/>
    <w:rsid w:val="14C20392"/>
    <w:rsid w:val="14DCD9B5"/>
    <w:rsid w:val="14E66F4C"/>
    <w:rsid w:val="15267BD2"/>
    <w:rsid w:val="1530903F"/>
    <w:rsid w:val="153566BA"/>
    <w:rsid w:val="15772A4E"/>
    <w:rsid w:val="15B86EC4"/>
    <w:rsid w:val="15D74C6B"/>
    <w:rsid w:val="15F300A4"/>
    <w:rsid w:val="15FD460B"/>
    <w:rsid w:val="15FDE5C2"/>
    <w:rsid w:val="160140D1"/>
    <w:rsid w:val="1678AA16"/>
    <w:rsid w:val="16A5607F"/>
    <w:rsid w:val="16A8D97B"/>
    <w:rsid w:val="16B84255"/>
    <w:rsid w:val="16D1371B"/>
    <w:rsid w:val="17543F25"/>
    <w:rsid w:val="17816ED9"/>
    <w:rsid w:val="17953163"/>
    <w:rsid w:val="17A24183"/>
    <w:rsid w:val="17CA2C4C"/>
    <w:rsid w:val="18250751"/>
    <w:rsid w:val="183CB0F6"/>
    <w:rsid w:val="186D6331"/>
    <w:rsid w:val="18CC05A2"/>
    <w:rsid w:val="18F2143E"/>
    <w:rsid w:val="1902D064"/>
    <w:rsid w:val="1903DA13"/>
    <w:rsid w:val="1918B881"/>
    <w:rsid w:val="192AA166"/>
    <w:rsid w:val="193E11E4"/>
    <w:rsid w:val="195A7B74"/>
    <w:rsid w:val="1965B77C"/>
    <w:rsid w:val="196CCE71"/>
    <w:rsid w:val="19F33BB1"/>
    <w:rsid w:val="1A321AFF"/>
    <w:rsid w:val="1A59B868"/>
    <w:rsid w:val="1A71442D"/>
    <w:rsid w:val="1A7C18DE"/>
    <w:rsid w:val="1A8EA5EC"/>
    <w:rsid w:val="1A90A175"/>
    <w:rsid w:val="1AC21F83"/>
    <w:rsid w:val="1AD156E5"/>
    <w:rsid w:val="1B0C2CF1"/>
    <w:rsid w:val="1B3BC372"/>
    <w:rsid w:val="1B5AFDB2"/>
    <w:rsid w:val="1BCB12BD"/>
    <w:rsid w:val="1BDDC0B2"/>
    <w:rsid w:val="1BEEBADB"/>
    <w:rsid w:val="1BF29043"/>
    <w:rsid w:val="1C03A664"/>
    <w:rsid w:val="1C1AC117"/>
    <w:rsid w:val="1C75B2A6"/>
    <w:rsid w:val="1CCEDE8E"/>
    <w:rsid w:val="1CD858D4"/>
    <w:rsid w:val="1D0BBBEF"/>
    <w:rsid w:val="1D2C724F"/>
    <w:rsid w:val="1DD74B36"/>
    <w:rsid w:val="1DE6D531"/>
    <w:rsid w:val="1E08F7A7"/>
    <w:rsid w:val="1E0EBA1E"/>
    <w:rsid w:val="1E118307"/>
    <w:rsid w:val="1E7223D5"/>
    <w:rsid w:val="1E8CA4A5"/>
    <w:rsid w:val="1E9448D5"/>
    <w:rsid w:val="1EAC2E49"/>
    <w:rsid w:val="1ED6E1E4"/>
    <w:rsid w:val="1F01DEC2"/>
    <w:rsid w:val="1F2204C4"/>
    <w:rsid w:val="1F66F5E5"/>
    <w:rsid w:val="1F7B6C6A"/>
    <w:rsid w:val="1F80FB79"/>
    <w:rsid w:val="1FB814BB"/>
    <w:rsid w:val="1FB9FEAA"/>
    <w:rsid w:val="1FCB47D1"/>
    <w:rsid w:val="1FD5331D"/>
    <w:rsid w:val="1FEA52D8"/>
    <w:rsid w:val="1FFDAE6E"/>
    <w:rsid w:val="200BEB0D"/>
    <w:rsid w:val="20287506"/>
    <w:rsid w:val="20499581"/>
    <w:rsid w:val="20648B9E"/>
    <w:rsid w:val="20BDD525"/>
    <w:rsid w:val="20E3ABEC"/>
    <w:rsid w:val="21316107"/>
    <w:rsid w:val="2145A384"/>
    <w:rsid w:val="215320C1"/>
    <w:rsid w:val="218940AC"/>
    <w:rsid w:val="219A6E6D"/>
    <w:rsid w:val="21EBD67D"/>
    <w:rsid w:val="22075892"/>
    <w:rsid w:val="221E106D"/>
    <w:rsid w:val="22705466"/>
    <w:rsid w:val="2295F257"/>
    <w:rsid w:val="22B3178C"/>
    <w:rsid w:val="22DD9949"/>
    <w:rsid w:val="22ECF1FD"/>
    <w:rsid w:val="22FB2B17"/>
    <w:rsid w:val="234229D7"/>
    <w:rsid w:val="23460D98"/>
    <w:rsid w:val="23479A58"/>
    <w:rsid w:val="23768469"/>
    <w:rsid w:val="2380F59A"/>
    <w:rsid w:val="23A445C9"/>
    <w:rsid w:val="23B3CD55"/>
    <w:rsid w:val="23C8CEFE"/>
    <w:rsid w:val="242F9A60"/>
    <w:rsid w:val="24598D5A"/>
    <w:rsid w:val="24B6D37B"/>
    <w:rsid w:val="24D4FAC5"/>
    <w:rsid w:val="24E048D3"/>
    <w:rsid w:val="24FBE629"/>
    <w:rsid w:val="2503D3AF"/>
    <w:rsid w:val="2525F126"/>
    <w:rsid w:val="255DDE99"/>
    <w:rsid w:val="25681B28"/>
    <w:rsid w:val="2575ED19"/>
    <w:rsid w:val="258574E2"/>
    <w:rsid w:val="25A2948D"/>
    <w:rsid w:val="25AE0512"/>
    <w:rsid w:val="25B2C1F2"/>
    <w:rsid w:val="25C4E8AE"/>
    <w:rsid w:val="25DBE55B"/>
    <w:rsid w:val="25EE4F4F"/>
    <w:rsid w:val="25F55DBB"/>
    <w:rsid w:val="260FC767"/>
    <w:rsid w:val="264DA2FD"/>
    <w:rsid w:val="2664A90E"/>
    <w:rsid w:val="2686B2AA"/>
    <w:rsid w:val="26C1C187"/>
    <w:rsid w:val="2741F31C"/>
    <w:rsid w:val="277207CA"/>
    <w:rsid w:val="2790E712"/>
    <w:rsid w:val="28086206"/>
    <w:rsid w:val="28197EBB"/>
    <w:rsid w:val="28275305"/>
    <w:rsid w:val="283C273A"/>
    <w:rsid w:val="288A57DC"/>
    <w:rsid w:val="292A3638"/>
    <w:rsid w:val="293AA65C"/>
    <w:rsid w:val="29430C6F"/>
    <w:rsid w:val="29ACF603"/>
    <w:rsid w:val="29B3B9F6"/>
    <w:rsid w:val="29CF7593"/>
    <w:rsid w:val="29DBBD0F"/>
    <w:rsid w:val="2A456E9B"/>
    <w:rsid w:val="2A56B574"/>
    <w:rsid w:val="2A863315"/>
    <w:rsid w:val="2A8B4EA3"/>
    <w:rsid w:val="2AA90154"/>
    <w:rsid w:val="2AC4D98D"/>
    <w:rsid w:val="2AD7B17A"/>
    <w:rsid w:val="2AF7F395"/>
    <w:rsid w:val="2B2B1DA7"/>
    <w:rsid w:val="2B3B5226"/>
    <w:rsid w:val="2B460217"/>
    <w:rsid w:val="2B842791"/>
    <w:rsid w:val="2B87A6CF"/>
    <w:rsid w:val="2B929ED7"/>
    <w:rsid w:val="2B98A622"/>
    <w:rsid w:val="2BA89FAA"/>
    <w:rsid w:val="2C603D31"/>
    <w:rsid w:val="2C726CFF"/>
    <w:rsid w:val="2C909023"/>
    <w:rsid w:val="2CB05FFB"/>
    <w:rsid w:val="2D290274"/>
    <w:rsid w:val="2D5ACB2C"/>
    <w:rsid w:val="2D82DA96"/>
    <w:rsid w:val="2D8E0771"/>
    <w:rsid w:val="2DDDAD5C"/>
    <w:rsid w:val="2E41C6A0"/>
    <w:rsid w:val="2E628385"/>
    <w:rsid w:val="2EA68216"/>
    <w:rsid w:val="2EC55F3C"/>
    <w:rsid w:val="2EEAA1F2"/>
    <w:rsid w:val="2EFFAB4F"/>
    <w:rsid w:val="2F1233B9"/>
    <w:rsid w:val="2F13AC6E"/>
    <w:rsid w:val="2F516E6B"/>
    <w:rsid w:val="2F6A6979"/>
    <w:rsid w:val="2F912CE7"/>
    <w:rsid w:val="2FE74E45"/>
    <w:rsid w:val="3022CDC6"/>
    <w:rsid w:val="302C0586"/>
    <w:rsid w:val="305258C5"/>
    <w:rsid w:val="30534D9C"/>
    <w:rsid w:val="3096A693"/>
    <w:rsid w:val="30BACCCF"/>
    <w:rsid w:val="30F7FC3D"/>
    <w:rsid w:val="3108C74B"/>
    <w:rsid w:val="3132D5D1"/>
    <w:rsid w:val="31341B11"/>
    <w:rsid w:val="316003A8"/>
    <w:rsid w:val="3172EAE2"/>
    <w:rsid w:val="31D46A4C"/>
    <w:rsid w:val="31DE22D8"/>
    <w:rsid w:val="31E8B7FE"/>
    <w:rsid w:val="32137C3C"/>
    <w:rsid w:val="326EC8B8"/>
    <w:rsid w:val="328450C0"/>
    <w:rsid w:val="3285BEEC"/>
    <w:rsid w:val="328A1269"/>
    <w:rsid w:val="32E538D8"/>
    <w:rsid w:val="32F8E506"/>
    <w:rsid w:val="3331C207"/>
    <w:rsid w:val="335BDAF6"/>
    <w:rsid w:val="3379F339"/>
    <w:rsid w:val="33D5B28A"/>
    <w:rsid w:val="33FFB5FA"/>
    <w:rsid w:val="340A9919"/>
    <w:rsid w:val="341A0E83"/>
    <w:rsid w:val="34290363"/>
    <w:rsid w:val="342A3617"/>
    <w:rsid w:val="342A383D"/>
    <w:rsid w:val="343858B8"/>
    <w:rsid w:val="344D8F9E"/>
    <w:rsid w:val="346CCB84"/>
    <w:rsid w:val="3515C39A"/>
    <w:rsid w:val="352D4227"/>
    <w:rsid w:val="3538FED5"/>
    <w:rsid w:val="3555C476"/>
    <w:rsid w:val="3578C02D"/>
    <w:rsid w:val="357CB399"/>
    <w:rsid w:val="35C60678"/>
    <w:rsid w:val="35E1775C"/>
    <w:rsid w:val="3613C5C9"/>
    <w:rsid w:val="36594E5A"/>
    <w:rsid w:val="36698D12"/>
    <w:rsid w:val="369B470A"/>
    <w:rsid w:val="369BC3D7"/>
    <w:rsid w:val="36FF4478"/>
    <w:rsid w:val="3711BCDF"/>
    <w:rsid w:val="372C4678"/>
    <w:rsid w:val="37791A3D"/>
    <w:rsid w:val="37CAAC82"/>
    <w:rsid w:val="37FBB8FE"/>
    <w:rsid w:val="382972C9"/>
    <w:rsid w:val="382D61BF"/>
    <w:rsid w:val="383264AA"/>
    <w:rsid w:val="3837176B"/>
    <w:rsid w:val="3871B206"/>
    <w:rsid w:val="3874C465"/>
    <w:rsid w:val="38AD09B1"/>
    <w:rsid w:val="38B19A77"/>
    <w:rsid w:val="38C2D1DB"/>
    <w:rsid w:val="38EE5D44"/>
    <w:rsid w:val="390326F2"/>
    <w:rsid w:val="390DE248"/>
    <w:rsid w:val="395E16DA"/>
    <w:rsid w:val="396778A5"/>
    <w:rsid w:val="396FC1B8"/>
    <w:rsid w:val="39B05DCB"/>
    <w:rsid w:val="39C82F7A"/>
    <w:rsid w:val="39F3A761"/>
    <w:rsid w:val="39F3C9E3"/>
    <w:rsid w:val="3A1C2A20"/>
    <w:rsid w:val="3A1DBCDD"/>
    <w:rsid w:val="3A40978B"/>
    <w:rsid w:val="3A483541"/>
    <w:rsid w:val="3A8BEC7D"/>
    <w:rsid w:val="3BCE9153"/>
    <w:rsid w:val="3BD3A1D1"/>
    <w:rsid w:val="3BF31F91"/>
    <w:rsid w:val="3C396DA6"/>
    <w:rsid w:val="3C45830A"/>
    <w:rsid w:val="3C9EFC16"/>
    <w:rsid w:val="3CAA815C"/>
    <w:rsid w:val="3CE574C6"/>
    <w:rsid w:val="3D11497C"/>
    <w:rsid w:val="3D588F07"/>
    <w:rsid w:val="3D6A61B4"/>
    <w:rsid w:val="3D89F0E0"/>
    <w:rsid w:val="3D967942"/>
    <w:rsid w:val="3DB92373"/>
    <w:rsid w:val="3DCA8335"/>
    <w:rsid w:val="3DDEBF45"/>
    <w:rsid w:val="3DF03820"/>
    <w:rsid w:val="3DF50638"/>
    <w:rsid w:val="3E052807"/>
    <w:rsid w:val="3E33CD06"/>
    <w:rsid w:val="3E368CBC"/>
    <w:rsid w:val="3E698F34"/>
    <w:rsid w:val="3E823EBD"/>
    <w:rsid w:val="3E99C4F7"/>
    <w:rsid w:val="3EB7A696"/>
    <w:rsid w:val="3EC49366"/>
    <w:rsid w:val="3EFCA9A0"/>
    <w:rsid w:val="3F1274D9"/>
    <w:rsid w:val="3F9B7EED"/>
    <w:rsid w:val="3FA0F868"/>
    <w:rsid w:val="3FC79F73"/>
    <w:rsid w:val="401AE4F7"/>
    <w:rsid w:val="40354652"/>
    <w:rsid w:val="404DFCC5"/>
    <w:rsid w:val="40769B09"/>
    <w:rsid w:val="408A66FC"/>
    <w:rsid w:val="40987A01"/>
    <w:rsid w:val="40A50A2D"/>
    <w:rsid w:val="40A655A3"/>
    <w:rsid w:val="40AB3BD5"/>
    <w:rsid w:val="40F09B45"/>
    <w:rsid w:val="40F282E1"/>
    <w:rsid w:val="41240468"/>
    <w:rsid w:val="413511AD"/>
    <w:rsid w:val="4138745A"/>
    <w:rsid w:val="4142B27E"/>
    <w:rsid w:val="418D2BBC"/>
    <w:rsid w:val="41A12FF6"/>
    <w:rsid w:val="41CB3126"/>
    <w:rsid w:val="4247FBD4"/>
    <w:rsid w:val="4257F379"/>
    <w:rsid w:val="425F6C73"/>
    <w:rsid w:val="426C9A01"/>
    <w:rsid w:val="429A9C94"/>
    <w:rsid w:val="42A65961"/>
    <w:rsid w:val="4320B0D8"/>
    <w:rsid w:val="432CA444"/>
    <w:rsid w:val="433D0057"/>
    <w:rsid w:val="433DFD3B"/>
    <w:rsid w:val="43401DCA"/>
    <w:rsid w:val="436C5522"/>
    <w:rsid w:val="4378AF75"/>
    <w:rsid w:val="43D2B466"/>
    <w:rsid w:val="44105FDF"/>
    <w:rsid w:val="44110D69"/>
    <w:rsid w:val="443FA09D"/>
    <w:rsid w:val="444FC7EE"/>
    <w:rsid w:val="4459A3FA"/>
    <w:rsid w:val="446EE578"/>
    <w:rsid w:val="447163CC"/>
    <w:rsid w:val="449A0AD8"/>
    <w:rsid w:val="44A96688"/>
    <w:rsid w:val="44C30D46"/>
    <w:rsid w:val="44C89CF4"/>
    <w:rsid w:val="44CF61A9"/>
    <w:rsid w:val="44DBEE2B"/>
    <w:rsid w:val="455C7A33"/>
    <w:rsid w:val="45A15F42"/>
    <w:rsid w:val="45A391B2"/>
    <w:rsid w:val="45C764B6"/>
    <w:rsid w:val="45EE0441"/>
    <w:rsid w:val="468CD398"/>
    <w:rsid w:val="4691AC7E"/>
    <w:rsid w:val="46C6493A"/>
    <w:rsid w:val="46DCDD2D"/>
    <w:rsid w:val="46DD623E"/>
    <w:rsid w:val="4722D93C"/>
    <w:rsid w:val="4774E0DE"/>
    <w:rsid w:val="47C6CD5D"/>
    <w:rsid w:val="4812B834"/>
    <w:rsid w:val="483BE659"/>
    <w:rsid w:val="484D163C"/>
    <w:rsid w:val="485B5CB6"/>
    <w:rsid w:val="48776B98"/>
    <w:rsid w:val="488EB0E7"/>
    <w:rsid w:val="489BCDD5"/>
    <w:rsid w:val="48BD7716"/>
    <w:rsid w:val="48DDA4C3"/>
    <w:rsid w:val="48DF0F23"/>
    <w:rsid w:val="48E99CDC"/>
    <w:rsid w:val="48F5F18A"/>
    <w:rsid w:val="48FAA2A7"/>
    <w:rsid w:val="490CD55C"/>
    <w:rsid w:val="49AC72ED"/>
    <w:rsid w:val="49BF3F24"/>
    <w:rsid w:val="4A28CD8D"/>
    <w:rsid w:val="4A5A79FE"/>
    <w:rsid w:val="4AC4FE9F"/>
    <w:rsid w:val="4ADAE272"/>
    <w:rsid w:val="4B48434E"/>
    <w:rsid w:val="4B7B7680"/>
    <w:rsid w:val="4B855F3B"/>
    <w:rsid w:val="4BAD3D9F"/>
    <w:rsid w:val="4BD0F257"/>
    <w:rsid w:val="4BDC199D"/>
    <w:rsid w:val="4C3D4424"/>
    <w:rsid w:val="4C60CF00"/>
    <w:rsid w:val="4C7FF12C"/>
    <w:rsid w:val="4C869321"/>
    <w:rsid w:val="4C922822"/>
    <w:rsid w:val="4CB5C45A"/>
    <w:rsid w:val="4CC24E7A"/>
    <w:rsid w:val="4D0273B6"/>
    <w:rsid w:val="4D54DA84"/>
    <w:rsid w:val="4D5657FB"/>
    <w:rsid w:val="4D5793C4"/>
    <w:rsid w:val="4D6CC2B8"/>
    <w:rsid w:val="4D887304"/>
    <w:rsid w:val="4D921AC0"/>
    <w:rsid w:val="4DB56119"/>
    <w:rsid w:val="4DC3515E"/>
    <w:rsid w:val="4DFC9F61"/>
    <w:rsid w:val="4E5F64F2"/>
    <w:rsid w:val="4E90359A"/>
    <w:rsid w:val="4EDF8C24"/>
    <w:rsid w:val="4EF018FE"/>
    <w:rsid w:val="4F08173E"/>
    <w:rsid w:val="4F089319"/>
    <w:rsid w:val="4F244365"/>
    <w:rsid w:val="4F443B27"/>
    <w:rsid w:val="4F6BD890"/>
    <w:rsid w:val="4F736BC0"/>
    <w:rsid w:val="4FA86D98"/>
    <w:rsid w:val="4FB8A8B7"/>
    <w:rsid w:val="5002736C"/>
    <w:rsid w:val="503F9D5D"/>
    <w:rsid w:val="5061ED2A"/>
    <w:rsid w:val="506DC7F8"/>
    <w:rsid w:val="507B5C85"/>
    <w:rsid w:val="5081B75E"/>
    <w:rsid w:val="509ACDD6"/>
    <w:rsid w:val="50A15BC3"/>
    <w:rsid w:val="50E8129F"/>
    <w:rsid w:val="51344023"/>
    <w:rsid w:val="51470115"/>
    <w:rsid w:val="514D6880"/>
    <w:rsid w:val="515332C0"/>
    <w:rsid w:val="515ADA19"/>
    <w:rsid w:val="517773DA"/>
    <w:rsid w:val="51E76241"/>
    <w:rsid w:val="51EAEE1A"/>
    <w:rsid w:val="527069CC"/>
    <w:rsid w:val="527807F1"/>
    <w:rsid w:val="5283E300"/>
    <w:rsid w:val="52B6B2B8"/>
    <w:rsid w:val="52EFB787"/>
    <w:rsid w:val="5386BE7B"/>
    <w:rsid w:val="53A18E0F"/>
    <w:rsid w:val="53C857A7"/>
    <w:rsid w:val="53E9A695"/>
    <w:rsid w:val="53F7FC89"/>
    <w:rsid w:val="5405DE18"/>
    <w:rsid w:val="541FB361"/>
    <w:rsid w:val="5430DF10"/>
    <w:rsid w:val="546ACACA"/>
    <w:rsid w:val="546BE0E5"/>
    <w:rsid w:val="546E97E5"/>
    <w:rsid w:val="54735ABC"/>
    <w:rsid w:val="547A6EE6"/>
    <w:rsid w:val="548F3F8E"/>
    <w:rsid w:val="54939BEC"/>
    <w:rsid w:val="54A20AE2"/>
    <w:rsid w:val="5502C0B9"/>
    <w:rsid w:val="5528888E"/>
    <w:rsid w:val="553BE50B"/>
    <w:rsid w:val="5548EB90"/>
    <w:rsid w:val="556EDEA6"/>
    <w:rsid w:val="557A8B83"/>
    <w:rsid w:val="5591B34A"/>
    <w:rsid w:val="564AE4A0"/>
    <w:rsid w:val="565DDB7B"/>
    <w:rsid w:val="566909D0"/>
    <w:rsid w:val="56A1B69E"/>
    <w:rsid w:val="56A1BB4D"/>
    <w:rsid w:val="56A837CB"/>
    <w:rsid w:val="56C3FB53"/>
    <w:rsid w:val="56D8297D"/>
    <w:rsid w:val="57109D47"/>
    <w:rsid w:val="571CE209"/>
    <w:rsid w:val="572D83AB"/>
    <w:rsid w:val="5758407F"/>
    <w:rsid w:val="575C5B9F"/>
    <w:rsid w:val="57CDCF81"/>
    <w:rsid w:val="57E3B339"/>
    <w:rsid w:val="57F2C989"/>
    <w:rsid w:val="5851098B"/>
    <w:rsid w:val="585784CC"/>
    <w:rsid w:val="585FCBB4"/>
    <w:rsid w:val="58677A8A"/>
    <w:rsid w:val="5897B40C"/>
    <w:rsid w:val="58A94665"/>
    <w:rsid w:val="58B9963F"/>
    <w:rsid w:val="58CE2D62"/>
    <w:rsid w:val="5993DE85"/>
    <w:rsid w:val="59C7C1C4"/>
    <w:rsid w:val="59CC99E5"/>
    <w:rsid w:val="59EFFCAD"/>
    <w:rsid w:val="59FD990F"/>
    <w:rsid w:val="5A0F562E"/>
    <w:rsid w:val="5A720D1D"/>
    <w:rsid w:val="5A833D90"/>
    <w:rsid w:val="5AA1D926"/>
    <w:rsid w:val="5ACA92F0"/>
    <w:rsid w:val="5ADB2269"/>
    <w:rsid w:val="5B08A146"/>
    <w:rsid w:val="5B1E55C3"/>
    <w:rsid w:val="5B301AA7"/>
    <w:rsid w:val="5B3FDB09"/>
    <w:rsid w:val="5B4377CD"/>
    <w:rsid w:val="5B4B5EDF"/>
    <w:rsid w:val="5B4C0668"/>
    <w:rsid w:val="5B88AA4D"/>
    <w:rsid w:val="5B976C76"/>
    <w:rsid w:val="5BEF814A"/>
    <w:rsid w:val="5BF102D3"/>
    <w:rsid w:val="5C5B5574"/>
    <w:rsid w:val="5C6BF8D6"/>
    <w:rsid w:val="5C7BDEBA"/>
    <w:rsid w:val="5CA62590"/>
    <w:rsid w:val="5D18B14C"/>
    <w:rsid w:val="5D518CB5"/>
    <w:rsid w:val="5D520C49"/>
    <w:rsid w:val="5D7D76AF"/>
    <w:rsid w:val="5D9EDECF"/>
    <w:rsid w:val="5DA332D4"/>
    <w:rsid w:val="5DBEF73D"/>
    <w:rsid w:val="5E0A61EC"/>
    <w:rsid w:val="5E2FA52F"/>
    <w:rsid w:val="5E55AEAF"/>
    <w:rsid w:val="5E6A550C"/>
    <w:rsid w:val="5E6B08D3"/>
    <w:rsid w:val="5E7A184E"/>
    <w:rsid w:val="5E81A699"/>
    <w:rsid w:val="5E83A72A"/>
    <w:rsid w:val="5E93097A"/>
    <w:rsid w:val="5EA00B08"/>
    <w:rsid w:val="5EC04B0F"/>
    <w:rsid w:val="5ED74143"/>
    <w:rsid w:val="5EE2C751"/>
    <w:rsid w:val="5EED5D16"/>
    <w:rsid w:val="5F0A0449"/>
    <w:rsid w:val="5F27220C"/>
    <w:rsid w:val="5F92F636"/>
    <w:rsid w:val="5FC66279"/>
    <w:rsid w:val="6060B275"/>
    <w:rsid w:val="6073ECA4"/>
    <w:rsid w:val="609FE36F"/>
    <w:rsid w:val="60C473F6"/>
    <w:rsid w:val="60DC1647"/>
    <w:rsid w:val="610BE44C"/>
    <w:rsid w:val="6171DB17"/>
    <w:rsid w:val="617502E4"/>
    <w:rsid w:val="619DE4C2"/>
    <w:rsid w:val="61A25183"/>
    <w:rsid w:val="61BB47EC"/>
    <w:rsid w:val="61FC82D6"/>
    <w:rsid w:val="622DA0DA"/>
    <w:rsid w:val="62581145"/>
    <w:rsid w:val="62590E8B"/>
    <w:rsid w:val="625BFAC9"/>
    <w:rsid w:val="626DB42F"/>
    <w:rsid w:val="628F9C3B"/>
    <w:rsid w:val="629049C5"/>
    <w:rsid w:val="62BF158D"/>
    <w:rsid w:val="62CDDE23"/>
    <w:rsid w:val="63859716"/>
    <w:rsid w:val="638CC3EF"/>
    <w:rsid w:val="63DFF110"/>
    <w:rsid w:val="63E77E3E"/>
    <w:rsid w:val="63FA932F"/>
    <w:rsid w:val="63FEBE65"/>
    <w:rsid w:val="643F5E2E"/>
    <w:rsid w:val="6442B3ED"/>
    <w:rsid w:val="652F8C93"/>
    <w:rsid w:val="654381AF"/>
    <w:rsid w:val="65895C93"/>
    <w:rsid w:val="6590AF4D"/>
    <w:rsid w:val="65DE844E"/>
    <w:rsid w:val="6603CCE0"/>
    <w:rsid w:val="6615057D"/>
    <w:rsid w:val="66506806"/>
    <w:rsid w:val="667AB7F0"/>
    <w:rsid w:val="667C58D1"/>
    <w:rsid w:val="668DC612"/>
    <w:rsid w:val="66C790D5"/>
    <w:rsid w:val="66DC9AB2"/>
    <w:rsid w:val="66E32E28"/>
    <w:rsid w:val="6708AF59"/>
    <w:rsid w:val="671BE0C8"/>
    <w:rsid w:val="672EAE97"/>
    <w:rsid w:val="673A60FF"/>
    <w:rsid w:val="673F39E5"/>
    <w:rsid w:val="67727AB0"/>
    <w:rsid w:val="67926C6C"/>
    <w:rsid w:val="679FE230"/>
    <w:rsid w:val="67C192F7"/>
    <w:rsid w:val="67F84BBF"/>
    <w:rsid w:val="68832294"/>
    <w:rsid w:val="6894ECF4"/>
    <w:rsid w:val="689FD583"/>
    <w:rsid w:val="68B36233"/>
    <w:rsid w:val="68C66031"/>
    <w:rsid w:val="690754B6"/>
    <w:rsid w:val="6964D732"/>
    <w:rsid w:val="697CECFC"/>
    <w:rsid w:val="699D4F55"/>
    <w:rsid w:val="69A17E4C"/>
    <w:rsid w:val="69C659D1"/>
    <w:rsid w:val="69DAD03A"/>
    <w:rsid w:val="6A12A714"/>
    <w:rsid w:val="6A7792E4"/>
    <w:rsid w:val="6A8E4F35"/>
    <w:rsid w:val="6ABA1CC4"/>
    <w:rsid w:val="6AF6C0A9"/>
    <w:rsid w:val="6B01F026"/>
    <w:rsid w:val="6B238A05"/>
    <w:rsid w:val="6B59190D"/>
    <w:rsid w:val="6BBF6225"/>
    <w:rsid w:val="6BD384F9"/>
    <w:rsid w:val="6BEFF393"/>
    <w:rsid w:val="6C0C4856"/>
    <w:rsid w:val="6C12553C"/>
    <w:rsid w:val="6C74C216"/>
    <w:rsid w:val="6C8036FE"/>
    <w:rsid w:val="6D2E471D"/>
    <w:rsid w:val="6D32CE9A"/>
    <w:rsid w:val="6D3BA62C"/>
    <w:rsid w:val="6D555917"/>
    <w:rsid w:val="6D5F19CA"/>
    <w:rsid w:val="6D83D22E"/>
    <w:rsid w:val="6D9DF01B"/>
    <w:rsid w:val="6DA34F35"/>
    <w:rsid w:val="6DBCF01F"/>
    <w:rsid w:val="6DFD1149"/>
    <w:rsid w:val="6E05212B"/>
    <w:rsid w:val="6E0F4EAA"/>
    <w:rsid w:val="6E185EE7"/>
    <w:rsid w:val="6E22E810"/>
    <w:rsid w:val="6E67AC2E"/>
    <w:rsid w:val="6E72FE4B"/>
    <w:rsid w:val="6E79E4FC"/>
    <w:rsid w:val="6E859704"/>
    <w:rsid w:val="6E9CE65C"/>
    <w:rsid w:val="6EE21BE2"/>
    <w:rsid w:val="6F1F08AD"/>
    <w:rsid w:val="6F98E1AA"/>
    <w:rsid w:val="6FBEB871"/>
    <w:rsid w:val="6FE082AB"/>
    <w:rsid w:val="6FE90437"/>
    <w:rsid w:val="6FFCF91D"/>
    <w:rsid w:val="700115EF"/>
    <w:rsid w:val="702B1814"/>
    <w:rsid w:val="704712B8"/>
    <w:rsid w:val="7078355F"/>
    <w:rsid w:val="70B2C885"/>
    <w:rsid w:val="70C58447"/>
    <w:rsid w:val="70C95CE9"/>
    <w:rsid w:val="70CAF632"/>
    <w:rsid w:val="70CBD2B3"/>
    <w:rsid w:val="70DAEFF7"/>
    <w:rsid w:val="70F5F246"/>
    <w:rsid w:val="711FBE0C"/>
    <w:rsid w:val="717DE894"/>
    <w:rsid w:val="7187FEE1"/>
    <w:rsid w:val="7198C97E"/>
    <w:rsid w:val="719F3782"/>
    <w:rsid w:val="71E86405"/>
    <w:rsid w:val="71ECDE0D"/>
    <w:rsid w:val="72652D4A"/>
    <w:rsid w:val="72A05324"/>
    <w:rsid w:val="72CF1D6E"/>
    <w:rsid w:val="72D72EC4"/>
    <w:rsid w:val="72DBA8D2"/>
    <w:rsid w:val="72EEE4A8"/>
    <w:rsid w:val="734B3767"/>
    <w:rsid w:val="73745B93"/>
    <w:rsid w:val="73BEB8CD"/>
    <w:rsid w:val="73F81329"/>
    <w:rsid w:val="7400FDAB"/>
    <w:rsid w:val="74106633"/>
    <w:rsid w:val="74191C7E"/>
    <w:rsid w:val="7475E50E"/>
    <w:rsid w:val="74922994"/>
    <w:rsid w:val="74A015FF"/>
    <w:rsid w:val="74A41D75"/>
    <w:rsid w:val="74B18C99"/>
    <w:rsid w:val="750EF96D"/>
    <w:rsid w:val="7510F9FE"/>
    <w:rsid w:val="754AC33D"/>
    <w:rsid w:val="754FB8A3"/>
    <w:rsid w:val="755136B9"/>
    <w:rsid w:val="7553B369"/>
    <w:rsid w:val="756A90FE"/>
    <w:rsid w:val="7571E33C"/>
    <w:rsid w:val="7599D2C1"/>
    <w:rsid w:val="759CCE0C"/>
    <w:rsid w:val="75B4ECDF"/>
    <w:rsid w:val="75D02D79"/>
    <w:rsid w:val="75DFF5A0"/>
    <w:rsid w:val="75F3943E"/>
    <w:rsid w:val="760CDDF3"/>
    <w:rsid w:val="762931FD"/>
    <w:rsid w:val="76385F41"/>
    <w:rsid w:val="763BE660"/>
    <w:rsid w:val="7686A44D"/>
    <w:rsid w:val="76BB7B5C"/>
    <w:rsid w:val="76D7CE67"/>
    <w:rsid w:val="77432641"/>
    <w:rsid w:val="7747DA18"/>
    <w:rsid w:val="77D7B6C1"/>
    <w:rsid w:val="781A30E5"/>
    <w:rsid w:val="786B07D6"/>
    <w:rsid w:val="786C41A3"/>
    <w:rsid w:val="787F14A3"/>
    <w:rsid w:val="78B181B0"/>
    <w:rsid w:val="78DEBC59"/>
    <w:rsid w:val="78E8BE23"/>
    <w:rsid w:val="78FCAE1A"/>
    <w:rsid w:val="7956D3CC"/>
    <w:rsid w:val="79AC2B00"/>
    <w:rsid w:val="79BEC2B2"/>
    <w:rsid w:val="7A22B7E8"/>
    <w:rsid w:val="7A2FF450"/>
    <w:rsid w:val="7A38E03A"/>
    <w:rsid w:val="7A824ACA"/>
    <w:rsid w:val="7A89AFB7"/>
    <w:rsid w:val="7A9DC613"/>
    <w:rsid w:val="7AFD0FFB"/>
    <w:rsid w:val="7B1CE078"/>
    <w:rsid w:val="7B20CE1D"/>
    <w:rsid w:val="7B3BB673"/>
    <w:rsid w:val="7B4DC107"/>
    <w:rsid w:val="7B5B5FFD"/>
    <w:rsid w:val="7BE0CA60"/>
    <w:rsid w:val="7BE0D3AE"/>
    <w:rsid w:val="7C091445"/>
    <w:rsid w:val="7C097BBD"/>
    <w:rsid w:val="7C1E1B2B"/>
    <w:rsid w:val="7C2710F7"/>
    <w:rsid w:val="7C2AF45F"/>
    <w:rsid w:val="7CE7B555"/>
    <w:rsid w:val="7D7841C9"/>
    <w:rsid w:val="7D8477F5"/>
    <w:rsid w:val="7DBDBA43"/>
    <w:rsid w:val="7DD3BAF2"/>
    <w:rsid w:val="7E051149"/>
    <w:rsid w:val="7E3C7071"/>
    <w:rsid w:val="7E5CBE0F"/>
    <w:rsid w:val="7E5CF99C"/>
    <w:rsid w:val="7E6C84A4"/>
    <w:rsid w:val="7E9F849D"/>
    <w:rsid w:val="7ED9606B"/>
    <w:rsid w:val="7EFA5C22"/>
    <w:rsid w:val="7F1DBA69"/>
    <w:rsid w:val="7FB4288A"/>
    <w:rsid w:val="7FB791B0"/>
    <w:rsid w:val="7FC72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DAD5C"/>
  <w15:chartTrackingRefBased/>
  <w15:docId w15:val="{FE80DD85-3F08-433D-B09C-604B19A770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b9169e6094e4a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4</revision>
  <dcterms:created xsi:type="dcterms:W3CDTF">2020-11-12T15:08:30.6423804Z</dcterms:created>
  <dcterms:modified xsi:type="dcterms:W3CDTF">2021-12-10T23:56:31.2615181Z</dcterms:modified>
</coreProperties>
</file>