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475A" w:rsidRDefault="000A2933">
      <w:pPr>
        <w:rPr>
          <w:sz w:val="24"/>
        </w:rPr>
      </w:pPr>
      <w:r>
        <w:rPr>
          <w:sz w:val="24"/>
        </w:rPr>
        <w:t xml:space="preserve">Western Europe during the early middle ages following the collapse of the Western Roman Empire was a place of great religious tension. The </w:t>
      </w:r>
      <w:r w:rsidR="00D81D50">
        <w:rPr>
          <w:sz w:val="24"/>
        </w:rPr>
        <w:t xml:space="preserve">Germanic </w:t>
      </w:r>
      <w:r>
        <w:rPr>
          <w:sz w:val="24"/>
        </w:rPr>
        <w:t xml:space="preserve">Vikings raided and </w:t>
      </w:r>
      <w:r w:rsidR="00AD587D">
        <w:rPr>
          <w:sz w:val="24"/>
        </w:rPr>
        <w:t>invaded</w:t>
      </w:r>
      <w:r>
        <w:rPr>
          <w:sz w:val="24"/>
        </w:rPr>
        <w:t xml:space="preserve"> across Europe, the</w:t>
      </w:r>
      <w:r w:rsidR="00D81D50">
        <w:rPr>
          <w:sz w:val="24"/>
        </w:rPr>
        <w:t xml:space="preserve"> Muslim</w:t>
      </w:r>
      <w:r>
        <w:rPr>
          <w:sz w:val="24"/>
        </w:rPr>
        <w:t xml:space="preserve"> Umayyads were </w:t>
      </w:r>
      <w:r w:rsidR="00AD587D">
        <w:rPr>
          <w:sz w:val="24"/>
        </w:rPr>
        <w:t>subduing</w:t>
      </w:r>
      <w:r>
        <w:rPr>
          <w:sz w:val="24"/>
        </w:rPr>
        <w:t xml:space="preserve"> the </w:t>
      </w:r>
      <w:r w:rsidR="00AD587D">
        <w:rPr>
          <w:sz w:val="24"/>
        </w:rPr>
        <w:t>Iberian Peninsula</w:t>
      </w:r>
      <w:r>
        <w:rPr>
          <w:sz w:val="24"/>
        </w:rPr>
        <w:t xml:space="preserve"> and the</w:t>
      </w:r>
      <w:r w:rsidR="00D81D50">
        <w:rPr>
          <w:sz w:val="24"/>
        </w:rPr>
        <w:t xml:space="preserve"> Tengri</w:t>
      </w:r>
      <w:r>
        <w:rPr>
          <w:sz w:val="24"/>
        </w:rPr>
        <w:t xml:space="preserve"> Avars </w:t>
      </w:r>
      <w:r w:rsidR="00AD587D">
        <w:rPr>
          <w:sz w:val="24"/>
        </w:rPr>
        <w:t xml:space="preserve">pressed against the lands of France and Italy. Charlemagne </w:t>
      </w:r>
      <w:r w:rsidR="00446F5A">
        <w:rPr>
          <w:sz w:val="24"/>
        </w:rPr>
        <w:t xml:space="preserve">conquered and Christianised many of these pagan kingdoms and therefore </w:t>
      </w:r>
      <w:r w:rsidR="00D81D50">
        <w:rPr>
          <w:sz w:val="24"/>
        </w:rPr>
        <w:t>set the standard of Christian kings in fight against the barbarous heathens</w:t>
      </w:r>
      <w:r w:rsidR="00446F5A">
        <w:rPr>
          <w:sz w:val="24"/>
        </w:rPr>
        <w:t xml:space="preserve">. </w:t>
      </w:r>
      <w:r w:rsidR="00D0361D">
        <w:rPr>
          <w:sz w:val="24"/>
        </w:rPr>
        <w:t>Perhaps in order to facilitate the morale for these wars and an incentive to expand the lands of the slowly reforming Catholic Church, Pope Leo IV addressed a speech to the Frankish army during one of these wars. In this speech Leo IV informed to those fighting that ‘</w:t>
      </w:r>
      <w:r w:rsidR="00D0361D" w:rsidRPr="00D0361D">
        <w:rPr>
          <w:sz w:val="24"/>
        </w:rPr>
        <w:t>the kingdom of heaven will be given as a reward to those who shall be killed in this war. For the Omnipotent knows that they lost their lives fighting for the truth of the faith, for the preservation of their country, a</w:t>
      </w:r>
      <w:r w:rsidR="00D0361D">
        <w:rPr>
          <w:sz w:val="24"/>
        </w:rPr>
        <w:t>n</w:t>
      </w:r>
      <w:r w:rsidR="00D0361D" w:rsidRPr="00D0361D">
        <w:rPr>
          <w:sz w:val="24"/>
        </w:rPr>
        <w:t>d the defence of Christians.</w:t>
      </w:r>
      <w:r w:rsidR="00175480">
        <w:rPr>
          <w:sz w:val="24"/>
        </w:rPr>
        <w:t>’</w:t>
      </w:r>
      <w:r w:rsidR="002C33F8">
        <w:rPr>
          <w:rStyle w:val="FootnoteReference"/>
          <w:sz w:val="24"/>
        </w:rPr>
        <w:footnoteReference w:id="1"/>
      </w:r>
      <w:r w:rsidR="00852756">
        <w:rPr>
          <w:sz w:val="24"/>
        </w:rPr>
        <w:t xml:space="preserve"> This idea of promising indulgences for dying in Holy Wars for Christendom (later simply for donating or taking part in holy war) became a defining </w:t>
      </w:r>
      <w:r w:rsidR="00DA2252">
        <w:rPr>
          <w:sz w:val="24"/>
        </w:rPr>
        <w:t>characteristic</w:t>
      </w:r>
      <w:r w:rsidR="00852756">
        <w:rPr>
          <w:sz w:val="24"/>
        </w:rPr>
        <w:t xml:space="preserve"> </w:t>
      </w:r>
      <w:r w:rsidR="00DA2252">
        <w:rPr>
          <w:sz w:val="24"/>
        </w:rPr>
        <w:t>of what would become the crusades following the First Crusade in 1095.</w:t>
      </w:r>
      <w:r w:rsidR="00B25AB8">
        <w:rPr>
          <w:sz w:val="24"/>
        </w:rPr>
        <w:t xml:space="preserve"> This adaptation of a Holy War (in Europe) into what we know as a crusade </w:t>
      </w:r>
      <w:r w:rsidR="00B26EFB">
        <w:rPr>
          <w:sz w:val="24"/>
        </w:rPr>
        <w:t>placed focus on the salvation of those who fight in the Holy Land. This essay will discuss the importance of the promise of salvation via indulgences through crusading.</w:t>
      </w:r>
    </w:p>
    <w:p w:rsidR="0079015F" w:rsidRDefault="009F475A">
      <w:pPr>
        <w:rPr>
          <w:sz w:val="24"/>
        </w:rPr>
      </w:pPr>
      <w:r>
        <w:rPr>
          <w:sz w:val="24"/>
        </w:rPr>
        <w:t xml:space="preserve">During Pope Urban II’s </w:t>
      </w:r>
      <w:r w:rsidR="005E0BAB">
        <w:rPr>
          <w:sz w:val="24"/>
        </w:rPr>
        <w:t>call for crusade</w:t>
      </w:r>
      <w:r w:rsidR="002B0B7F">
        <w:rPr>
          <w:sz w:val="24"/>
        </w:rPr>
        <w:t>,</w:t>
      </w:r>
      <w:r w:rsidR="005E0BAB">
        <w:rPr>
          <w:sz w:val="24"/>
        </w:rPr>
        <w:t xml:space="preserve"> in response to </w:t>
      </w:r>
      <w:r w:rsidR="002B0B7F">
        <w:rPr>
          <w:sz w:val="24"/>
        </w:rPr>
        <w:t>the Byzantine Empire’s loss of much of Anatolia to the Seljuks, Urban II details that those who die would receive salvation. Fulcher of Chartres writes (as direct speech) ‘</w:t>
      </w:r>
      <w:r w:rsidR="002B0B7F" w:rsidRPr="002B0B7F">
        <w:rPr>
          <w:sz w:val="24"/>
        </w:rPr>
        <w:t>All who die by the way, whether by land or by sea, or in battle against the pagans, shall have immediate remission of sins. This I grant them through the power of God with which I am invested</w:t>
      </w:r>
      <w:r w:rsidR="002B0B7F">
        <w:rPr>
          <w:sz w:val="24"/>
        </w:rPr>
        <w:t>.’</w:t>
      </w:r>
      <w:r>
        <w:rPr>
          <w:sz w:val="24"/>
        </w:rPr>
        <w:t xml:space="preserve"> </w:t>
      </w:r>
      <w:r w:rsidR="002B0B7F">
        <w:rPr>
          <w:rStyle w:val="FootnoteReference"/>
          <w:sz w:val="24"/>
        </w:rPr>
        <w:footnoteReference w:id="2"/>
      </w:r>
      <w:r w:rsidR="002B0B7F">
        <w:rPr>
          <w:sz w:val="24"/>
        </w:rPr>
        <w:t xml:space="preserve"> Following this promise</w:t>
      </w:r>
      <w:r w:rsidR="00ED004C">
        <w:rPr>
          <w:sz w:val="24"/>
        </w:rPr>
        <w:t xml:space="preserve"> of papal indulgence of sins</w:t>
      </w:r>
      <w:r w:rsidR="002B0B7F">
        <w:rPr>
          <w:sz w:val="24"/>
        </w:rPr>
        <w:t xml:space="preserve">, Peter the Hermit </w:t>
      </w:r>
      <w:r w:rsidR="00ED004C">
        <w:rPr>
          <w:sz w:val="24"/>
        </w:rPr>
        <w:t xml:space="preserve">led a popular uprising numbering around </w:t>
      </w:r>
      <w:r w:rsidR="00A54547">
        <w:rPr>
          <w:sz w:val="24"/>
        </w:rPr>
        <w:t>100</w:t>
      </w:r>
      <w:r w:rsidR="00ED004C">
        <w:rPr>
          <w:sz w:val="24"/>
        </w:rPr>
        <w:t xml:space="preserve">,000 </w:t>
      </w:r>
      <w:r w:rsidR="00A54547">
        <w:rPr>
          <w:sz w:val="24"/>
        </w:rPr>
        <w:t xml:space="preserve">largely unskilled fighters with many women and children; </w:t>
      </w:r>
      <w:r w:rsidR="00ED004C">
        <w:rPr>
          <w:sz w:val="24"/>
        </w:rPr>
        <w:t>aimed at marching onto and taking Jerusalem.</w:t>
      </w:r>
      <w:r w:rsidR="00A54547">
        <w:rPr>
          <w:rStyle w:val="FootnoteReference"/>
          <w:sz w:val="24"/>
        </w:rPr>
        <w:footnoteReference w:id="3"/>
      </w:r>
      <w:r w:rsidR="00ED004C">
        <w:rPr>
          <w:sz w:val="24"/>
        </w:rPr>
        <w:t xml:space="preserve"> </w:t>
      </w:r>
      <w:r w:rsidR="00652723">
        <w:rPr>
          <w:sz w:val="24"/>
        </w:rPr>
        <w:t xml:space="preserve">Peter the Hermit </w:t>
      </w:r>
      <w:r w:rsidR="00A54547">
        <w:rPr>
          <w:sz w:val="24"/>
        </w:rPr>
        <w:t>used popular agitation at the restricting of Christians into the Holy Sepulchre in 10</w:t>
      </w:r>
      <w:r w:rsidR="001334F5">
        <w:rPr>
          <w:sz w:val="24"/>
        </w:rPr>
        <w:t>77 as well as m</w:t>
      </w:r>
      <w:r w:rsidR="001334F5" w:rsidRPr="001334F5">
        <w:rPr>
          <w:sz w:val="24"/>
        </w:rPr>
        <w:t>illenarianis</w:t>
      </w:r>
      <w:r w:rsidR="001334F5">
        <w:rPr>
          <w:sz w:val="24"/>
        </w:rPr>
        <w:t>t beliefs of the end of the world, alongside papal forgiveness of sins, to garner huge amounts of support.</w:t>
      </w:r>
      <w:r w:rsidR="001334F5">
        <w:rPr>
          <w:rStyle w:val="FootnoteReference"/>
          <w:sz w:val="24"/>
        </w:rPr>
        <w:footnoteReference w:id="4"/>
      </w:r>
      <w:r w:rsidR="00ED3775">
        <w:rPr>
          <w:sz w:val="24"/>
        </w:rPr>
        <w:t xml:space="preserve"> </w:t>
      </w:r>
    </w:p>
    <w:p w:rsidR="00ED3775" w:rsidRDefault="00ED3775">
      <w:pPr>
        <w:rPr>
          <w:sz w:val="24"/>
        </w:rPr>
      </w:pPr>
      <w:r>
        <w:rPr>
          <w:sz w:val="24"/>
        </w:rPr>
        <w:t xml:space="preserve">This occurred before even the First Crusade so the idea that all who went on crusade would inherit a city or land would not be prevalent so we can therefore say that economic incentives would have played a far lesser part in the popularity of crusade than, arguably, in later crusades. </w:t>
      </w:r>
      <w:r w:rsidR="00B8303E">
        <w:rPr>
          <w:sz w:val="24"/>
        </w:rPr>
        <w:t>Thus, at least to the masses who would have made up the majority of those who went on crusade, the concept of spiritual reward was of tremendous importance.</w:t>
      </w:r>
    </w:p>
    <w:p w:rsidR="00B8303E" w:rsidRDefault="006821A8">
      <w:pPr>
        <w:rPr>
          <w:sz w:val="24"/>
        </w:rPr>
      </w:pPr>
      <w:r>
        <w:rPr>
          <w:sz w:val="24"/>
        </w:rPr>
        <w:t>The popes in Rome around the turning of the 11</w:t>
      </w:r>
      <w:r w:rsidRPr="006821A8">
        <w:rPr>
          <w:sz w:val="24"/>
          <w:vertAlign w:val="superscript"/>
        </w:rPr>
        <w:t>th</w:t>
      </w:r>
      <w:r>
        <w:rPr>
          <w:sz w:val="24"/>
        </w:rPr>
        <w:t xml:space="preserve"> century began adopting an ideology of papa reformism. This involved a centralisation of the bishops of Rome on all matters spiritual, whilst kings and the feudal system were left responsible of the temporal. Reformist popes struggled to fully control all matters spiritual from the laity (rulers) who would appoint bishops and priests based on their relationship with the ruler as opposed to the </w:t>
      </w:r>
      <w:r>
        <w:rPr>
          <w:sz w:val="24"/>
        </w:rPr>
        <w:lastRenderedPageBreak/>
        <w:t xml:space="preserve">Papal Investiture model the church desired for its goals of spiritual centralisation on Rome. In order to bring the kings of Europe under the Pope’s full control, the Magisterium </w:t>
      </w:r>
      <w:r w:rsidR="000035ED">
        <w:rPr>
          <w:sz w:val="24"/>
        </w:rPr>
        <w:t>required moral authority to inspire zealotry and recognition of papal investiture. The Crusades offered the perfect opportunity for this. If the Papacy could control salvation, it would control the faithful. Therefore, many popes focused their arguments for another crusade on increasingly generous promises of salvation in order to convince people to take the vow and leave for the Holy Land. Papal Indulgences for Holy War started with Leo IV’s promise of ‘</w:t>
      </w:r>
      <w:r w:rsidR="0053065D">
        <w:rPr>
          <w:sz w:val="24"/>
        </w:rPr>
        <w:t>the kingdom of heaven</w:t>
      </w:r>
      <w:r w:rsidR="000035ED">
        <w:rPr>
          <w:sz w:val="24"/>
        </w:rPr>
        <w:t>’</w:t>
      </w:r>
      <w:r w:rsidR="0053065D">
        <w:rPr>
          <w:sz w:val="24"/>
        </w:rPr>
        <w:t xml:space="preserve"> (salvation)</w:t>
      </w:r>
      <w:r w:rsidR="000035ED">
        <w:rPr>
          <w:sz w:val="24"/>
        </w:rPr>
        <w:t xml:space="preserve"> for dying</w:t>
      </w:r>
      <w:r w:rsidR="0053065D">
        <w:rPr>
          <w:sz w:val="24"/>
        </w:rPr>
        <w:t xml:space="preserve"> in a Holy War; to</w:t>
      </w:r>
      <w:r w:rsidR="002E39A3">
        <w:rPr>
          <w:sz w:val="24"/>
        </w:rPr>
        <w:t xml:space="preserve"> Innocent III requiring</w:t>
      </w:r>
      <w:r w:rsidR="0053065D">
        <w:rPr>
          <w:sz w:val="24"/>
        </w:rPr>
        <w:t xml:space="preserve"> </w:t>
      </w:r>
      <w:r w:rsidR="002E39A3">
        <w:rPr>
          <w:sz w:val="24"/>
        </w:rPr>
        <w:t>that one spend just 40 days ‘expelling’ heretics.</w:t>
      </w:r>
      <w:r w:rsidR="002E39A3">
        <w:rPr>
          <w:rStyle w:val="FootnoteReference"/>
          <w:sz w:val="24"/>
        </w:rPr>
        <w:footnoteReference w:id="5"/>
      </w:r>
      <w:r w:rsidR="000035ED">
        <w:rPr>
          <w:sz w:val="24"/>
        </w:rPr>
        <w:t xml:space="preserve"> </w:t>
      </w:r>
      <w:r w:rsidR="008A5D63">
        <w:rPr>
          <w:sz w:val="24"/>
        </w:rPr>
        <w:t xml:space="preserve">We can see that indulgences promising spiritual reward were important in motivating people to go on crusade on two </w:t>
      </w:r>
      <w:r w:rsidR="008A5D63" w:rsidRPr="008A5D63">
        <w:rPr>
          <w:sz w:val="24"/>
        </w:rPr>
        <w:t>grounds</w:t>
      </w:r>
      <w:r w:rsidR="008A5D63">
        <w:rPr>
          <w:sz w:val="24"/>
        </w:rPr>
        <w:t>. The first is the amount of people who went on crusade</w:t>
      </w:r>
      <w:r w:rsidR="008C6396">
        <w:rPr>
          <w:sz w:val="24"/>
        </w:rPr>
        <w:t>. Steven Runciman estimates in volume 1 of his ‘</w:t>
      </w:r>
      <w:r w:rsidR="008C6396">
        <w:rPr>
          <w:i/>
          <w:sz w:val="24"/>
        </w:rPr>
        <w:t xml:space="preserve">A History of the First Crusades’ </w:t>
      </w:r>
      <w:r w:rsidR="008C6396">
        <w:rPr>
          <w:sz w:val="24"/>
        </w:rPr>
        <w:t xml:space="preserve">that ‘if armies of lesser lords are to be counted in with the greater armies… we reach a total for the whole expedition of roughly 4200 to 4500 cavalry and 30,000 infantry, including </w:t>
      </w:r>
      <w:r w:rsidR="00DD5855">
        <w:rPr>
          <w:sz w:val="24"/>
        </w:rPr>
        <w:t>civilians</w:t>
      </w:r>
      <w:r w:rsidR="008C6396">
        <w:rPr>
          <w:sz w:val="24"/>
        </w:rPr>
        <w:t xml:space="preserve"> that could be pressed into service.’</w:t>
      </w:r>
      <w:r w:rsidR="008C6396">
        <w:rPr>
          <w:rStyle w:val="FootnoteReference"/>
          <w:sz w:val="24"/>
        </w:rPr>
        <w:footnoteReference w:id="6"/>
      </w:r>
      <w:r w:rsidR="00D51AEA">
        <w:rPr>
          <w:sz w:val="24"/>
        </w:rPr>
        <w:t xml:space="preserve"> </w:t>
      </w:r>
      <w:r w:rsidR="00095B33">
        <w:rPr>
          <w:sz w:val="24"/>
        </w:rPr>
        <w:t xml:space="preserve">This was a sizable army and shows the amount of people who were willing to take the vow and go on crusade. To the common man at the time, religion was all-encompassing, and fear of God was at a level we can’t really feel to the same degree in modern times. In the Christian world, Jerusalem was at the centre of both the spiritual and physical world. In Hans Mayer’s book </w:t>
      </w:r>
      <w:r w:rsidR="00095B33">
        <w:rPr>
          <w:i/>
          <w:sz w:val="24"/>
        </w:rPr>
        <w:t xml:space="preserve">‘The Crusades’ </w:t>
      </w:r>
      <w:r w:rsidR="00095B33">
        <w:rPr>
          <w:sz w:val="24"/>
        </w:rPr>
        <w:t xml:space="preserve">Mayer states that ‘[the crusaders] believed that they were marching </w:t>
      </w:r>
      <w:r w:rsidR="00FD54BC">
        <w:rPr>
          <w:sz w:val="24"/>
        </w:rPr>
        <w:t xml:space="preserve">directly to the city of eternal bliss. Above all it was the </w:t>
      </w:r>
      <w:r w:rsidR="00FD54BC">
        <w:rPr>
          <w:i/>
          <w:sz w:val="24"/>
        </w:rPr>
        <w:t xml:space="preserve">pauperes, </w:t>
      </w:r>
      <w:r w:rsidR="00FD54BC">
        <w:rPr>
          <w:sz w:val="24"/>
        </w:rPr>
        <w:t>the landless poor, whose apocalyptic and eschatological piety was crystallised in the vision of Jerusalem.’</w:t>
      </w:r>
      <w:r w:rsidR="00FD54BC">
        <w:rPr>
          <w:rStyle w:val="FootnoteReference"/>
          <w:sz w:val="24"/>
        </w:rPr>
        <w:footnoteReference w:id="7"/>
      </w:r>
      <w:r w:rsidR="008A5D63" w:rsidRPr="008A5D63">
        <w:rPr>
          <w:sz w:val="24"/>
        </w:rPr>
        <w:t xml:space="preserve"> </w:t>
      </w:r>
      <w:r w:rsidR="003B32DC">
        <w:rPr>
          <w:sz w:val="24"/>
        </w:rPr>
        <w:t xml:space="preserve">The second ground is that the fact Popes continued to deliver indulgences, in increasing quantity, shows that they worked as an incentive to draw in crusaders. If they did not function as an effective recruitment scheme, then surely popes after Urban II would not continue to make them a focus of a call for crusade. </w:t>
      </w:r>
    </w:p>
    <w:p w:rsidR="004C52DF" w:rsidRDefault="0045737E">
      <w:pPr>
        <w:rPr>
          <w:sz w:val="24"/>
        </w:rPr>
      </w:pPr>
      <w:r>
        <w:rPr>
          <w:sz w:val="24"/>
        </w:rPr>
        <w:t>However,</w:t>
      </w:r>
      <w:r w:rsidR="00433921">
        <w:rPr>
          <w:sz w:val="24"/>
        </w:rPr>
        <w:t xml:space="preserve"> </w:t>
      </w:r>
      <w:r>
        <w:rPr>
          <w:sz w:val="24"/>
        </w:rPr>
        <w:t>the promise of spiritual reward was</w:t>
      </w:r>
      <w:r w:rsidR="00433921">
        <w:rPr>
          <w:sz w:val="24"/>
        </w:rPr>
        <w:t xml:space="preserve"> not the only form of </w:t>
      </w:r>
      <w:r>
        <w:rPr>
          <w:sz w:val="24"/>
        </w:rPr>
        <w:t xml:space="preserve">incentive to support or go on crusade. The motivations for the average crusader are obviously not well documented as most could not read or write, so </w:t>
      </w:r>
      <w:r w:rsidR="00B96E6F">
        <w:rPr>
          <w:sz w:val="24"/>
        </w:rPr>
        <w:t>therefore</w:t>
      </w:r>
      <w:r>
        <w:rPr>
          <w:sz w:val="24"/>
        </w:rPr>
        <w:t xml:space="preserve"> we can only speculate.</w:t>
      </w:r>
      <w:r w:rsidR="00B96E6F">
        <w:rPr>
          <w:sz w:val="24"/>
        </w:rPr>
        <w:t xml:space="preserve"> The reason why one would go on crusade are obviously varied depending on the individual as well as their social class and background. The Italian mercantile states like Venice and Genoa possessed ports across the Mediterranean </w:t>
      </w:r>
      <w:r w:rsidR="00991564">
        <w:rPr>
          <w:sz w:val="24"/>
        </w:rPr>
        <w:t xml:space="preserve">and benefited greatly through trade with the crusader states and ferrying troops and supplies to crusading armies. </w:t>
      </w:r>
      <w:r w:rsidR="00991564">
        <w:rPr>
          <w:rStyle w:val="FootnoteReference"/>
          <w:sz w:val="24"/>
        </w:rPr>
        <w:footnoteReference w:id="8"/>
      </w:r>
      <w:r w:rsidR="002B6DFC">
        <w:rPr>
          <w:sz w:val="24"/>
        </w:rPr>
        <w:t xml:space="preserve"> Therefore, merchants would see opportunity in </w:t>
      </w:r>
      <w:r w:rsidR="005A0871">
        <w:rPr>
          <w:sz w:val="24"/>
        </w:rPr>
        <w:t>capturing cities and ports for the West. Perhaps the greatest example of this is the concession of many islands in the Aegean Sea and Zara to Venice following the Fourth Crusade of 1202.</w:t>
      </w:r>
      <w:r w:rsidR="00B250B6">
        <w:rPr>
          <w:sz w:val="24"/>
        </w:rPr>
        <w:t xml:space="preserve"> </w:t>
      </w:r>
    </w:p>
    <w:p w:rsidR="00BD388D" w:rsidRDefault="00BD388D">
      <w:pPr>
        <w:rPr>
          <w:sz w:val="24"/>
        </w:rPr>
      </w:pPr>
      <w:r>
        <w:rPr>
          <w:sz w:val="24"/>
        </w:rPr>
        <w:lastRenderedPageBreak/>
        <w:t>Additionally, an economic incentive may have been alluring to those who are not merchants. Europe suffered from many plagues and famines following and prior to the First Crusade. The promise of riches taken from the enemy in pope Urban II’s speech transcribed by Fulcher of Chartres: ‘on this side will be the sorrowful and poor, on that, the rich.’</w:t>
      </w:r>
      <w:r>
        <w:rPr>
          <w:rStyle w:val="FootnoteReference"/>
          <w:sz w:val="24"/>
        </w:rPr>
        <w:footnoteReference w:id="9"/>
      </w:r>
      <w:r w:rsidR="00C82250">
        <w:rPr>
          <w:sz w:val="24"/>
        </w:rPr>
        <w:t xml:space="preserve"> </w:t>
      </w:r>
      <w:r w:rsidR="00E56CF8">
        <w:rPr>
          <w:sz w:val="24"/>
        </w:rPr>
        <w:t>Pope Urban also promised ‘the possessions of the enemy, too, will be yours, since you will make spoils of the treasures.</w:t>
      </w:r>
      <w:r w:rsidR="00E56CF8">
        <w:rPr>
          <w:rStyle w:val="FootnoteReference"/>
          <w:sz w:val="24"/>
        </w:rPr>
        <w:footnoteReference w:id="10"/>
      </w:r>
      <w:r w:rsidR="00613F34">
        <w:rPr>
          <w:sz w:val="24"/>
        </w:rPr>
        <w:t xml:space="preserve"> </w:t>
      </w:r>
      <w:r w:rsidR="001E6717">
        <w:rPr>
          <w:sz w:val="24"/>
        </w:rPr>
        <w:t>Pope Innocent III, prior to the Fourth Crusade, commanded that outstanding debts of those on crusade would be frozen in a ‘moratorium of payment’</w:t>
      </w:r>
      <w:r w:rsidR="00E978B9">
        <w:rPr>
          <w:sz w:val="24"/>
        </w:rPr>
        <w:t xml:space="preserve"> which was very significant and would have caused many to ‘take up the cross’ and join the crusade</w:t>
      </w:r>
      <w:r w:rsidR="001E6717">
        <w:rPr>
          <w:sz w:val="24"/>
        </w:rPr>
        <w:t>.</w:t>
      </w:r>
      <w:r w:rsidR="001E6717">
        <w:rPr>
          <w:rStyle w:val="FootnoteReference"/>
          <w:sz w:val="24"/>
        </w:rPr>
        <w:footnoteReference w:id="11"/>
      </w:r>
      <w:r w:rsidR="001E6717">
        <w:rPr>
          <w:sz w:val="24"/>
        </w:rPr>
        <w:t xml:space="preserve"> </w:t>
      </w:r>
      <w:r w:rsidR="00613F34">
        <w:rPr>
          <w:sz w:val="24"/>
        </w:rPr>
        <w:t xml:space="preserve">Those of the peasant class or of lesser nobility would, following poverty back home found this appealing. </w:t>
      </w:r>
      <w:r w:rsidR="0065632C">
        <w:rPr>
          <w:sz w:val="24"/>
        </w:rPr>
        <w:t>They would perhaps of imagined the city of Jerusalem as it is described in the Book of Revelations as ‘shining like jasper’ (Rev. 21:11)</w:t>
      </w:r>
      <w:r w:rsidR="00D85492">
        <w:rPr>
          <w:sz w:val="24"/>
        </w:rPr>
        <w:t>.</w:t>
      </w:r>
      <w:r w:rsidR="0065632C">
        <w:rPr>
          <w:rStyle w:val="FootnoteReference"/>
          <w:sz w:val="24"/>
        </w:rPr>
        <w:footnoteReference w:id="12"/>
      </w:r>
    </w:p>
    <w:p w:rsidR="001E6717" w:rsidRDefault="001E6717">
      <w:pPr>
        <w:rPr>
          <w:sz w:val="24"/>
        </w:rPr>
      </w:pPr>
      <w:r>
        <w:rPr>
          <w:sz w:val="24"/>
        </w:rPr>
        <w:t xml:space="preserve">That leads to another motivation for one going on crusade: the sense of adventure. </w:t>
      </w:r>
      <w:r w:rsidR="00E978B9">
        <w:rPr>
          <w:sz w:val="24"/>
        </w:rPr>
        <w:t>In feudal Europe most would never leave the village they were born</w:t>
      </w:r>
      <w:r w:rsidR="008D73F1">
        <w:rPr>
          <w:sz w:val="24"/>
        </w:rPr>
        <w:t xml:space="preserve"> as they would most likely be tied to the land as </w:t>
      </w:r>
      <w:r w:rsidR="008D73F1">
        <w:rPr>
          <w:i/>
          <w:sz w:val="24"/>
        </w:rPr>
        <w:t>serfs</w:t>
      </w:r>
      <w:r w:rsidR="008D73F1">
        <w:rPr>
          <w:sz w:val="24"/>
        </w:rPr>
        <w:t xml:space="preserve"> (Mayer’s </w:t>
      </w:r>
      <w:r w:rsidR="008D73F1">
        <w:rPr>
          <w:i/>
          <w:sz w:val="24"/>
        </w:rPr>
        <w:t>‘pauperes’)</w:t>
      </w:r>
      <w:r w:rsidR="008A17F6">
        <w:rPr>
          <w:i/>
          <w:sz w:val="24"/>
        </w:rPr>
        <w:t xml:space="preserve"> </w:t>
      </w:r>
      <w:r w:rsidR="008A17F6">
        <w:rPr>
          <w:sz w:val="24"/>
        </w:rPr>
        <w:t>or as knights in service of a local king or nobleman</w:t>
      </w:r>
      <w:r w:rsidR="008D73F1">
        <w:rPr>
          <w:sz w:val="24"/>
        </w:rPr>
        <w:t>.</w:t>
      </w:r>
      <w:r w:rsidR="0097644F">
        <w:rPr>
          <w:sz w:val="24"/>
          <w:vertAlign w:val="superscript"/>
        </w:rPr>
        <w:t>7</w:t>
      </w:r>
      <w:r w:rsidR="0097644F">
        <w:rPr>
          <w:sz w:val="24"/>
        </w:rPr>
        <w:t xml:space="preserve"> </w:t>
      </w:r>
      <w:r w:rsidR="0097644F">
        <w:rPr>
          <w:sz w:val="24"/>
          <w:vertAlign w:val="superscript"/>
        </w:rPr>
        <w:t xml:space="preserve"> </w:t>
      </w:r>
      <w:r w:rsidR="00A64E68">
        <w:rPr>
          <w:sz w:val="24"/>
        </w:rPr>
        <w:t xml:space="preserve">A chance to go on crusade or pilgrimage and see the </w:t>
      </w:r>
      <w:r w:rsidR="00697F8F">
        <w:rPr>
          <w:sz w:val="24"/>
        </w:rPr>
        <w:t xml:space="preserve">Holy Sepulchre as well as what would have been most of the known world at that time, whilst the church looked after your property, your debts were frozen, </w:t>
      </w:r>
      <w:r w:rsidR="00697F8F">
        <w:rPr>
          <w:i/>
          <w:sz w:val="24"/>
        </w:rPr>
        <w:t xml:space="preserve">and </w:t>
      </w:r>
      <w:r w:rsidR="00697F8F">
        <w:rPr>
          <w:sz w:val="24"/>
        </w:rPr>
        <w:t>absolved of sins just by signing up. For a peasant who would have never likely never travelled more than 30 miles in one direction, it would have been a very good opportunity.</w:t>
      </w:r>
      <w:r w:rsidR="004C52DF">
        <w:rPr>
          <w:sz w:val="24"/>
        </w:rPr>
        <w:t xml:space="preserve"> It may have been, for some, an opportunity in a new and different land. Islamic poet Usama ibn </w:t>
      </w:r>
      <w:r w:rsidR="001D326F">
        <w:rPr>
          <w:sz w:val="24"/>
        </w:rPr>
        <w:t>Munqidh writes of Frankish immigrants and settlers in the Levant</w:t>
      </w:r>
      <w:r w:rsidR="0020583E">
        <w:rPr>
          <w:sz w:val="24"/>
        </w:rPr>
        <w:t xml:space="preserve"> as well as Fulcher of Chartres.</w:t>
      </w:r>
      <w:r w:rsidR="001D326F">
        <w:rPr>
          <w:rStyle w:val="FootnoteReference"/>
          <w:sz w:val="24"/>
        </w:rPr>
        <w:footnoteReference w:id="13"/>
      </w:r>
      <w:r w:rsidR="001D326F">
        <w:rPr>
          <w:sz w:val="24"/>
        </w:rPr>
        <w:t xml:space="preserve"> </w:t>
      </w:r>
      <w:r w:rsidR="0020583E">
        <w:rPr>
          <w:sz w:val="24"/>
        </w:rPr>
        <w:t xml:space="preserve">Fulcher of Chartres writes in </w:t>
      </w:r>
      <w:r w:rsidR="0020583E">
        <w:rPr>
          <w:i/>
          <w:sz w:val="24"/>
        </w:rPr>
        <w:t>‘The Latins of the East’</w:t>
      </w:r>
      <w:r w:rsidR="0020583E">
        <w:rPr>
          <w:sz w:val="24"/>
        </w:rPr>
        <w:t xml:space="preserve">: ‘we who were Occidentals now have been made Orientals. </w:t>
      </w:r>
      <w:r w:rsidR="0020583E" w:rsidRPr="0020583E">
        <w:rPr>
          <w:sz w:val="24"/>
        </w:rPr>
        <w:t xml:space="preserve">He who was a Roman or a Frank is now a </w:t>
      </w:r>
      <w:r w:rsidR="0020583E" w:rsidRPr="0020583E">
        <w:rPr>
          <w:sz w:val="24"/>
        </w:rPr>
        <w:t>Galilean</w:t>
      </w:r>
      <w:r w:rsidR="0020583E" w:rsidRPr="0020583E">
        <w:rPr>
          <w:sz w:val="24"/>
        </w:rPr>
        <w:t>, or an inhabitant of Palestine. One who was a citizen of Rheims or of Chartres now has been made a citizen of Tyre or of Antioch.</w:t>
      </w:r>
      <w:r w:rsidR="0020583E">
        <w:rPr>
          <w:sz w:val="24"/>
        </w:rPr>
        <w:t xml:space="preserve">’ </w:t>
      </w:r>
      <w:r w:rsidR="00BB412E">
        <w:rPr>
          <w:sz w:val="24"/>
        </w:rPr>
        <w:t>This shows there was a great many Franks (western Christians) who inhabited the area and even integrated to some degree into the surrounding area and people.</w:t>
      </w:r>
      <w:r w:rsidR="0020583E">
        <w:rPr>
          <w:rStyle w:val="FootnoteReference"/>
          <w:sz w:val="24"/>
        </w:rPr>
        <w:footnoteReference w:id="14"/>
      </w:r>
      <w:r w:rsidR="00214550">
        <w:rPr>
          <w:sz w:val="24"/>
        </w:rPr>
        <w:t xml:space="preserve"> </w:t>
      </w:r>
    </w:p>
    <w:p w:rsidR="005E407C" w:rsidRDefault="00301E3B">
      <w:pPr>
        <w:rPr>
          <w:sz w:val="24"/>
        </w:rPr>
      </w:pPr>
      <w:r>
        <w:rPr>
          <w:sz w:val="24"/>
        </w:rPr>
        <w:t>By the time of the later crusades, crusading became a part of the western lifestyle. Many families would go on crusade regularly or once a generation a member would go. Western Christendom developed a crusading mentality which was recognised and encouraged by the church as stated by pope Eugenius III</w:t>
      </w:r>
      <w:r>
        <w:t xml:space="preserve">: ‘may </w:t>
      </w:r>
      <w:r w:rsidRPr="00301E3B">
        <w:rPr>
          <w:sz w:val="24"/>
        </w:rPr>
        <w:t>the bravery of your fathers acquired be</w:t>
      </w:r>
      <w:r>
        <w:rPr>
          <w:sz w:val="24"/>
        </w:rPr>
        <w:t xml:space="preserve"> </w:t>
      </w:r>
      <w:r w:rsidRPr="00301E3B">
        <w:rPr>
          <w:sz w:val="24"/>
        </w:rPr>
        <w:t>bravely defended by you the sons</w:t>
      </w:r>
      <w:r w:rsidR="00B239D9">
        <w:rPr>
          <w:sz w:val="24"/>
        </w:rPr>
        <w:t>.</w:t>
      </w:r>
      <w:r>
        <w:rPr>
          <w:sz w:val="24"/>
        </w:rPr>
        <w:t>’</w:t>
      </w:r>
      <w:r>
        <w:rPr>
          <w:rStyle w:val="FootnoteReference"/>
          <w:sz w:val="24"/>
        </w:rPr>
        <w:footnoteReference w:id="15"/>
      </w:r>
      <w:r w:rsidR="00B239D9">
        <w:rPr>
          <w:sz w:val="24"/>
        </w:rPr>
        <w:t xml:space="preserve"> This was a </w:t>
      </w:r>
      <w:r w:rsidR="00DE1F1D">
        <w:rPr>
          <w:sz w:val="24"/>
        </w:rPr>
        <w:t xml:space="preserve">significant reason for many going on crusade as they would have followed their liege-lord into the seasonal crusade. Men would have grown up with tales of their predecessors fighting infidels in the Holy Land and would be expected to emulate them. Some low-ranking nobility like princes would hear of the successes of </w:t>
      </w:r>
      <w:r w:rsidR="00DE1F1D">
        <w:rPr>
          <w:sz w:val="24"/>
        </w:rPr>
        <w:lastRenderedPageBreak/>
        <w:t>Baldwin or Bohemond and wished to have a fiefdom of their own. Kings may wish to become the Richard ‘The Lionheart’ and prove themselves as effective and prudent military commanders. Crusades were always an opportunity to further oneself; despite the reality rarely mirroring the success of the First Crusade.</w:t>
      </w:r>
    </w:p>
    <w:p w:rsidR="00DE1F1D" w:rsidRPr="00697F8F" w:rsidRDefault="00223EBC">
      <w:pPr>
        <w:rPr>
          <w:sz w:val="24"/>
        </w:rPr>
      </w:pPr>
      <w:r>
        <w:rPr>
          <w:sz w:val="24"/>
        </w:rPr>
        <w:t xml:space="preserve">Crusading is, by concept, a holy war in the interests Christendom. It is almost undeniably apparent from the many writings, speeches, and letters of the church and contemporaries that the promise of spiritual reward for going on crusade was the most important reason for the early crusades. They were defensive wars in which the affective piety and suffering caused by emulating Christ driving out the invading ‘pagans’ was of great importance. One cannot separate the magisterium of the Roman Catholic Church from medieval western society. It was to </w:t>
      </w:r>
      <w:r w:rsidR="001870D6">
        <w:rPr>
          <w:sz w:val="24"/>
        </w:rPr>
        <w:t>believers</w:t>
      </w:r>
      <w:r>
        <w:rPr>
          <w:sz w:val="24"/>
        </w:rPr>
        <w:t>, truly, God’s representative</w:t>
      </w:r>
      <w:r w:rsidR="001870D6">
        <w:rPr>
          <w:sz w:val="24"/>
        </w:rPr>
        <w:t xml:space="preserve"> on Earth. The Pope’s word was above the laws of man in which disobeying your religion would mean burning for eternity in Hell. Therefore, if the Pope says that you would receive a chance of eternal salvation for going on crusade, very little else would compare in motivation to take the cross. And fight in the Holy Land. </w:t>
      </w:r>
      <w:r w:rsidR="003B7CFD">
        <w:rPr>
          <w:sz w:val="24"/>
        </w:rPr>
        <w:t xml:space="preserve">However, despite the arguably just original ‘casus belli’ for the First Crusade to defend the Christians in the East from the ‘pagan hordes’; later crusades seem to be wholly motivated by economic incentives rather than spiritual reward. The Knights Templar which was founded </w:t>
      </w:r>
      <w:r w:rsidR="00E07D34">
        <w:rPr>
          <w:sz w:val="24"/>
        </w:rPr>
        <w:t>based on</w:t>
      </w:r>
      <w:r w:rsidR="003B7CFD">
        <w:rPr>
          <w:sz w:val="24"/>
        </w:rPr>
        <w:t xml:space="preserve"> being a wholly spiritual order that defended Christian pilgrims, became an insanely rich group of elites that had nothing to do with the original spiritual incentives. Therefore, on conclusion, spiritual reward was for the common peasant a chance of spiritual forgiveness in a world in which they were always sinning. But for the nobleman and the merchant it became a chance to gain prestige and business </w:t>
      </w:r>
      <w:r w:rsidR="00E07D34">
        <w:rPr>
          <w:sz w:val="24"/>
        </w:rPr>
        <w:t>opportunities</w:t>
      </w:r>
      <w:r w:rsidR="003B7CFD">
        <w:rPr>
          <w:sz w:val="24"/>
        </w:rPr>
        <w:t>.</w:t>
      </w:r>
      <w:r w:rsidR="00E07D34">
        <w:rPr>
          <w:sz w:val="24"/>
        </w:rPr>
        <w:t xml:space="preserve"> The concept of spiritual reward was the most important motivation for the bulk of people going on crusade, however it was not the only one. Ultimately, we can only assume as we were not there to interview them.</w:t>
      </w:r>
      <w:bookmarkStart w:id="1" w:name="_GoBack"/>
      <w:bookmarkEnd w:id="1"/>
    </w:p>
    <w:sectPr w:rsidR="00DE1F1D" w:rsidRPr="00697F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229D" w:rsidRDefault="00D7229D" w:rsidP="00034F51">
      <w:pPr>
        <w:spacing w:after="0" w:line="240" w:lineRule="auto"/>
      </w:pPr>
      <w:r>
        <w:separator/>
      </w:r>
    </w:p>
  </w:endnote>
  <w:endnote w:type="continuationSeparator" w:id="0">
    <w:p w:rsidR="00D7229D" w:rsidRDefault="00D7229D" w:rsidP="00034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229D" w:rsidRDefault="00D7229D" w:rsidP="00034F51">
      <w:pPr>
        <w:spacing w:after="0" w:line="240" w:lineRule="auto"/>
      </w:pPr>
      <w:r>
        <w:separator/>
      </w:r>
    </w:p>
  </w:footnote>
  <w:footnote w:type="continuationSeparator" w:id="0">
    <w:p w:rsidR="00D7229D" w:rsidRDefault="00D7229D" w:rsidP="00034F51">
      <w:pPr>
        <w:spacing w:after="0" w:line="240" w:lineRule="auto"/>
      </w:pPr>
      <w:r>
        <w:continuationSeparator/>
      </w:r>
    </w:p>
  </w:footnote>
  <w:footnote w:id="1">
    <w:p w:rsidR="002C33F8" w:rsidRDefault="002C33F8" w:rsidP="001A32A4">
      <w:pPr>
        <w:pStyle w:val="FootnoteText"/>
      </w:pPr>
      <w:r>
        <w:rPr>
          <w:rStyle w:val="FootnoteReference"/>
        </w:rPr>
        <w:footnoteRef/>
      </w:r>
      <w:r>
        <w:t xml:space="preserve"> </w:t>
      </w:r>
      <w:r w:rsidR="001A32A4">
        <w:t xml:space="preserve">In Migne, </w:t>
      </w:r>
      <w:r w:rsidR="001A32A4" w:rsidRPr="002B0B7F">
        <w:rPr>
          <w:i/>
        </w:rPr>
        <w:t>Patrologia Latina</w:t>
      </w:r>
      <w:r w:rsidR="001A32A4">
        <w:t>, 115: 656-657, and 161:720,</w:t>
      </w:r>
      <w:r w:rsidR="001A32A4">
        <w:t xml:space="preserve"> </w:t>
      </w:r>
      <w:r w:rsidR="001A32A4">
        <w:t>trans. Oliver J. Thatcher, and Edgar Holmes McNeal, eds., A Source Book for Medieval History, (New York: Scribners, 1905), 511-12</w:t>
      </w:r>
    </w:p>
  </w:footnote>
  <w:footnote w:id="2">
    <w:p w:rsidR="002B0B7F" w:rsidRDefault="002B0B7F">
      <w:pPr>
        <w:pStyle w:val="FootnoteText"/>
      </w:pPr>
      <w:r>
        <w:rPr>
          <w:rStyle w:val="FootnoteReference"/>
        </w:rPr>
        <w:footnoteRef/>
      </w:r>
      <w:r>
        <w:t xml:space="preserve"> </w:t>
      </w:r>
      <w:r w:rsidRPr="002B0B7F">
        <w:t>Bongars, </w:t>
      </w:r>
      <w:r w:rsidRPr="002B0B7F">
        <w:rPr>
          <w:i/>
          <w:iCs/>
        </w:rPr>
        <w:t>Gesta Dei per Francos</w:t>
      </w:r>
      <w:r w:rsidRPr="002B0B7F">
        <w:t>, 1, pp. 382 f., trans in Oliver J. Thatcher, and Edgar Holmes McNeal, eds., </w:t>
      </w:r>
      <w:r w:rsidRPr="002B0B7F">
        <w:rPr>
          <w:i/>
          <w:iCs/>
        </w:rPr>
        <w:t>A Source Book for Medieval History</w:t>
      </w:r>
      <w:r w:rsidRPr="002B0B7F">
        <w:t>, (New York: Scribners, 1905), 513-17</w:t>
      </w:r>
    </w:p>
  </w:footnote>
  <w:footnote w:id="3">
    <w:p w:rsidR="001334F5" w:rsidRDefault="00A54547">
      <w:pPr>
        <w:pStyle w:val="FootnoteText"/>
      </w:pPr>
      <w:r>
        <w:rPr>
          <w:rStyle w:val="FootnoteReference"/>
        </w:rPr>
        <w:footnoteRef/>
      </w:r>
      <w:r>
        <w:t xml:space="preserve"> </w:t>
      </w:r>
      <w:r w:rsidRPr="00A54547">
        <w:t>Norwich</w:t>
      </w:r>
      <w:r>
        <w:t xml:space="preserve"> J.</w:t>
      </w:r>
      <w:r w:rsidRPr="00A54547">
        <w:t xml:space="preserve"> </w:t>
      </w:r>
      <w:r w:rsidRPr="00A54547">
        <w:rPr>
          <w:i/>
        </w:rPr>
        <w:t>Byzantium: The Decline and Fall</w:t>
      </w:r>
      <w:r w:rsidRPr="00A54547">
        <w:t xml:space="preserve">, </w:t>
      </w:r>
      <w:r>
        <w:t xml:space="preserve">(Penguin Books, 1996), </w:t>
      </w:r>
      <w:r w:rsidRPr="00A54547">
        <w:t>33</w:t>
      </w:r>
    </w:p>
  </w:footnote>
  <w:footnote w:id="4">
    <w:p w:rsidR="001334F5" w:rsidRPr="001334F5" w:rsidRDefault="001334F5">
      <w:pPr>
        <w:pStyle w:val="FootnoteText"/>
      </w:pPr>
      <w:r>
        <w:rPr>
          <w:rStyle w:val="FootnoteReference"/>
        </w:rPr>
        <w:footnoteRef/>
      </w:r>
      <w:r>
        <w:t xml:space="preserve"> Crowe, E.E, ‘Peter the Hermit’ </w:t>
      </w:r>
      <w:r>
        <w:rPr>
          <w:i/>
        </w:rPr>
        <w:t xml:space="preserve">The History of France, Volume 1, </w:t>
      </w:r>
      <w:r>
        <w:t>(Longman: 1830), 37</w:t>
      </w:r>
    </w:p>
  </w:footnote>
  <w:footnote w:id="5">
    <w:p w:rsidR="002E39A3" w:rsidRDefault="002E39A3">
      <w:pPr>
        <w:pStyle w:val="FootnoteText"/>
      </w:pPr>
      <w:r>
        <w:rPr>
          <w:rStyle w:val="FootnoteReference"/>
        </w:rPr>
        <w:footnoteRef/>
      </w:r>
      <w:r>
        <w:t xml:space="preserve"> ‘</w:t>
      </w:r>
      <w:r w:rsidRPr="002E39A3">
        <w:t>Catholics who take the cross and gird themselves up for the expulsion of heretics shall enjoy the same indulgence, and be strengthened by the same holy privilege, as is granted to those who go to the aid of the holy Land</w:t>
      </w:r>
      <w:r>
        <w:t xml:space="preserve">’, The Fourth Lateran Council, 1215, </w:t>
      </w:r>
      <w:r w:rsidRPr="002E39A3">
        <w:t>trans</w:t>
      </w:r>
      <w:r>
        <w:t xml:space="preserve">. </w:t>
      </w:r>
      <w:r w:rsidRPr="002E39A3">
        <w:t xml:space="preserve">from </w:t>
      </w:r>
      <w:r>
        <w:t>‘</w:t>
      </w:r>
      <w:r w:rsidRPr="002E39A3">
        <w:t>Decrees of the Ecumenical Councils</w:t>
      </w:r>
      <w:r>
        <w:t>’</w:t>
      </w:r>
      <w:r w:rsidRPr="002E39A3">
        <w:t>, ed. Norman P. Tanner</w:t>
      </w:r>
      <w:r w:rsidR="003027FD">
        <w:t xml:space="preserve">, </w:t>
      </w:r>
      <w:r w:rsidR="003027FD" w:rsidRPr="003027FD">
        <w:t>Georgetown University Press</w:t>
      </w:r>
      <w:r w:rsidR="003027FD">
        <w:t>, 1990</w:t>
      </w:r>
    </w:p>
  </w:footnote>
  <w:footnote w:id="6">
    <w:p w:rsidR="008C6396" w:rsidRPr="008C6396" w:rsidRDefault="008C6396">
      <w:pPr>
        <w:pStyle w:val="FootnoteText"/>
        <w:rPr>
          <w:i/>
        </w:rPr>
      </w:pPr>
      <w:r>
        <w:rPr>
          <w:rStyle w:val="FootnoteReference"/>
        </w:rPr>
        <w:footnoteRef/>
      </w:r>
      <w:r>
        <w:t xml:space="preserve"> Runciman, S., ‘Appendix II’ in </w:t>
      </w:r>
      <w:r>
        <w:rPr>
          <w:i/>
        </w:rPr>
        <w:t>‘A History of the Crusades’</w:t>
      </w:r>
      <w:r>
        <w:t>, Volume 1</w:t>
      </w:r>
      <w:r w:rsidR="00AF1A32">
        <w:t>, (Cambridge University Press: 1957), 339</w:t>
      </w:r>
    </w:p>
  </w:footnote>
  <w:footnote w:id="7">
    <w:p w:rsidR="00FD54BC" w:rsidRPr="00FD54BC" w:rsidRDefault="00FD54BC">
      <w:pPr>
        <w:pStyle w:val="FootnoteText"/>
        <w:rPr>
          <w:i/>
        </w:rPr>
      </w:pPr>
      <w:r>
        <w:rPr>
          <w:rStyle w:val="FootnoteReference"/>
        </w:rPr>
        <w:footnoteRef/>
      </w:r>
      <w:bookmarkStart w:id="0" w:name="_Hlk30968935"/>
      <w:r>
        <w:t xml:space="preserve"> Mayer, H., </w:t>
      </w:r>
      <w:r>
        <w:rPr>
          <w:i/>
        </w:rPr>
        <w:t xml:space="preserve">‘The Crusades’, </w:t>
      </w:r>
      <w:r w:rsidRPr="00FD54BC">
        <w:t>trans. By John Gillingham</w:t>
      </w:r>
      <w:r>
        <w:t xml:space="preserve"> (Oxford University Press: 1972), 12</w:t>
      </w:r>
      <w:bookmarkEnd w:id="0"/>
    </w:p>
  </w:footnote>
  <w:footnote w:id="8">
    <w:p w:rsidR="00991564" w:rsidRPr="00991564" w:rsidRDefault="00991564" w:rsidP="00991564">
      <w:pPr>
        <w:pStyle w:val="FootnoteText"/>
      </w:pPr>
      <w:r>
        <w:rPr>
          <w:rStyle w:val="FootnoteReference"/>
        </w:rPr>
        <w:footnoteRef/>
      </w:r>
      <w:r>
        <w:t xml:space="preserve"> Abulafia, D., </w:t>
      </w:r>
      <w:r>
        <w:rPr>
          <w:i/>
        </w:rPr>
        <w:t>‘</w:t>
      </w:r>
      <w:r w:rsidRPr="00991564">
        <w:rPr>
          <w:i/>
        </w:rPr>
        <w:t>The Merchants of Messina: Levant Trade and Domestic Economy</w:t>
      </w:r>
      <w:r>
        <w:rPr>
          <w:i/>
        </w:rPr>
        <w:t>’</w:t>
      </w:r>
      <w:r>
        <w:t>, Journal article (</w:t>
      </w:r>
      <w:r w:rsidRPr="00991564">
        <w:rPr>
          <w:i/>
          <w:iCs/>
        </w:rPr>
        <w:t>Papers of the British School at Rome</w:t>
      </w:r>
      <w:r>
        <w:t xml:space="preserve">, </w:t>
      </w:r>
      <w:r w:rsidRPr="00991564">
        <w:t>Vol. 54 (1986)</w:t>
      </w:r>
      <w:r>
        <w:t>), 196</w:t>
      </w:r>
    </w:p>
    <w:p w:rsidR="00991564" w:rsidRPr="00991564" w:rsidRDefault="00991564">
      <w:pPr>
        <w:pStyle w:val="FootnoteText"/>
      </w:pPr>
    </w:p>
  </w:footnote>
  <w:footnote w:id="9">
    <w:p w:rsidR="00BD388D" w:rsidRPr="00BD388D" w:rsidRDefault="00BD388D">
      <w:pPr>
        <w:pStyle w:val="FootnoteText"/>
      </w:pPr>
      <w:r>
        <w:rPr>
          <w:rStyle w:val="FootnoteReference"/>
        </w:rPr>
        <w:footnoteRef/>
      </w:r>
      <w:r>
        <w:t xml:space="preserve"> Bongars, Gesta Dei per Francos, 1, pg. 382 f., trans in Oliver J. Thatcher, and </w:t>
      </w:r>
      <w:r w:rsidR="00983214">
        <w:t>Edgar</w:t>
      </w:r>
      <w:r>
        <w:t xml:space="preserve"> Holmes McNeal, eds., </w:t>
      </w:r>
      <w:r>
        <w:rPr>
          <w:i/>
        </w:rPr>
        <w:t xml:space="preserve">‘A Source Book for Medieval History, </w:t>
      </w:r>
      <w:r>
        <w:t>(New York: Scribners, 1905), 513-17</w:t>
      </w:r>
    </w:p>
  </w:footnote>
  <w:footnote w:id="10">
    <w:p w:rsidR="00E56CF8" w:rsidRPr="00E56CF8" w:rsidRDefault="00E56CF8">
      <w:pPr>
        <w:pStyle w:val="FootnoteText"/>
      </w:pPr>
      <w:r>
        <w:rPr>
          <w:rStyle w:val="FootnoteReference"/>
        </w:rPr>
        <w:footnoteRef/>
      </w:r>
      <w:r>
        <w:t xml:space="preserve"> Krey, A.C., ‘</w:t>
      </w:r>
      <w:r>
        <w:rPr>
          <w:i/>
        </w:rPr>
        <w:t>The First Crusade: The Accounts of Eyewitnesses and Participants’</w:t>
      </w:r>
      <w:r>
        <w:t>, (Princeton: 1921), 19</w:t>
      </w:r>
    </w:p>
  </w:footnote>
  <w:footnote w:id="11">
    <w:p w:rsidR="001E6717" w:rsidRPr="001E6717" w:rsidRDefault="001E6717">
      <w:pPr>
        <w:pStyle w:val="FootnoteText"/>
      </w:pPr>
      <w:r>
        <w:rPr>
          <w:rStyle w:val="FootnoteReference"/>
        </w:rPr>
        <w:footnoteRef/>
      </w:r>
      <w:r>
        <w:t xml:space="preserve"> Cazel, F., </w:t>
      </w:r>
      <w:r>
        <w:rPr>
          <w:i/>
        </w:rPr>
        <w:t xml:space="preserve">‘A History of The Crusades’, </w:t>
      </w:r>
      <w:r>
        <w:t>(University of Wisconsin: 1989), 121</w:t>
      </w:r>
    </w:p>
  </w:footnote>
  <w:footnote w:id="12">
    <w:p w:rsidR="0065632C" w:rsidRDefault="0065632C">
      <w:pPr>
        <w:pStyle w:val="FootnoteText"/>
      </w:pPr>
      <w:r>
        <w:rPr>
          <w:rStyle w:val="FootnoteReference"/>
        </w:rPr>
        <w:footnoteRef/>
      </w:r>
      <w:r>
        <w:t xml:space="preserve"> </w:t>
      </w:r>
      <w:r w:rsidRPr="0065632C">
        <w:t>Mayer, H., ‘The Crusades’, trans. By John Gillingham (Oxford University Press: 1972), 1</w:t>
      </w:r>
      <w:r>
        <w:t>1</w:t>
      </w:r>
    </w:p>
  </w:footnote>
  <w:footnote w:id="13">
    <w:p w:rsidR="001D326F" w:rsidRPr="002F1E79" w:rsidRDefault="001D326F" w:rsidP="001D326F">
      <w:pPr>
        <w:pStyle w:val="FootnoteText"/>
      </w:pPr>
      <w:r>
        <w:rPr>
          <w:rStyle w:val="FootnoteReference"/>
        </w:rPr>
        <w:footnoteRef/>
      </w:r>
      <w:r>
        <w:t xml:space="preserve"> </w:t>
      </w:r>
      <w:r>
        <w:t>Medieval Sourcebook:</w:t>
      </w:r>
      <w:r w:rsidR="002F1E79">
        <w:t xml:space="preserve"> ‘</w:t>
      </w:r>
      <w:proofErr w:type="spellStart"/>
      <w:r w:rsidRPr="002F1E79">
        <w:rPr>
          <w:i/>
        </w:rPr>
        <w:t>Usmah</w:t>
      </w:r>
      <w:proofErr w:type="spellEnd"/>
      <w:r w:rsidRPr="002F1E79">
        <w:rPr>
          <w:i/>
        </w:rPr>
        <w:t xml:space="preserve"> Ibn Munqidh (1095-1188):</w:t>
      </w:r>
      <w:r w:rsidR="002F1E79" w:rsidRPr="002F1E79">
        <w:rPr>
          <w:i/>
        </w:rPr>
        <w:t xml:space="preserve"> </w:t>
      </w:r>
      <w:r w:rsidRPr="002F1E79">
        <w:rPr>
          <w:i/>
        </w:rPr>
        <w:t>Autobiography, excerpts on the Franks</w:t>
      </w:r>
      <w:r w:rsidR="002F1E79">
        <w:rPr>
          <w:i/>
        </w:rPr>
        <w:t xml:space="preserve">’ </w:t>
      </w:r>
      <w:r w:rsidR="002F1E79">
        <w:t>(</w:t>
      </w:r>
      <w:hyperlink r:id="rId1" w:history="1">
        <w:r w:rsidR="002F1E79">
          <w:rPr>
            <w:rStyle w:val="Hyperlink"/>
          </w:rPr>
          <w:t>https://sourcebooks.fordham.edu/source/Usamah2.asp</w:t>
        </w:r>
      </w:hyperlink>
      <w:r w:rsidR="002F1E79">
        <w:t xml:space="preserve">) </w:t>
      </w:r>
    </w:p>
  </w:footnote>
  <w:footnote w:id="14">
    <w:p w:rsidR="0020583E" w:rsidRDefault="0020583E" w:rsidP="0020583E">
      <w:pPr>
        <w:pStyle w:val="FootnoteText"/>
      </w:pPr>
      <w:r>
        <w:rPr>
          <w:rStyle w:val="FootnoteReference"/>
        </w:rPr>
        <w:footnoteRef/>
      </w:r>
      <w:r>
        <w:t xml:space="preserve"> </w:t>
      </w:r>
      <w:r w:rsidRPr="0020583E">
        <w:t>August. C. Krey, The First Crusade: The Accounts of Eyewitnesses and Participants, (Princeton: 1921), 280-81</w:t>
      </w:r>
    </w:p>
  </w:footnote>
  <w:footnote w:id="15">
    <w:p w:rsidR="00301E3B" w:rsidRDefault="00301E3B">
      <w:pPr>
        <w:pStyle w:val="FootnoteText"/>
      </w:pPr>
      <w:r>
        <w:rPr>
          <w:rStyle w:val="FootnoteReference"/>
        </w:rPr>
        <w:footnoteRef/>
      </w:r>
      <w:r>
        <w:t xml:space="preserve"> </w:t>
      </w:r>
      <w:proofErr w:type="spellStart"/>
      <w:r w:rsidRPr="00301E3B">
        <w:t>Doeberl</w:t>
      </w:r>
      <w:proofErr w:type="spellEnd"/>
      <w:r w:rsidRPr="00301E3B">
        <w:rPr>
          <w:i/>
        </w:rPr>
        <w:t xml:space="preserve">, </w:t>
      </w:r>
      <w:r w:rsidRPr="00301E3B">
        <w:rPr>
          <w:i/>
        </w:rPr>
        <w:t>‘</w:t>
      </w:r>
      <w:proofErr w:type="spellStart"/>
      <w:r w:rsidRPr="00301E3B">
        <w:rPr>
          <w:i/>
        </w:rPr>
        <w:t>Monumenta</w:t>
      </w:r>
      <w:proofErr w:type="spellEnd"/>
      <w:r w:rsidRPr="00301E3B">
        <w:rPr>
          <w:i/>
        </w:rPr>
        <w:t xml:space="preserve"> Germania Selecta</w:t>
      </w:r>
      <w:r w:rsidRPr="00301E3B">
        <w:rPr>
          <w:i/>
        </w:rPr>
        <w:t>’</w:t>
      </w:r>
      <w:r w:rsidRPr="00301E3B">
        <w:t>, Vol 4, trans</w:t>
      </w:r>
      <w:r>
        <w:t>.</w:t>
      </w:r>
      <w:r w:rsidRPr="00301E3B">
        <w:t xml:space="preserve"> Ernest F. Henderson</w:t>
      </w:r>
      <w:r w:rsidRPr="00301E3B">
        <w:rPr>
          <w:i/>
        </w:rPr>
        <w:t xml:space="preserve">, </w:t>
      </w:r>
      <w:r w:rsidRPr="00301E3B">
        <w:rPr>
          <w:i/>
        </w:rPr>
        <w:t>‘</w:t>
      </w:r>
      <w:r w:rsidRPr="00301E3B">
        <w:rPr>
          <w:i/>
        </w:rPr>
        <w:t>Select Historical Documents of the Middle Ages</w:t>
      </w:r>
      <w:r w:rsidRPr="00301E3B">
        <w:rPr>
          <w:i/>
        </w:rPr>
        <w:t>’</w:t>
      </w:r>
      <w:r w:rsidRPr="00301E3B">
        <w:t>, (London: George Bell and Sons, 1910),</w:t>
      </w:r>
      <w:r>
        <w:t xml:space="preserve"> </w:t>
      </w:r>
      <w:r w:rsidRPr="00301E3B">
        <w:t>333-336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F51"/>
    <w:rsid w:val="000035ED"/>
    <w:rsid w:val="00034F51"/>
    <w:rsid w:val="00095B33"/>
    <w:rsid w:val="000A2933"/>
    <w:rsid w:val="00101AFE"/>
    <w:rsid w:val="001334F5"/>
    <w:rsid w:val="00175480"/>
    <w:rsid w:val="001870D6"/>
    <w:rsid w:val="001A32A4"/>
    <w:rsid w:val="001D326F"/>
    <w:rsid w:val="001E6717"/>
    <w:rsid w:val="0020583E"/>
    <w:rsid w:val="00214550"/>
    <w:rsid w:val="00223EBC"/>
    <w:rsid w:val="002319DE"/>
    <w:rsid w:val="002B0B7F"/>
    <w:rsid w:val="002B6DFC"/>
    <w:rsid w:val="002C33F8"/>
    <w:rsid w:val="002E39A3"/>
    <w:rsid w:val="002F1E79"/>
    <w:rsid w:val="00301E3B"/>
    <w:rsid w:val="003027FD"/>
    <w:rsid w:val="0031508D"/>
    <w:rsid w:val="003845F5"/>
    <w:rsid w:val="003B32DC"/>
    <w:rsid w:val="003B7CFD"/>
    <w:rsid w:val="00433921"/>
    <w:rsid w:val="00446F5A"/>
    <w:rsid w:val="0045737E"/>
    <w:rsid w:val="00495B00"/>
    <w:rsid w:val="004B4665"/>
    <w:rsid w:val="004C52DF"/>
    <w:rsid w:val="0053065D"/>
    <w:rsid w:val="00546465"/>
    <w:rsid w:val="005A0871"/>
    <w:rsid w:val="005E0BAB"/>
    <w:rsid w:val="005E407C"/>
    <w:rsid w:val="00613F34"/>
    <w:rsid w:val="00652723"/>
    <w:rsid w:val="0065632C"/>
    <w:rsid w:val="006821A8"/>
    <w:rsid w:val="00697F8F"/>
    <w:rsid w:val="0079015F"/>
    <w:rsid w:val="007D17C9"/>
    <w:rsid w:val="00852756"/>
    <w:rsid w:val="008841F4"/>
    <w:rsid w:val="008A17F6"/>
    <w:rsid w:val="008A5D63"/>
    <w:rsid w:val="008C6396"/>
    <w:rsid w:val="008D73F1"/>
    <w:rsid w:val="0097644F"/>
    <w:rsid w:val="00983214"/>
    <w:rsid w:val="00991564"/>
    <w:rsid w:val="009F475A"/>
    <w:rsid w:val="00A54547"/>
    <w:rsid w:val="00A64E68"/>
    <w:rsid w:val="00AD587D"/>
    <w:rsid w:val="00AF1A32"/>
    <w:rsid w:val="00B239D9"/>
    <w:rsid w:val="00B250B6"/>
    <w:rsid w:val="00B25AB8"/>
    <w:rsid w:val="00B26EFB"/>
    <w:rsid w:val="00B8303E"/>
    <w:rsid w:val="00B96E6F"/>
    <w:rsid w:val="00BB412E"/>
    <w:rsid w:val="00BD388D"/>
    <w:rsid w:val="00C82250"/>
    <w:rsid w:val="00D0361D"/>
    <w:rsid w:val="00D51AEA"/>
    <w:rsid w:val="00D7229D"/>
    <w:rsid w:val="00D81D50"/>
    <w:rsid w:val="00D85492"/>
    <w:rsid w:val="00DA2252"/>
    <w:rsid w:val="00DD5855"/>
    <w:rsid w:val="00DE1F1D"/>
    <w:rsid w:val="00E07D34"/>
    <w:rsid w:val="00E56CF8"/>
    <w:rsid w:val="00E978B9"/>
    <w:rsid w:val="00ED004C"/>
    <w:rsid w:val="00ED3775"/>
    <w:rsid w:val="00FD5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197DF7"/>
  <w15:chartTrackingRefBased/>
  <w15:docId w15:val="{1CDDD7C9-E864-46DB-B9F8-C35898266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4F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F51"/>
  </w:style>
  <w:style w:type="paragraph" w:styleId="Footer">
    <w:name w:val="footer"/>
    <w:basedOn w:val="Normal"/>
    <w:link w:val="FooterChar"/>
    <w:uiPriority w:val="99"/>
    <w:unhideWhenUsed/>
    <w:rsid w:val="00034F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F51"/>
  </w:style>
  <w:style w:type="paragraph" w:styleId="FootnoteText">
    <w:name w:val="footnote text"/>
    <w:basedOn w:val="Normal"/>
    <w:link w:val="FootnoteTextChar"/>
    <w:uiPriority w:val="99"/>
    <w:semiHidden/>
    <w:unhideWhenUsed/>
    <w:rsid w:val="002C33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33F8"/>
    <w:rPr>
      <w:sz w:val="20"/>
      <w:szCs w:val="20"/>
    </w:rPr>
  </w:style>
  <w:style w:type="character" w:styleId="FootnoteReference">
    <w:name w:val="footnote reference"/>
    <w:basedOn w:val="DefaultParagraphFont"/>
    <w:uiPriority w:val="99"/>
    <w:semiHidden/>
    <w:unhideWhenUsed/>
    <w:rsid w:val="002C33F8"/>
    <w:rPr>
      <w:vertAlign w:val="superscript"/>
    </w:rPr>
  </w:style>
  <w:style w:type="character" w:styleId="Hyperlink">
    <w:name w:val="Hyperlink"/>
    <w:basedOn w:val="DefaultParagraphFont"/>
    <w:uiPriority w:val="99"/>
    <w:semiHidden/>
    <w:unhideWhenUsed/>
    <w:rsid w:val="002F1E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2593101">
      <w:bodyDiv w:val="1"/>
      <w:marLeft w:val="0"/>
      <w:marRight w:val="0"/>
      <w:marTop w:val="0"/>
      <w:marBottom w:val="0"/>
      <w:divBdr>
        <w:top w:val="none" w:sz="0" w:space="0" w:color="auto"/>
        <w:left w:val="none" w:sz="0" w:space="0" w:color="auto"/>
        <w:bottom w:val="none" w:sz="0" w:space="0" w:color="auto"/>
        <w:right w:val="none" w:sz="0" w:space="0" w:color="auto"/>
      </w:divBdr>
      <w:divsChild>
        <w:div w:id="1883859214">
          <w:marLeft w:val="0"/>
          <w:marRight w:val="0"/>
          <w:marTop w:val="0"/>
          <w:marBottom w:val="0"/>
          <w:divBdr>
            <w:top w:val="none" w:sz="0" w:space="0" w:color="auto"/>
            <w:left w:val="none" w:sz="0" w:space="0" w:color="auto"/>
            <w:bottom w:val="none" w:sz="0" w:space="0" w:color="auto"/>
            <w:right w:val="none" w:sz="0" w:space="0" w:color="auto"/>
          </w:divBdr>
        </w:div>
        <w:div w:id="18520610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sourcebooks.fordham.edu/source/Usamah2.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F27E53-1129-4640-B4CE-37C350B92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4</Pages>
  <Words>1923</Words>
  <Characters>9485</Characters>
  <Application>Microsoft Office Word</Application>
  <DocSecurity>0</DocSecurity>
  <Lines>131</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dc:creator>
  <cp:keywords/>
  <dc:description/>
  <cp:lastModifiedBy>Felix</cp:lastModifiedBy>
  <cp:revision>41</cp:revision>
  <dcterms:created xsi:type="dcterms:W3CDTF">2020-01-26T15:28:00Z</dcterms:created>
  <dcterms:modified xsi:type="dcterms:W3CDTF">2020-01-26T23:50:00Z</dcterms:modified>
</cp:coreProperties>
</file>