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1703754107"/>
        <w:docPartObj>
          <w:docPartGallery w:val="AutoText"/>
        </w:docPartObj>
      </w:sdtPr>
      <w:sdtEndPr>
        <w:rPr>
          <w:rFonts w:cs="Times New Roman" w:eastAsiaTheme="minorEastAsia"/>
          <w:i/>
          <w:iCs/>
          <w:color w:val="FF0000"/>
          <w:sz w:val="28"/>
          <w:szCs w:val="28"/>
        </w:rPr>
      </w:sdtEndPr>
      <w:sdtContent>
        <w:p w14:paraId="0B7A2719">
          <w:pPr>
            <w:jc w:val="center"/>
          </w:pPr>
        </w:p>
        <w:p w14:paraId="2C316685">
          <w:pPr>
            <w:jc w:val="center"/>
          </w:pPr>
          <w:r>
            <w:rPr>
              <w:color w:val="000000" w:themeColor="text1"/>
              <w:szCs w:val="24"/>
              <w14:textFill>
                <w14:solidFill>
                  <w14:schemeClr w14:val="tx1"/>
                </w14:solidFill>
              </w14:textFill>
            </w:rPr>
            <w:drawing>
              <wp:inline distT="0" distB="0" distL="0" distR="0">
                <wp:extent cx="3108960" cy="1295400"/>
                <wp:effectExtent l="0" t="0" r="0" b="0"/>
                <wp:docPr id="38432527" name="Picture 3"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32527" name="Picture 3" descr="University of Wales Trinity Saint David launches new digital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124816" cy="1302006"/>
                        </a:xfrm>
                        <a:prstGeom prst="rect">
                          <a:avLst/>
                        </a:prstGeom>
                        <a:noFill/>
                        <a:ln>
                          <a:noFill/>
                        </a:ln>
                      </pic:spPr>
                    </pic:pic>
                  </a:graphicData>
                </a:graphic>
              </wp:inline>
            </w:drawing>
          </w:r>
        </w:p>
        <w:p w14:paraId="4A53EFE0">
          <w:pPr>
            <w:jc w:val="center"/>
            <w:rPr>
              <w:b/>
              <w:bCs/>
              <w:sz w:val="28"/>
              <w:szCs w:val="28"/>
            </w:rPr>
          </w:pPr>
          <w:r>
            <w:rPr>
              <w:b/>
              <w:bCs/>
              <w:sz w:val="28"/>
              <w:szCs w:val="28"/>
            </w:rPr>
            <w:t>Master of Business Administration</w:t>
          </w:r>
        </w:p>
        <w:p w14:paraId="1126427D">
          <w:pPr>
            <w:jc w:val="center"/>
            <w:rPr>
              <w:b/>
              <w:bCs/>
              <w:sz w:val="28"/>
              <w:szCs w:val="28"/>
            </w:rPr>
          </w:pPr>
        </w:p>
        <w:p w14:paraId="03D16E49">
          <w:pPr>
            <w:jc w:val="center"/>
            <w:rPr>
              <w:b/>
              <w:bCs/>
              <w:sz w:val="28"/>
              <w:szCs w:val="28"/>
            </w:rPr>
          </w:pPr>
        </w:p>
        <w:p w14:paraId="148094D4">
          <w:pPr>
            <w:jc w:val="center"/>
            <w:rPr>
              <w:b/>
              <w:bCs/>
              <w:sz w:val="28"/>
              <w:szCs w:val="28"/>
            </w:rPr>
          </w:pPr>
          <w:r>
            <w:rPr>
              <w:b/>
              <w:bCs/>
              <w:sz w:val="28"/>
              <w:szCs w:val="28"/>
            </w:rPr>
            <w:t>Module Name: Strategic Management</w:t>
          </w:r>
        </w:p>
        <w:p w14:paraId="23DA463C">
          <w:pPr>
            <w:jc w:val="center"/>
            <w:rPr>
              <w:b/>
              <w:bCs/>
              <w:sz w:val="28"/>
              <w:szCs w:val="28"/>
            </w:rPr>
          </w:pPr>
          <w:r>
            <w:rPr>
              <w:b/>
              <w:bCs/>
              <w:sz w:val="28"/>
              <w:szCs w:val="28"/>
            </w:rPr>
            <w:t>Module Code: LCMB7003</w:t>
          </w:r>
          <w:r>
            <w:rPr>
              <w:sz w:val="28"/>
              <w:szCs w:val="28"/>
            </w:rPr>
            <w:t xml:space="preserve"> </w:t>
          </w:r>
        </w:p>
        <w:p w14:paraId="1DFD1BA0">
          <w:pPr>
            <w:jc w:val="center"/>
            <w:rPr>
              <w:b/>
              <w:bCs/>
              <w:sz w:val="28"/>
              <w:szCs w:val="28"/>
            </w:rPr>
          </w:pPr>
          <w:r>
            <w:rPr>
              <w:b/>
              <w:bCs/>
              <w:sz w:val="28"/>
              <w:szCs w:val="28"/>
            </w:rPr>
            <w:t>Assessment component - Individual report</w:t>
          </w:r>
          <w:r>
            <w:rPr>
              <w:sz w:val="28"/>
              <w:szCs w:val="28"/>
            </w:rPr>
            <w:t xml:space="preserve"> </w:t>
          </w:r>
          <w:r>
            <w:rPr>
              <w:b/>
              <w:bCs/>
              <w:sz w:val="28"/>
              <w:szCs w:val="28"/>
            </w:rPr>
            <w:t>on Starbucks UK</w:t>
          </w:r>
        </w:p>
        <w:p w14:paraId="698325C7">
          <w:pPr>
            <w:jc w:val="center"/>
            <w:rPr>
              <w:b/>
              <w:bCs/>
              <w:sz w:val="28"/>
              <w:szCs w:val="28"/>
            </w:rPr>
          </w:pPr>
          <w:r>
            <w:rPr>
              <w:b/>
              <w:bCs/>
              <w:sz w:val="28"/>
              <w:szCs w:val="28"/>
            </w:rPr>
            <w:t>Lecturer:</w:t>
          </w:r>
          <w:r>
            <w:rPr>
              <w:rFonts w:hint="default"/>
              <w:b/>
              <w:bCs/>
              <w:sz w:val="28"/>
              <w:szCs w:val="28"/>
              <w:lang w:val="en-US"/>
            </w:rPr>
            <w:t xml:space="preserve"> </w:t>
          </w:r>
          <w:r>
            <w:rPr>
              <w:rFonts w:hint="default"/>
              <w:b/>
              <w:bCs/>
              <w:sz w:val="28"/>
              <w:szCs w:val="28"/>
            </w:rPr>
            <w:t>Ghulam mujtaba</w:t>
          </w:r>
        </w:p>
        <w:p w14:paraId="674D343F">
          <w:pPr>
            <w:jc w:val="center"/>
            <w:rPr>
              <w:b/>
              <w:bCs/>
              <w:sz w:val="28"/>
              <w:szCs w:val="28"/>
            </w:rPr>
          </w:pPr>
          <w:r>
            <w:rPr>
              <w:b/>
              <w:bCs/>
              <w:sz w:val="28"/>
              <w:szCs w:val="28"/>
            </w:rPr>
            <w:t>Student Name:</w:t>
          </w:r>
          <w:r>
            <w:rPr>
              <w:rFonts w:hint="default"/>
              <w:b/>
              <w:bCs/>
              <w:sz w:val="28"/>
              <w:szCs w:val="28"/>
              <w:lang w:val="en-US"/>
            </w:rPr>
            <w:t xml:space="preserve"> </w:t>
          </w:r>
          <w:r>
            <w:rPr>
              <w:rFonts w:hint="default" w:ascii="Times New Roman" w:hAnsi="Times New Roman" w:cs="Times New Roman"/>
              <w:b/>
              <w:bCs/>
              <w:sz w:val="28"/>
              <w:szCs w:val="28"/>
            </w:rPr>
            <w:t>Afrinbanu Imtiyaz Parmar</w:t>
          </w:r>
        </w:p>
        <w:p w14:paraId="773B2CB3">
          <w:pPr>
            <w:jc w:val="center"/>
            <w:rPr>
              <w:b/>
              <w:bCs/>
              <w:sz w:val="28"/>
              <w:szCs w:val="28"/>
            </w:rPr>
          </w:pPr>
          <w:r>
            <w:rPr>
              <w:b/>
              <w:bCs/>
              <w:sz w:val="28"/>
              <w:szCs w:val="28"/>
            </w:rPr>
            <w:t>Student ID:</w:t>
          </w:r>
          <w:r>
            <w:rPr>
              <w:rFonts w:hint="default"/>
              <w:b/>
              <w:bCs/>
              <w:sz w:val="28"/>
              <w:szCs w:val="28"/>
              <w:lang w:val="en-US"/>
            </w:rPr>
            <w:t xml:space="preserve"> </w:t>
          </w:r>
          <w:r>
            <w:rPr>
              <w:rFonts w:hint="default"/>
              <w:b/>
              <w:bCs/>
              <w:sz w:val="28"/>
              <w:szCs w:val="28"/>
            </w:rPr>
            <w:t>2518571</w:t>
          </w:r>
        </w:p>
        <w:p w14:paraId="609F6B7A">
          <w:pPr>
            <w:jc w:val="center"/>
            <w:rPr>
              <w:b/>
              <w:bCs/>
              <w:sz w:val="28"/>
              <w:szCs w:val="28"/>
            </w:rPr>
          </w:pPr>
          <w:r>
            <w:rPr>
              <w:b/>
              <w:bCs/>
              <w:sz w:val="28"/>
              <w:szCs w:val="28"/>
            </w:rPr>
            <w:t>Reference Style: Harvard</w:t>
          </w:r>
        </w:p>
        <w:p w14:paraId="36CACEE0">
          <w:pPr>
            <w:jc w:val="center"/>
            <w:rPr>
              <w:b/>
              <w:bCs/>
              <w:sz w:val="28"/>
              <w:szCs w:val="28"/>
            </w:rPr>
          </w:pPr>
          <w:r>
            <w:rPr>
              <w:b/>
              <w:bCs/>
              <w:sz w:val="28"/>
              <w:szCs w:val="28"/>
            </w:rPr>
            <w:t>Word Count: 5035</w:t>
          </w:r>
        </w:p>
        <w:p w14:paraId="3E74E071">
          <w:pPr>
            <w:spacing w:line="259" w:lineRule="auto"/>
            <w:jc w:val="left"/>
            <w:rPr>
              <w:rFonts w:cs="Times New Roman" w:eastAsiaTheme="minorEastAsia"/>
              <w:i/>
              <w:iCs/>
              <w:color w:val="FF0000"/>
              <w:sz w:val="28"/>
              <w:szCs w:val="28"/>
            </w:rPr>
          </w:pPr>
          <w:r>
            <w:rPr>
              <w:rFonts w:cs="Times New Roman" w:eastAsiaTheme="minorEastAsia"/>
              <w:i/>
              <w:iCs/>
              <w:color w:val="FF0000"/>
              <w:sz w:val="28"/>
              <w:szCs w:val="28"/>
            </w:rPr>
            <w:br w:type="page"/>
          </w:r>
          <w:bookmarkStart w:id="17" w:name="_GoBack"/>
          <w:bookmarkEnd w:id="17"/>
        </w:p>
      </w:sdtContent>
    </w:sdt>
    <w:sdt>
      <w:sdtPr>
        <w:rPr>
          <w:rFonts w:ascii="Arial" w:hAnsi="Arial" w:cs="Arial" w:eastAsiaTheme="minorHAnsi"/>
          <w:b/>
          <w:bCs/>
          <w:sz w:val="24"/>
          <w:szCs w:val="24"/>
          <w:lang w:val="en-GB"/>
        </w:rPr>
        <w:id w:val="151958397"/>
        <w:docPartObj>
          <w:docPartGallery w:val="Table of Contents"/>
          <w:docPartUnique/>
        </w:docPartObj>
      </w:sdtPr>
      <w:sdtEndPr>
        <w:rPr>
          <w:rFonts w:ascii="Arial" w:hAnsi="Arial" w:cs="Times New Roman" w:eastAsiaTheme="minorHAnsi"/>
          <w:b w:val="0"/>
          <w:bCs/>
          <w:sz w:val="24"/>
          <w:szCs w:val="22"/>
          <w:lang w:val="en-GB"/>
        </w:rPr>
      </w:sdtEndPr>
      <w:sdtContent>
        <w:p w14:paraId="5205B952">
          <w:pPr>
            <w:pStyle w:val="50"/>
            <w:jc w:val="center"/>
            <w:rPr>
              <w:rFonts w:ascii="Arial" w:hAnsi="Arial" w:cs="Arial"/>
              <w:b/>
              <w:bCs/>
              <w:sz w:val="24"/>
              <w:szCs w:val="24"/>
              <w:lang w:val="en-GB"/>
            </w:rPr>
          </w:pPr>
          <w:r>
            <w:rPr>
              <w:rFonts w:ascii="Arial" w:hAnsi="Arial" w:cs="Arial"/>
              <w:b/>
              <w:bCs/>
              <w:sz w:val="24"/>
              <w:szCs w:val="24"/>
              <w:lang w:val="en-GB"/>
            </w:rPr>
            <w:t>Table of Content</w:t>
          </w:r>
        </w:p>
        <w:p w14:paraId="005AF24B">
          <w:pPr>
            <w:pStyle w:val="25"/>
            <w:tabs>
              <w:tab w:val="right" w:leader="dot" w:pos="9016"/>
            </w:tabs>
            <w:rPr>
              <w:rFonts w:cs="Arial" w:eastAsiaTheme="minorEastAsia"/>
              <w:kern w:val="2"/>
              <w:szCs w:val="24"/>
              <w:lang w:eastAsia="en-GB"/>
              <w14:ligatures w14:val="standardContextual"/>
            </w:rPr>
          </w:pPr>
          <w:r>
            <w:rPr>
              <w:rFonts w:cs="Arial"/>
              <w:szCs w:val="24"/>
            </w:rPr>
            <w:fldChar w:fldCharType="begin"/>
          </w:r>
          <w:r>
            <w:rPr>
              <w:rFonts w:cs="Arial"/>
              <w:szCs w:val="24"/>
            </w:rPr>
            <w:instrText xml:space="preserve"> TOC \o "1-3" \h \z \u </w:instrText>
          </w:r>
          <w:r>
            <w:rPr>
              <w:rFonts w:cs="Arial"/>
              <w:szCs w:val="24"/>
            </w:rPr>
            <w:fldChar w:fldCharType="separate"/>
          </w:r>
          <w:r>
            <w:fldChar w:fldCharType="begin"/>
          </w:r>
          <w:r>
            <w:instrText xml:space="preserve"> HYPERLINK \l "_Toc236153231" </w:instrText>
          </w:r>
          <w:r>
            <w:fldChar w:fldCharType="separate"/>
          </w:r>
          <w:r>
            <w:rPr>
              <w:rStyle w:val="20"/>
              <w:rFonts w:cs="Arial"/>
              <w:szCs w:val="24"/>
            </w:rPr>
            <w:t>Section 1</w:t>
          </w:r>
          <w:r>
            <w:rPr>
              <w:rFonts w:cs="Arial"/>
              <w:szCs w:val="24"/>
            </w:rPr>
            <w:tab/>
          </w:r>
          <w:r>
            <w:rPr>
              <w:rFonts w:cs="Arial"/>
              <w:szCs w:val="24"/>
            </w:rPr>
            <w:fldChar w:fldCharType="begin"/>
          </w:r>
          <w:r>
            <w:rPr>
              <w:rFonts w:cs="Arial"/>
              <w:szCs w:val="24"/>
            </w:rPr>
            <w:instrText xml:space="preserve"> PAGEREF _Toc236153231 \h </w:instrText>
          </w:r>
          <w:r>
            <w:rPr>
              <w:rFonts w:cs="Arial"/>
              <w:szCs w:val="24"/>
            </w:rPr>
            <w:fldChar w:fldCharType="separate"/>
          </w:r>
          <w:r>
            <w:rPr>
              <w:rFonts w:cs="Arial"/>
              <w:szCs w:val="24"/>
            </w:rPr>
            <w:t>2</w:t>
          </w:r>
          <w:r>
            <w:rPr>
              <w:rFonts w:cs="Arial"/>
              <w:szCs w:val="24"/>
            </w:rPr>
            <w:fldChar w:fldCharType="end"/>
          </w:r>
          <w:r>
            <w:rPr>
              <w:rFonts w:cs="Arial"/>
              <w:szCs w:val="24"/>
            </w:rPr>
            <w:fldChar w:fldCharType="end"/>
          </w:r>
        </w:p>
        <w:p w14:paraId="3C0DD88D">
          <w:pPr>
            <w:pStyle w:val="25"/>
            <w:tabs>
              <w:tab w:val="right" w:leader="dot" w:pos="9016"/>
            </w:tabs>
            <w:rPr>
              <w:rFonts w:cs="Arial" w:eastAsiaTheme="minorEastAsia"/>
              <w:kern w:val="2"/>
              <w:szCs w:val="24"/>
              <w:lang w:eastAsia="en-GB"/>
              <w14:ligatures w14:val="standardContextual"/>
            </w:rPr>
          </w:pPr>
          <w:r>
            <w:fldChar w:fldCharType="begin"/>
          </w:r>
          <w:r>
            <w:instrText xml:space="preserve"> HYPERLINK \l "_Toc236153232" </w:instrText>
          </w:r>
          <w:r>
            <w:fldChar w:fldCharType="separate"/>
          </w:r>
          <w:r>
            <w:rPr>
              <w:rStyle w:val="20"/>
              <w:rFonts w:cs="Arial"/>
              <w:szCs w:val="24"/>
            </w:rPr>
            <w:t>1. Organisational Context and Overview</w:t>
          </w:r>
          <w:r>
            <w:rPr>
              <w:rFonts w:cs="Arial"/>
              <w:szCs w:val="24"/>
            </w:rPr>
            <w:tab/>
          </w:r>
          <w:r>
            <w:rPr>
              <w:rFonts w:cs="Arial"/>
              <w:szCs w:val="24"/>
            </w:rPr>
            <w:fldChar w:fldCharType="begin"/>
          </w:r>
          <w:r>
            <w:rPr>
              <w:rFonts w:cs="Arial"/>
              <w:szCs w:val="24"/>
            </w:rPr>
            <w:instrText xml:space="preserve"> PAGEREF _Toc236153232 \h </w:instrText>
          </w:r>
          <w:r>
            <w:rPr>
              <w:rFonts w:cs="Arial"/>
              <w:szCs w:val="24"/>
            </w:rPr>
            <w:fldChar w:fldCharType="separate"/>
          </w:r>
          <w:r>
            <w:rPr>
              <w:rFonts w:cs="Arial"/>
              <w:szCs w:val="24"/>
            </w:rPr>
            <w:t>2</w:t>
          </w:r>
          <w:r>
            <w:rPr>
              <w:rFonts w:cs="Arial"/>
              <w:szCs w:val="24"/>
            </w:rPr>
            <w:fldChar w:fldCharType="end"/>
          </w:r>
          <w:r>
            <w:rPr>
              <w:rFonts w:cs="Arial"/>
              <w:szCs w:val="24"/>
            </w:rPr>
            <w:fldChar w:fldCharType="end"/>
          </w:r>
        </w:p>
        <w:p w14:paraId="7A3960A1">
          <w:pPr>
            <w:pStyle w:val="25"/>
            <w:tabs>
              <w:tab w:val="right" w:leader="dot" w:pos="9016"/>
            </w:tabs>
            <w:rPr>
              <w:rFonts w:cs="Arial" w:eastAsiaTheme="minorEastAsia"/>
              <w:kern w:val="2"/>
              <w:szCs w:val="24"/>
              <w:lang w:eastAsia="en-GB"/>
              <w14:ligatures w14:val="standardContextual"/>
            </w:rPr>
          </w:pPr>
          <w:r>
            <w:fldChar w:fldCharType="begin"/>
          </w:r>
          <w:r>
            <w:instrText xml:space="preserve"> HYPERLINK \l "_Toc236153233" </w:instrText>
          </w:r>
          <w:r>
            <w:fldChar w:fldCharType="separate"/>
          </w:r>
          <w:r>
            <w:rPr>
              <w:rStyle w:val="20"/>
              <w:rFonts w:cs="Arial"/>
              <w:szCs w:val="24"/>
            </w:rPr>
            <w:t>2. External and Internal Analysis</w:t>
          </w:r>
          <w:r>
            <w:rPr>
              <w:rFonts w:cs="Arial"/>
              <w:szCs w:val="24"/>
            </w:rPr>
            <w:tab/>
          </w:r>
          <w:r>
            <w:rPr>
              <w:rFonts w:cs="Arial"/>
              <w:szCs w:val="24"/>
            </w:rPr>
            <w:fldChar w:fldCharType="begin"/>
          </w:r>
          <w:r>
            <w:rPr>
              <w:rFonts w:cs="Arial"/>
              <w:szCs w:val="24"/>
            </w:rPr>
            <w:instrText xml:space="preserve"> PAGEREF _Toc236153233 \h </w:instrText>
          </w:r>
          <w:r>
            <w:rPr>
              <w:rFonts w:cs="Arial"/>
              <w:szCs w:val="24"/>
            </w:rPr>
            <w:fldChar w:fldCharType="separate"/>
          </w:r>
          <w:r>
            <w:rPr>
              <w:rFonts w:cs="Arial"/>
              <w:szCs w:val="24"/>
            </w:rPr>
            <w:t>3</w:t>
          </w:r>
          <w:r>
            <w:rPr>
              <w:rFonts w:cs="Arial"/>
              <w:szCs w:val="24"/>
            </w:rPr>
            <w:fldChar w:fldCharType="end"/>
          </w:r>
          <w:r>
            <w:rPr>
              <w:rFonts w:cs="Arial"/>
              <w:szCs w:val="24"/>
            </w:rPr>
            <w:fldChar w:fldCharType="end"/>
          </w:r>
        </w:p>
        <w:p w14:paraId="063CECB0">
          <w:pPr>
            <w:pStyle w:val="26"/>
            <w:tabs>
              <w:tab w:val="right" w:leader="dot" w:pos="9016"/>
            </w:tabs>
            <w:rPr>
              <w:rFonts w:cs="Arial" w:eastAsiaTheme="minorEastAsia"/>
              <w:kern w:val="2"/>
              <w:szCs w:val="24"/>
              <w:lang w:eastAsia="en-GB"/>
              <w14:ligatures w14:val="standardContextual"/>
            </w:rPr>
          </w:pPr>
          <w:r>
            <w:fldChar w:fldCharType="begin"/>
          </w:r>
          <w:r>
            <w:instrText xml:space="preserve"> HYPERLINK \l "_Toc236153234" </w:instrText>
          </w:r>
          <w:r>
            <w:fldChar w:fldCharType="separate"/>
          </w:r>
          <w:r>
            <w:rPr>
              <w:rStyle w:val="20"/>
              <w:rFonts w:cs="Arial"/>
              <w:szCs w:val="24"/>
            </w:rPr>
            <w:t>2.1 PESTLE</w:t>
          </w:r>
          <w:r>
            <w:rPr>
              <w:rFonts w:cs="Arial"/>
              <w:szCs w:val="24"/>
            </w:rPr>
            <w:tab/>
          </w:r>
          <w:r>
            <w:rPr>
              <w:rFonts w:cs="Arial"/>
              <w:szCs w:val="24"/>
            </w:rPr>
            <w:fldChar w:fldCharType="begin"/>
          </w:r>
          <w:r>
            <w:rPr>
              <w:rFonts w:cs="Arial"/>
              <w:szCs w:val="24"/>
            </w:rPr>
            <w:instrText xml:space="preserve"> PAGEREF _Toc236153234 \h </w:instrText>
          </w:r>
          <w:r>
            <w:rPr>
              <w:rFonts w:cs="Arial"/>
              <w:szCs w:val="24"/>
            </w:rPr>
            <w:fldChar w:fldCharType="separate"/>
          </w:r>
          <w:r>
            <w:rPr>
              <w:rFonts w:cs="Arial"/>
              <w:szCs w:val="24"/>
            </w:rPr>
            <w:t>3</w:t>
          </w:r>
          <w:r>
            <w:rPr>
              <w:rFonts w:cs="Arial"/>
              <w:szCs w:val="24"/>
            </w:rPr>
            <w:fldChar w:fldCharType="end"/>
          </w:r>
          <w:r>
            <w:rPr>
              <w:rFonts w:cs="Arial"/>
              <w:szCs w:val="24"/>
            </w:rPr>
            <w:fldChar w:fldCharType="end"/>
          </w:r>
        </w:p>
        <w:p w14:paraId="6A50DA80">
          <w:pPr>
            <w:pStyle w:val="26"/>
            <w:tabs>
              <w:tab w:val="right" w:leader="dot" w:pos="9016"/>
            </w:tabs>
            <w:rPr>
              <w:rFonts w:cs="Arial" w:eastAsiaTheme="minorEastAsia"/>
              <w:kern w:val="2"/>
              <w:szCs w:val="24"/>
              <w:lang w:eastAsia="en-GB"/>
              <w14:ligatures w14:val="standardContextual"/>
            </w:rPr>
          </w:pPr>
          <w:r>
            <w:fldChar w:fldCharType="begin"/>
          </w:r>
          <w:r>
            <w:instrText xml:space="preserve"> HYPERLINK \l "_Toc236153235" </w:instrText>
          </w:r>
          <w:r>
            <w:fldChar w:fldCharType="separate"/>
          </w:r>
          <w:r>
            <w:rPr>
              <w:rStyle w:val="20"/>
              <w:rFonts w:cs="Arial"/>
              <w:szCs w:val="24"/>
            </w:rPr>
            <w:t>2.2 VRIO analysis</w:t>
          </w:r>
          <w:r>
            <w:rPr>
              <w:rFonts w:cs="Arial"/>
              <w:szCs w:val="24"/>
            </w:rPr>
            <w:tab/>
          </w:r>
          <w:r>
            <w:rPr>
              <w:rFonts w:cs="Arial"/>
              <w:szCs w:val="24"/>
            </w:rPr>
            <w:fldChar w:fldCharType="begin"/>
          </w:r>
          <w:r>
            <w:rPr>
              <w:rFonts w:cs="Arial"/>
              <w:szCs w:val="24"/>
            </w:rPr>
            <w:instrText xml:space="preserve"> PAGEREF _Toc236153235 \h </w:instrText>
          </w:r>
          <w:r>
            <w:rPr>
              <w:rFonts w:cs="Arial"/>
              <w:szCs w:val="24"/>
            </w:rPr>
            <w:fldChar w:fldCharType="separate"/>
          </w:r>
          <w:r>
            <w:rPr>
              <w:rFonts w:cs="Arial"/>
              <w:szCs w:val="24"/>
            </w:rPr>
            <w:t>5</w:t>
          </w:r>
          <w:r>
            <w:rPr>
              <w:rFonts w:cs="Arial"/>
              <w:szCs w:val="24"/>
            </w:rPr>
            <w:fldChar w:fldCharType="end"/>
          </w:r>
          <w:r>
            <w:rPr>
              <w:rFonts w:cs="Arial"/>
              <w:szCs w:val="24"/>
            </w:rPr>
            <w:fldChar w:fldCharType="end"/>
          </w:r>
        </w:p>
        <w:p w14:paraId="3ADB540A">
          <w:pPr>
            <w:pStyle w:val="26"/>
            <w:tabs>
              <w:tab w:val="right" w:leader="dot" w:pos="9016"/>
            </w:tabs>
            <w:rPr>
              <w:rFonts w:cs="Arial" w:eastAsiaTheme="minorEastAsia"/>
              <w:kern w:val="2"/>
              <w:szCs w:val="24"/>
              <w:lang w:eastAsia="en-GB"/>
              <w14:ligatures w14:val="standardContextual"/>
            </w:rPr>
          </w:pPr>
          <w:r>
            <w:fldChar w:fldCharType="begin"/>
          </w:r>
          <w:r>
            <w:instrText xml:space="preserve"> HYPERLINK \l "_Toc236153236" </w:instrText>
          </w:r>
          <w:r>
            <w:fldChar w:fldCharType="separate"/>
          </w:r>
          <w:r>
            <w:rPr>
              <w:rStyle w:val="20"/>
              <w:rFonts w:cs="Arial"/>
              <w:szCs w:val="24"/>
            </w:rPr>
            <w:t>2.3 SWOT analysis</w:t>
          </w:r>
          <w:r>
            <w:rPr>
              <w:rFonts w:cs="Arial"/>
              <w:szCs w:val="24"/>
            </w:rPr>
            <w:tab/>
          </w:r>
          <w:r>
            <w:rPr>
              <w:rFonts w:cs="Arial"/>
              <w:szCs w:val="24"/>
            </w:rPr>
            <w:fldChar w:fldCharType="begin"/>
          </w:r>
          <w:r>
            <w:rPr>
              <w:rFonts w:cs="Arial"/>
              <w:szCs w:val="24"/>
            </w:rPr>
            <w:instrText xml:space="preserve"> PAGEREF _Toc236153236 \h </w:instrText>
          </w:r>
          <w:r>
            <w:rPr>
              <w:rFonts w:cs="Arial"/>
              <w:szCs w:val="24"/>
            </w:rPr>
            <w:fldChar w:fldCharType="separate"/>
          </w:r>
          <w:r>
            <w:rPr>
              <w:rFonts w:cs="Arial"/>
              <w:szCs w:val="24"/>
            </w:rPr>
            <w:t>6</w:t>
          </w:r>
          <w:r>
            <w:rPr>
              <w:rFonts w:cs="Arial"/>
              <w:szCs w:val="24"/>
            </w:rPr>
            <w:fldChar w:fldCharType="end"/>
          </w:r>
          <w:r>
            <w:rPr>
              <w:rFonts w:cs="Arial"/>
              <w:szCs w:val="24"/>
            </w:rPr>
            <w:fldChar w:fldCharType="end"/>
          </w:r>
        </w:p>
        <w:p w14:paraId="0B33E0EC">
          <w:pPr>
            <w:pStyle w:val="25"/>
            <w:tabs>
              <w:tab w:val="right" w:leader="dot" w:pos="9016"/>
            </w:tabs>
            <w:rPr>
              <w:rFonts w:cs="Arial" w:eastAsiaTheme="minorEastAsia"/>
              <w:kern w:val="2"/>
              <w:szCs w:val="24"/>
              <w:lang w:eastAsia="en-GB"/>
              <w14:ligatures w14:val="standardContextual"/>
            </w:rPr>
          </w:pPr>
          <w:r>
            <w:fldChar w:fldCharType="begin"/>
          </w:r>
          <w:r>
            <w:instrText xml:space="preserve"> HYPERLINK \l "_Toc236153237" </w:instrText>
          </w:r>
          <w:r>
            <w:fldChar w:fldCharType="separate"/>
          </w:r>
          <w:r>
            <w:rPr>
              <w:rStyle w:val="20"/>
              <w:rFonts w:cs="Arial"/>
              <w:szCs w:val="24"/>
            </w:rPr>
            <w:t>3. Comprehensive and holistic view of the organisation</w:t>
          </w:r>
          <w:r>
            <w:rPr>
              <w:rFonts w:cs="Arial"/>
              <w:szCs w:val="24"/>
            </w:rPr>
            <w:tab/>
          </w:r>
          <w:r>
            <w:rPr>
              <w:rFonts w:cs="Arial"/>
              <w:szCs w:val="24"/>
            </w:rPr>
            <w:fldChar w:fldCharType="begin"/>
          </w:r>
          <w:r>
            <w:rPr>
              <w:rFonts w:cs="Arial"/>
              <w:szCs w:val="24"/>
            </w:rPr>
            <w:instrText xml:space="preserve"> PAGEREF _Toc236153237 \h </w:instrText>
          </w:r>
          <w:r>
            <w:rPr>
              <w:rFonts w:cs="Arial"/>
              <w:szCs w:val="24"/>
            </w:rPr>
            <w:fldChar w:fldCharType="separate"/>
          </w:r>
          <w:r>
            <w:rPr>
              <w:rFonts w:cs="Arial"/>
              <w:szCs w:val="24"/>
            </w:rPr>
            <w:t>9</w:t>
          </w:r>
          <w:r>
            <w:rPr>
              <w:rFonts w:cs="Arial"/>
              <w:szCs w:val="24"/>
            </w:rPr>
            <w:fldChar w:fldCharType="end"/>
          </w:r>
          <w:r>
            <w:rPr>
              <w:rFonts w:cs="Arial"/>
              <w:szCs w:val="24"/>
            </w:rPr>
            <w:fldChar w:fldCharType="end"/>
          </w:r>
        </w:p>
        <w:p w14:paraId="604876AE">
          <w:pPr>
            <w:pStyle w:val="26"/>
            <w:tabs>
              <w:tab w:val="right" w:leader="dot" w:pos="9016"/>
            </w:tabs>
            <w:rPr>
              <w:rFonts w:cs="Arial" w:eastAsiaTheme="minorEastAsia"/>
              <w:kern w:val="2"/>
              <w:szCs w:val="24"/>
              <w:lang w:eastAsia="en-GB"/>
              <w14:ligatures w14:val="standardContextual"/>
            </w:rPr>
          </w:pPr>
          <w:r>
            <w:fldChar w:fldCharType="begin"/>
          </w:r>
          <w:r>
            <w:instrText xml:space="preserve"> HYPERLINK \l "_Toc236153238" </w:instrText>
          </w:r>
          <w:r>
            <w:fldChar w:fldCharType="separate"/>
          </w:r>
          <w:r>
            <w:rPr>
              <w:rStyle w:val="20"/>
              <w:rFonts w:cs="Arial"/>
              <w:szCs w:val="24"/>
            </w:rPr>
            <w:t>3.1 Corporate Social Responsibility (CSR)</w:t>
          </w:r>
          <w:r>
            <w:rPr>
              <w:rFonts w:cs="Arial"/>
              <w:szCs w:val="24"/>
            </w:rPr>
            <w:tab/>
          </w:r>
          <w:r>
            <w:rPr>
              <w:rFonts w:cs="Arial"/>
              <w:szCs w:val="24"/>
            </w:rPr>
            <w:fldChar w:fldCharType="begin"/>
          </w:r>
          <w:r>
            <w:rPr>
              <w:rFonts w:cs="Arial"/>
              <w:szCs w:val="24"/>
            </w:rPr>
            <w:instrText xml:space="preserve"> PAGEREF _Toc236153238 \h </w:instrText>
          </w:r>
          <w:r>
            <w:rPr>
              <w:rFonts w:cs="Arial"/>
              <w:szCs w:val="24"/>
            </w:rPr>
            <w:fldChar w:fldCharType="separate"/>
          </w:r>
          <w:r>
            <w:rPr>
              <w:rFonts w:cs="Arial"/>
              <w:szCs w:val="24"/>
            </w:rPr>
            <w:t>9</w:t>
          </w:r>
          <w:r>
            <w:rPr>
              <w:rFonts w:cs="Arial"/>
              <w:szCs w:val="24"/>
            </w:rPr>
            <w:fldChar w:fldCharType="end"/>
          </w:r>
          <w:r>
            <w:rPr>
              <w:rFonts w:cs="Arial"/>
              <w:szCs w:val="24"/>
            </w:rPr>
            <w:fldChar w:fldCharType="end"/>
          </w:r>
        </w:p>
        <w:p w14:paraId="56FDCCD9">
          <w:pPr>
            <w:pStyle w:val="26"/>
            <w:tabs>
              <w:tab w:val="right" w:leader="dot" w:pos="9016"/>
            </w:tabs>
            <w:rPr>
              <w:rFonts w:cs="Arial" w:eastAsiaTheme="minorEastAsia"/>
              <w:kern w:val="2"/>
              <w:szCs w:val="24"/>
              <w:lang w:eastAsia="en-GB"/>
              <w14:ligatures w14:val="standardContextual"/>
            </w:rPr>
          </w:pPr>
          <w:r>
            <w:fldChar w:fldCharType="begin"/>
          </w:r>
          <w:r>
            <w:instrText xml:space="preserve"> HYPERLINK \l "_Toc236153239" </w:instrText>
          </w:r>
          <w:r>
            <w:fldChar w:fldCharType="separate"/>
          </w:r>
          <w:r>
            <w:rPr>
              <w:rStyle w:val="20"/>
              <w:rFonts w:cs="Arial"/>
              <w:szCs w:val="24"/>
            </w:rPr>
            <w:t>3.2 Balanced Scorecard (BSC)</w:t>
          </w:r>
          <w:r>
            <w:rPr>
              <w:rFonts w:cs="Arial"/>
              <w:szCs w:val="24"/>
            </w:rPr>
            <w:tab/>
          </w:r>
          <w:r>
            <w:rPr>
              <w:rFonts w:cs="Arial"/>
              <w:szCs w:val="24"/>
            </w:rPr>
            <w:fldChar w:fldCharType="begin"/>
          </w:r>
          <w:r>
            <w:rPr>
              <w:rFonts w:cs="Arial"/>
              <w:szCs w:val="24"/>
            </w:rPr>
            <w:instrText xml:space="preserve"> PAGEREF _Toc236153239 \h </w:instrText>
          </w:r>
          <w:r>
            <w:rPr>
              <w:rFonts w:cs="Arial"/>
              <w:szCs w:val="24"/>
            </w:rPr>
            <w:fldChar w:fldCharType="separate"/>
          </w:r>
          <w:r>
            <w:rPr>
              <w:rFonts w:cs="Arial"/>
              <w:szCs w:val="24"/>
            </w:rPr>
            <w:t>11</w:t>
          </w:r>
          <w:r>
            <w:rPr>
              <w:rFonts w:cs="Arial"/>
              <w:szCs w:val="24"/>
            </w:rPr>
            <w:fldChar w:fldCharType="end"/>
          </w:r>
          <w:r>
            <w:rPr>
              <w:rFonts w:cs="Arial"/>
              <w:szCs w:val="24"/>
            </w:rPr>
            <w:fldChar w:fldCharType="end"/>
          </w:r>
        </w:p>
        <w:p w14:paraId="61A8804A">
          <w:pPr>
            <w:pStyle w:val="25"/>
            <w:tabs>
              <w:tab w:val="right" w:leader="dot" w:pos="9016"/>
            </w:tabs>
            <w:rPr>
              <w:rFonts w:cs="Arial" w:eastAsiaTheme="minorEastAsia"/>
              <w:kern w:val="2"/>
              <w:szCs w:val="24"/>
              <w:lang w:eastAsia="en-GB"/>
              <w14:ligatures w14:val="standardContextual"/>
            </w:rPr>
          </w:pPr>
          <w:r>
            <w:fldChar w:fldCharType="begin"/>
          </w:r>
          <w:r>
            <w:instrText xml:space="preserve"> HYPERLINK \l "_Toc236153240" </w:instrText>
          </w:r>
          <w:r>
            <w:fldChar w:fldCharType="separate"/>
          </w:r>
          <w:r>
            <w:rPr>
              <w:rStyle w:val="20"/>
              <w:rFonts w:cs="Arial"/>
              <w:szCs w:val="24"/>
            </w:rPr>
            <w:t>4. Strategic Choices and Implementation</w:t>
          </w:r>
          <w:r>
            <w:rPr>
              <w:rFonts w:cs="Arial"/>
              <w:szCs w:val="24"/>
            </w:rPr>
            <w:tab/>
          </w:r>
          <w:r>
            <w:rPr>
              <w:rFonts w:cs="Arial"/>
              <w:szCs w:val="24"/>
            </w:rPr>
            <w:fldChar w:fldCharType="begin"/>
          </w:r>
          <w:r>
            <w:rPr>
              <w:rFonts w:cs="Arial"/>
              <w:szCs w:val="24"/>
            </w:rPr>
            <w:instrText xml:space="preserve"> PAGEREF _Toc236153240 \h </w:instrText>
          </w:r>
          <w:r>
            <w:rPr>
              <w:rFonts w:cs="Arial"/>
              <w:szCs w:val="24"/>
            </w:rPr>
            <w:fldChar w:fldCharType="separate"/>
          </w:r>
          <w:r>
            <w:rPr>
              <w:rFonts w:cs="Arial"/>
              <w:szCs w:val="24"/>
            </w:rPr>
            <w:t>14</w:t>
          </w:r>
          <w:r>
            <w:rPr>
              <w:rFonts w:cs="Arial"/>
              <w:szCs w:val="24"/>
            </w:rPr>
            <w:fldChar w:fldCharType="end"/>
          </w:r>
          <w:r>
            <w:rPr>
              <w:rFonts w:cs="Arial"/>
              <w:szCs w:val="24"/>
            </w:rPr>
            <w:fldChar w:fldCharType="end"/>
          </w:r>
        </w:p>
        <w:p w14:paraId="184E8076">
          <w:pPr>
            <w:pStyle w:val="26"/>
            <w:tabs>
              <w:tab w:val="right" w:leader="dot" w:pos="9016"/>
            </w:tabs>
            <w:rPr>
              <w:rFonts w:cs="Arial" w:eastAsiaTheme="minorEastAsia"/>
              <w:kern w:val="2"/>
              <w:szCs w:val="24"/>
              <w:lang w:eastAsia="en-GB"/>
              <w14:ligatures w14:val="standardContextual"/>
            </w:rPr>
          </w:pPr>
          <w:r>
            <w:fldChar w:fldCharType="begin"/>
          </w:r>
          <w:r>
            <w:instrText xml:space="preserve"> HYPERLINK \l "_Toc236153241" </w:instrText>
          </w:r>
          <w:r>
            <w:fldChar w:fldCharType="separate"/>
          </w:r>
          <w:r>
            <w:rPr>
              <w:rStyle w:val="20"/>
              <w:rFonts w:cs="Arial"/>
              <w:szCs w:val="24"/>
            </w:rPr>
            <w:t>4.1 Business-Level Strategic Choices</w:t>
          </w:r>
          <w:r>
            <w:rPr>
              <w:rFonts w:cs="Arial"/>
              <w:szCs w:val="24"/>
            </w:rPr>
            <w:tab/>
          </w:r>
          <w:r>
            <w:rPr>
              <w:rFonts w:cs="Arial"/>
              <w:szCs w:val="24"/>
            </w:rPr>
            <w:fldChar w:fldCharType="begin"/>
          </w:r>
          <w:r>
            <w:rPr>
              <w:rFonts w:cs="Arial"/>
              <w:szCs w:val="24"/>
            </w:rPr>
            <w:instrText xml:space="preserve"> PAGEREF _Toc236153241 \h </w:instrText>
          </w:r>
          <w:r>
            <w:rPr>
              <w:rFonts w:cs="Arial"/>
              <w:szCs w:val="24"/>
            </w:rPr>
            <w:fldChar w:fldCharType="separate"/>
          </w:r>
          <w:r>
            <w:rPr>
              <w:rFonts w:cs="Arial"/>
              <w:szCs w:val="24"/>
            </w:rPr>
            <w:t>14</w:t>
          </w:r>
          <w:r>
            <w:rPr>
              <w:rFonts w:cs="Arial"/>
              <w:szCs w:val="24"/>
            </w:rPr>
            <w:fldChar w:fldCharType="end"/>
          </w:r>
          <w:r>
            <w:rPr>
              <w:rFonts w:cs="Arial"/>
              <w:szCs w:val="24"/>
            </w:rPr>
            <w:fldChar w:fldCharType="end"/>
          </w:r>
        </w:p>
        <w:p w14:paraId="16A2DFB9">
          <w:pPr>
            <w:pStyle w:val="26"/>
            <w:tabs>
              <w:tab w:val="right" w:leader="dot" w:pos="9016"/>
            </w:tabs>
            <w:rPr>
              <w:rFonts w:cs="Arial" w:eastAsiaTheme="minorEastAsia"/>
              <w:kern w:val="2"/>
              <w:szCs w:val="24"/>
              <w:lang w:eastAsia="en-GB"/>
              <w14:ligatures w14:val="standardContextual"/>
            </w:rPr>
          </w:pPr>
          <w:r>
            <w:fldChar w:fldCharType="begin"/>
          </w:r>
          <w:r>
            <w:instrText xml:space="preserve"> HYPERLINK \l "_Toc236153242" </w:instrText>
          </w:r>
          <w:r>
            <w:fldChar w:fldCharType="separate"/>
          </w:r>
          <w:r>
            <w:rPr>
              <w:rStyle w:val="20"/>
              <w:rFonts w:cs="Arial"/>
              <w:szCs w:val="24"/>
            </w:rPr>
            <w:t>4.2 Validation of the Strategy</w:t>
          </w:r>
          <w:r>
            <w:rPr>
              <w:rFonts w:cs="Arial"/>
              <w:szCs w:val="24"/>
            </w:rPr>
            <w:tab/>
          </w:r>
          <w:r>
            <w:rPr>
              <w:rFonts w:cs="Arial"/>
              <w:szCs w:val="24"/>
            </w:rPr>
            <w:fldChar w:fldCharType="begin"/>
          </w:r>
          <w:r>
            <w:rPr>
              <w:rFonts w:cs="Arial"/>
              <w:szCs w:val="24"/>
            </w:rPr>
            <w:instrText xml:space="preserve"> PAGEREF _Toc236153242 \h </w:instrText>
          </w:r>
          <w:r>
            <w:rPr>
              <w:rFonts w:cs="Arial"/>
              <w:szCs w:val="24"/>
            </w:rPr>
            <w:fldChar w:fldCharType="separate"/>
          </w:r>
          <w:r>
            <w:rPr>
              <w:rFonts w:cs="Arial"/>
              <w:szCs w:val="24"/>
            </w:rPr>
            <w:t>15</w:t>
          </w:r>
          <w:r>
            <w:rPr>
              <w:rFonts w:cs="Arial"/>
              <w:szCs w:val="24"/>
            </w:rPr>
            <w:fldChar w:fldCharType="end"/>
          </w:r>
          <w:r>
            <w:rPr>
              <w:rFonts w:cs="Arial"/>
              <w:szCs w:val="24"/>
            </w:rPr>
            <w:fldChar w:fldCharType="end"/>
          </w:r>
        </w:p>
        <w:p w14:paraId="016D802C">
          <w:pPr>
            <w:pStyle w:val="26"/>
            <w:tabs>
              <w:tab w:val="right" w:leader="dot" w:pos="9016"/>
            </w:tabs>
            <w:rPr>
              <w:rFonts w:cs="Arial" w:eastAsiaTheme="minorEastAsia"/>
              <w:kern w:val="2"/>
              <w:szCs w:val="24"/>
              <w:lang w:eastAsia="en-GB"/>
              <w14:ligatures w14:val="standardContextual"/>
            </w:rPr>
          </w:pPr>
          <w:r>
            <w:fldChar w:fldCharType="begin"/>
          </w:r>
          <w:r>
            <w:instrText xml:space="preserve"> HYPERLINK \l "_Toc236153243" </w:instrText>
          </w:r>
          <w:r>
            <w:fldChar w:fldCharType="separate"/>
          </w:r>
          <w:r>
            <w:rPr>
              <w:rStyle w:val="20"/>
              <w:rFonts w:cs="Arial"/>
              <w:szCs w:val="24"/>
            </w:rPr>
            <w:t>4.3 Recommended Strategy and Expected Performance Outcomes</w:t>
          </w:r>
          <w:r>
            <w:rPr>
              <w:rFonts w:cs="Arial"/>
              <w:szCs w:val="24"/>
            </w:rPr>
            <w:tab/>
          </w:r>
          <w:r>
            <w:rPr>
              <w:rFonts w:cs="Arial"/>
              <w:szCs w:val="24"/>
            </w:rPr>
            <w:fldChar w:fldCharType="begin"/>
          </w:r>
          <w:r>
            <w:rPr>
              <w:rFonts w:cs="Arial"/>
              <w:szCs w:val="24"/>
            </w:rPr>
            <w:instrText xml:space="preserve"> PAGEREF _Toc236153243 \h </w:instrText>
          </w:r>
          <w:r>
            <w:rPr>
              <w:rFonts w:cs="Arial"/>
              <w:szCs w:val="24"/>
            </w:rPr>
            <w:fldChar w:fldCharType="separate"/>
          </w:r>
          <w:r>
            <w:rPr>
              <w:rFonts w:cs="Arial"/>
              <w:szCs w:val="24"/>
            </w:rPr>
            <w:t>15</w:t>
          </w:r>
          <w:r>
            <w:rPr>
              <w:rFonts w:cs="Arial"/>
              <w:szCs w:val="24"/>
            </w:rPr>
            <w:fldChar w:fldCharType="end"/>
          </w:r>
          <w:r>
            <w:rPr>
              <w:rFonts w:cs="Arial"/>
              <w:szCs w:val="24"/>
            </w:rPr>
            <w:fldChar w:fldCharType="end"/>
          </w:r>
        </w:p>
        <w:p w14:paraId="60DAC1CB">
          <w:pPr>
            <w:pStyle w:val="26"/>
            <w:tabs>
              <w:tab w:val="right" w:leader="dot" w:pos="9016"/>
            </w:tabs>
            <w:rPr>
              <w:rFonts w:cs="Arial" w:eastAsiaTheme="minorEastAsia"/>
              <w:kern w:val="2"/>
              <w:szCs w:val="24"/>
              <w:lang w:eastAsia="en-GB"/>
              <w14:ligatures w14:val="standardContextual"/>
            </w:rPr>
          </w:pPr>
          <w:r>
            <w:fldChar w:fldCharType="begin"/>
          </w:r>
          <w:r>
            <w:instrText xml:space="preserve"> HYPERLINK \l "_Toc236153244" </w:instrText>
          </w:r>
          <w:r>
            <w:fldChar w:fldCharType="separate"/>
          </w:r>
          <w:r>
            <w:rPr>
              <w:rStyle w:val="20"/>
              <w:rFonts w:cs="Arial"/>
              <w:szCs w:val="24"/>
            </w:rPr>
            <w:t>4.2 Challenges</w:t>
          </w:r>
          <w:r>
            <w:rPr>
              <w:rFonts w:cs="Arial"/>
              <w:szCs w:val="24"/>
            </w:rPr>
            <w:tab/>
          </w:r>
          <w:r>
            <w:rPr>
              <w:rFonts w:cs="Arial"/>
              <w:szCs w:val="24"/>
            </w:rPr>
            <w:fldChar w:fldCharType="begin"/>
          </w:r>
          <w:r>
            <w:rPr>
              <w:rFonts w:cs="Arial"/>
              <w:szCs w:val="24"/>
            </w:rPr>
            <w:instrText xml:space="preserve"> PAGEREF _Toc236153244 \h </w:instrText>
          </w:r>
          <w:r>
            <w:rPr>
              <w:rFonts w:cs="Arial"/>
              <w:szCs w:val="24"/>
            </w:rPr>
            <w:fldChar w:fldCharType="separate"/>
          </w:r>
          <w:r>
            <w:rPr>
              <w:rFonts w:cs="Arial"/>
              <w:szCs w:val="24"/>
            </w:rPr>
            <w:t>16</w:t>
          </w:r>
          <w:r>
            <w:rPr>
              <w:rFonts w:cs="Arial"/>
              <w:szCs w:val="24"/>
            </w:rPr>
            <w:fldChar w:fldCharType="end"/>
          </w:r>
          <w:r>
            <w:rPr>
              <w:rFonts w:cs="Arial"/>
              <w:szCs w:val="24"/>
            </w:rPr>
            <w:fldChar w:fldCharType="end"/>
          </w:r>
        </w:p>
        <w:p w14:paraId="43497039">
          <w:pPr>
            <w:pStyle w:val="25"/>
            <w:tabs>
              <w:tab w:val="right" w:leader="dot" w:pos="9016"/>
            </w:tabs>
            <w:rPr>
              <w:rFonts w:cs="Arial" w:eastAsiaTheme="minorEastAsia"/>
              <w:kern w:val="2"/>
              <w:szCs w:val="24"/>
              <w:lang w:eastAsia="en-GB"/>
              <w14:ligatures w14:val="standardContextual"/>
            </w:rPr>
          </w:pPr>
          <w:r>
            <w:fldChar w:fldCharType="begin"/>
          </w:r>
          <w:r>
            <w:instrText xml:space="preserve"> HYPERLINK \l "_Toc236153245" </w:instrText>
          </w:r>
          <w:r>
            <w:fldChar w:fldCharType="separate"/>
          </w:r>
          <w:r>
            <w:rPr>
              <w:rStyle w:val="20"/>
              <w:rFonts w:cs="Arial"/>
              <w:szCs w:val="24"/>
            </w:rPr>
            <w:t>Section 2</w:t>
          </w:r>
          <w:r>
            <w:rPr>
              <w:rFonts w:cs="Arial"/>
              <w:szCs w:val="24"/>
            </w:rPr>
            <w:tab/>
          </w:r>
          <w:r>
            <w:rPr>
              <w:rFonts w:cs="Arial"/>
              <w:szCs w:val="24"/>
            </w:rPr>
            <w:fldChar w:fldCharType="begin"/>
          </w:r>
          <w:r>
            <w:rPr>
              <w:rFonts w:cs="Arial"/>
              <w:szCs w:val="24"/>
            </w:rPr>
            <w:instrText xml:space="preserve"> PAGEREF _Toc236153245 \h </w:instrText>
          </w:r>
          <w:r>
            <w:rPr>
              <w:rFonts w:cs="Arial"/>
              <w:szCs w:val="24"/>
            </w:rPr>
            <w:fldChar w:fldCharType="separate"/>
          </w:r>
          <w:r>
            <w:rPr>
              <w:rFonts w:cs="Arial"/>
              <w:szCs w:val="24"/>
            </w:rPr>
            <w:t>17</w:t>
          </w:r>
          <w:r>
            <w:rPr>
              <w:rFonts w:cs="Arial"/>
              <w:szCs w:val="24"/>
            </w:rPr>
            <w:fldChar w:fldCharType="end"/>
          </w:r>
          <w:r>
            <w:rPr>
              <w:rFonts w:cs="Arial"/>
              <w:szCs w:val="24"/>
            </w:rPr>
            <w:fldChar w:fldCharType="end"/>
          </w:r>
        </w:p>
        <w:p w14:paraId="73631A17">
          <w:pPr>
            <w:pStyle w:val="25"/>
            <w:tabs>
              <w:tab w:val="right" w:leader="dot" w:pos="9016"/>
            </w:tabs>
            <w:rPr>
              <w:rFonts w:cs="Arial" w:eastAsiaTheme="minorEastAsia"/>
              <w:kern w:val="2"/>
              <w:szCs w:val="24"/>
              <w:lang w:eastAsia="en-GB"/>
              <w14:ligatures w14:val="standardContextual"/>
            </w:rPr>
          </w:pPr>
          <w:r>
            <w:fldChar w:fldCharType="begin"/>
          </w:r>
          <w:r>
            <w:instrText xml:space="preserve"> HYPERLINK \l "_Toc236153246" </w:instrText>
          </w:r>
          <w:r>
            <w:fldChar w:fldCharType="separate"/>
          </w:r>
          <w:r>
            <w:rPr>
              <w:rStyle w:val="20"/>
              <w:rFonts w:cs="Arial"/>
              <w:szCs w:val="24"/>
            </w:rPr>
            <w:t>1. Reflective Account</w:t>
          </w:r>
          <w:r>
            <w:rPr>
              <w:rFonts w:cs="Arial"/>
              <w:szCs w:val="24"/>
            </w:rPr>
            <w:tab/>
          </w:r>
          <w:r>
            <w:rPr>
              <w:rFonts w:cs="Arial"/>
              <w:szCs w:val="24"/>
            </w:rPr>
            <w:fldChar w:fldCharType="begin"/>
          </w:r>
          <w:r>
            <w:rPr>
              <w:rFonts w:cs="Arial"/>
              <w:szCs w:val="24"/>
            </w:rPr>
            <w:instrText xml:space="preserve"> PAGEREF _Toc236153246 \h </w:instrText>
          </w:r>
          <w:r>
            <w:rPr>
              <w:rFonts w:cs="Arial"/>
              <w:szCs w:val="24"/>
            </w:rPr>
            <w:fldChar w:fldCharType="separate"/>
          </w:r>
          <w:r>
            <w:rPr>
              <w:rFonts w:cs="Arial"/>
              <w:szCs w:val="24"/>
            </w:rPr>
            <w:t>17</w:t>
          </w:r>
          <w:r>
            <w:rPr>
              <w:rFonts w:cs="Arial"/>
              <w:szCs w:val="24"/>
            </w:rPr>
            <w:fldChar w:fldCharType="end"/>
          </w:r>
          <w:r>
            <w:rPr>
              <w:rFonts w:cs="Arial"/>
              <w:szCs w:val="24"/>
            </w:rPr>
            <w:fldChar w:fldCharType="end"/>
          </w:r>
        </w:p>
        <w:p w14:paraId="3BECC6F6">
          <w:pPr>
            <w:pStyle w:val="25"/>
            <w:tabs>
              <w:tab w:val="right" w:leader="dot" w:pos="9016"/>
            </w:tabs>
            <w:rPr>
              <w:rFonts w:cs="Arial" w:eastAsiaTheme="minorEastAsia"/>
              <w:kern w:val="2"/>
              <w:szCs w:val="24"/>
              <w:lang w:eastAsia="en-GB"/>
              <w14:ligatures w14:val="standardContextual"/>
            </w:rPr>
          </w:pPr>
          <w:r>
            <w:fldChar w:fldCharType="begin"/>
          </w:r>
          <w:r>
            <w:instrText xml:space="preserve"> HYPERLINK \l "_Toc236153247" </w:instrText>
          </w:r>
          <w:r>
            <w:fldChar w:fldCharType="separate"/>
          </w:r>
          <w:r>
            <w:rPr>
              <w:rStyle w:val="20"/>
              <w:rFonts w:cs="Arial"/>
              <w:szCs w:val="24"/>
            </w:rPr>
            <w:t>References</w:t>
          </w:r>
          <w:r>
            <w:rPr>
              <w:rFonts w:cs="Arial"/>
              <w:szCs w:val="24"/>
            </w:rPr>
            <w:tab/>
          </w:r>
          <w:r>
            <w:rPr>
              <w:rFonts w:cs="Arial"/>
              <w:szCs w:val="24"/>
            </w:rPr>
            <w:fldChar w:fldCharType="begin"/>
          </w:r>
          <w:r>
            <w:rPr>
              <w:rFonts w:cs="Arial"/>
              <w:szCs w:val="24"/>
            </w:rPr>
            <w:instrText xml:space="preserve"> PAGEREF _Toc236153247 \h </w:instrText>
          </w:r>
          <w:r>
            <w:rPr>
              <w:rFonts w:cs="Arial"/>
              <w:szCs w:val="24"/>
            </w:rPr>
            <w:fldChar w:fldCharType="separate"/>
          </w:r>
          <w:r>
            <w:rPr>
              <w:rFonts w:cs="Arial"/>
              <w:szCs w:val="24"/>
            </w:rPr>
            <w:t>22</w:t>
          </w:r>
          <w:r>
            <w:rPr>
              <w:rFonts w:cs="Arial"/>
              <w:szCs w:val="24"/>
            </w:rPr>
            <w:fldChar w:fldCharType="end"/>
          </w:r>
          <w:r>
            <w:rPr>
              <w:rFonts w:cs="Arial"/>
              <w:szCs w:val="24"/>
            </w:rPr>
            <w:fldChar w:fldCharType="end"/>
          </w:r>
        </w:p>
        <w:p w14:paraId="422F565D">
          <w:pPr>
            <w:rPr>
              <w:rFonts w:cs="Times New Roman"/>
            </w:rPr>
          </w:pPr>
          <w:r>
            <w:rPr>
              <w:rFonts w:cs="Arial"/>
              <w:b/>
              <w:bCs/>
              <w:szCs w:val="24"/>
            </w:rPr>
            <w:fldChar w:fldCharType="end"/>
          </w:r>
        </w:p>
      </w:sdtContent>
    </w:sdt>
    <w:p w14:paraId="0324825E">
      <w:pPr>
        <w:rPr>
          <w:rFonts w:cs="Times New Roman"/>
          <w:i/>
          <w:iCs/>
          <w:color w:val="FF0000"/>
        </w:rPr>
      </w:pPr>
      <w:r>
        <w:rPr>
          <w:rFonts w:cs="Times New Roman"/>
          <w:i/>
          <w:iCs/>
          <w:color w:val="FF0000"/>
        </w:rPr>
        <w:br w:type="page"/>
      </w:r>
    </w:p>
    <w:p w14:paraId="056ACE88">
      <w:pPr>
        <w:pStyle w:val="2"/>
        <w:rPr>
          <w:rFonts w:cs="Arial"/>
          <w:color w:val="000000" w:themeColor="text1"/>
          <w:sz w:val="24"/>
          <w:szCs w:val="24"/>
          <w14:textFill>
            <w14:solidFill>
              <w14:schemeClr w14:val="tx1"/>
            </w14:solidFill>
          </w14:textFill>
        </w:rPr>
      </w:pPr>
      <w:bookmarkStart w:id="0" w:name="_Toc236153231"/>
      <w:r>
        <w:rPr>
          <w:rFonts w:cs="Arial"/>
          <w:color w:val="000000" w:themeColor="text1"/>
          <w:sz w:val="24"/>
          <w:szCs w:val="24"/>
          <w14:textFill>
            <w14:solidFill>
              <w14:schemeClr w14:val="tx1"/>
            </w14:solidFill>
          </w14:textFill>
        </w:rPr>
        <w:t>Section 1</w:t>
      </w:r>
      <w:bookmarkEnd w:id="0"/>
    </w:p>
    <w:p w14:paraId="5770E1C3">
      <w:pPr>
        <w:pStyle w:val="2"/>
        <w:rPr>
          <w:rFonts w:cs="Arial"/>
          <w:color w:val="000000" w:themeColor="text1"/>
          <w:sz w:val="24"/>
          <w:szCs w:val="24"/>
          <w14:textFill>
            <w14:solidFill>
              <w14:schemeClr w14:val="tx1"/>
            </w14:solidFill>
          </w14:textFill>
        </w:rPr>
      </w:pPr>
      <w:bookmarkStart w:id="1" w:name="_Toc236153232"/>
      <w:r>
        <w:rPr>
          <w:rFonts w:cs="Arial"/>
          <w:color w:val="000000" w:themeColor="text1"/>
          <w:sz w:val="24"/>
          <w:szCs w:val="24"/>
          <w14:textFill>
            <w14:solidFill>
              <w14:schemeClr w14:val="tx1"/>
            </w14:solidFill>
          </w14:textFill>
        </w:rPr>
        <w:t>1. Organisational Context and Overview</w:t>
      </w:r>
      <w:bookmarkEnd w:id="1"/>
    </w:p>
    <w:p w14:paraId="1EC652FD">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A critical aspect for successful organisation is effective strategy management. According to Fuertes et al. (2020), strategy stands for the long term goals and the objectives of a company, the adoptions of action, and the allocation of necessary resources for the accomplishments of objectives. The organisations that pay strong attention towards strategy management always have better results in any market in comparision to the one who do not pay any attention. The organisation selected for this assignment is Starbucks in the United Kingdom(UK). </w:t>
      </w:r>
    </w:p>
    <w:p w14:paraId="62A47D6E">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Established in 1971 and headquatered in Seattle, Starbucks is a coffee shop chain that has extended to all the corners of the world (Starbucks, 2024a). Started as a single roastery and retailer of whole bean coffee, Starbucks transformed into a leading coffee chain under Howard Schultz. In the UK the brand operates under Starbucks EMEA. Starbucks entered UK in 1998, and by 2025 the organisation has more than 1,424 stores in the United Kingdom (Statista, 2025). The stores operate through a combination of company-operated and licensed outlets and serve millions of customers across UK anually. </w:t>
      </w:r>
    </w:p>
    <w:p w14:paraId="3E7F0FDE">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Mission of Starbucks is to inspire and nurture the huamn soul by its finest coffees; one cup, one person and one neighbourhood at a time (Starbucks EMEA, 2026a). This mission showcases that starbucks is committed to deliver high quality coffee that offers meaningful customer experience and support the community in which it operates. The business model of the organisation consits of company operated retail stoe, licenced and franchise stores, and consumer packaged goods sold through grocery channels. Revenue is generated through direct retail sales in company operated stores and licencee fee from the partner operated stores. </w:t>
      </w:r>
    </w:p>
    <w:p w14:paraId="2C928653">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The branded coffee market of UK is very saturated and operates under the wider food-service QSR (quick-service restaurant) industry. According to Statista Research Department (2026), the consumer spending on tea coffee and cocoa has doubled in between 2014-2024. In 2025, the industry is valued at nearly seven billion British pounds, which is an increase of 1.7 billion from 2019 (Statista Research Department, 2026). The key branded coffee chains QSR in the market are Gregg, Costa Coffee, Starbucks and Café Nero. In 2026, Gregg is the largest QSR chain in the UK, in terms of unit with more than 2,735 units across the country (Greggs, 2026). In terms of branded cofee houses Starbucks has captured 18.7% of UK market share next to Costa Coffee (Lumina Intelligence, 2025). Starbucks require a strong strategy to ensure better market share and wing market leadership in UK. </w:t>
      </w:r>
    </w:p>
    <w:p w14:paraId="0A83CAE0">
      <w:pPr>
        <w:pStyle w:val="2"/>
        <w:rPr>
          <w:rFonts w:cs="Arial"/>
          <w:color w:val="000000" w:themeColor="text1"/>
          <w:sz w:val="24"/>
          <w:szCs w:val="24"/>
          <w14:textFill>
            <w14:solidFill>
              <w14:schemeClr w14:val="tx1"/>
            </w14:solidFill>
          </w14:textFill>
        </w:rPr>
      </w:pPr>
      <w:bookmarkStart w:id="2" w:name="_Toc236153233"/>
      <w:r>
        <w:rPr>
          <w:rFonts w:cs="Arial"/>
          <w:color w:val="000000" w:themeColor="text1"/>
          <w:sz w:val="24"/>
          <w:szCs w:val="24"/>
          <w14:textFill>
            <w14:solidFill>
              <w14:schemeClr w14:val="tx1"/>
            </w14:solidFill>
          </w14:textFill>
        </w:rPr>
        <w:t>2. External and Internal Analysis</w:t>
      </w:r>
      <w:bookmarkEnd w:id="2"/>
    </w:p>
    <w:p w14:paraId="439E5AE7">
      <w:pPr>
        <w:pStyle w:val="3"/>
        <w:rPr>
          <w:rFonts w:cs="Arial"/>
          <w:color w:val="000000" w:themeColor="text1"/>
          <w:sz w:val="24"/>
          <w:szCs w:val="24"/>
          <w14:textFill>
            <w14:solidFill>
              <w14:schemeClr w14:val="tx1"/>
            </w14:solidFill>
          </w14:textFill>
        </w:rPr>
      </w:pPr>
      <w:bookmarkStart w:id="3" w:name="_Toc236153234"/>
      <w:r>
        <w:rPr>
          <w:rFonts w:cs="Arial"/>
          <w:color w:val="000000" w:themeColor="text1"/>
          <w:sz w:val="24"/>
          <w:szCs w:val="24"/>
          <w14:textFill>
            <w14:solidFill>
              <w14:schemeClr w14:val="tx1"/>
            </w14:solidFill>
          </w14:textFill>
        </w:rPr>
        <w:t>2.1 PESTLE</w:t>
      </w:r>
      <w:bookmarkEnd w:id="3"/>
    </w:p>
    <w:p w14:paraId="61EF4A6E">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To understand the influence of external environment on any organisation PESTLE framework is an adequate tool. Christodoulou and Cullinane (2019) have stated that PESTLE analysis is an analytical tool for strategic business planning that provides strategic framework for understanding external influences on a business or other form of entity. A detailed PESTLE analysis for Starbucks in UK is discussed below-</w:t>
      </w:r>
    </w:p>
    <w:p w14:paraId="5C85B7A2">
      <w:pPr>
        <w:rPr>
          <w:rFonts w:cs="Arial"/>
          <w:b/>
          <w:bCs/>
          <w:color w:val="000000" w:themeColor="text1"/>
          <w:szCs w:val="24"/>
          <w14:textFill>
            <w14:solidFill>
              <w14:schemeClr w14:val="tx1"/>
            </w14:solidFill>
          </w14:textFill>
        </w:rPr>
      </w:pPr>
      <w:r>
        <w:rPr>
          <w:rFonts w:cs="Arial"/>
          <w:b/>
          <w:bCs/>
          <w:color w:val="000000" w:themeColor="text1"/>
          <w:szCs w:val="24"/>
          <w14:textFill>
            <w14:solidFill>
              <w14:schemeClr w14:val="tx1"/>
            </w14:solidFill>
          </w14:textFill>
        </w:rPr>
        <w:t>Political</w:t>
      </w:r>
    </w:p>
    <w:p w14:paraId="34B93D15">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The government in UK is stable but post Brexit trade frictions impact the import cost of the coffee beans (Governmnet of Netherlands, 2021). Furthermore, the UK government recently has increased the National Living Wage and National Insurance contribution have raised the labour cost for hospitality business (Davis, 2026). Starbucks UK employs hundreds of employees across UK through both company owned and licensed stores that has led to increased operational expense for the organisation. </w:t>
      </w:r>
    </w:p>
    <w:p w14:paraId="7A4150B3">
      <w:pPr>
        <w:rPr>
          <w:rFonts w:cs="Arial"/>
          <w:b/>
          <w:bCs/>
          <w:color w:val="000000" w:themeColor="text1"/>
          <w:szCs w:val="24"/>
          <w14:textFill>
            <w14:solidFill>
              <w14:schemeClr w14:val="tx1"/>
            </w14:solidFill>
          </w14:textFill>
        </w:rPr>
      </w:pPr>
      <w:r>
        <w:rPr>
          <w:rFonts w:cs="Arial"/>
          <w:b/>
          <w:bCs/>
          <w:color w:val="000000" w:themeColor="text1"/>
          <w:szCs w:val="24"/>
          <w14:textFill>
            <w14:solidFill>
              <w14:schemeClr w14:val="tx1"/>
            </w14:solidFill>
          </w14:textFill>
        </w:rPr>
        <w:t>Economic</w:t>
      </w:r>
    </w:p>
    <w:p w14:paraId="07F51EC3">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The economic conditions of a country directly impact the spending power of the consumers. According to a recent PwC survey there is a fast fall in consumer confidence in UK as the consumers worry about Iran USA war’s impact on economy and their personal finances (Knowles, 2026). Persistent high cost of living pressure has made has made the consumers in UK more price sensitive and they might not want to spend on premium coffee. The UK coffee market itself continues to grow in value term suggesting resilient underlying demand of coffee. </w:t>
      </w:r>
    </w:p>
    <w:p w14:paraId="2091EBA1">
      <w:pPr>
        <w:rPr>
          <w:rFonts w:cs="Arial"/>
          <w:b/>
          <w:bCs/>
          <w:color w:val="000000" w:themeColor="text1"/>
          <w:szCs w:val="24"/>
          <w14:textFill>
            <w14:solidFill>
              <w14:schemeClr w14:val="tx1"/>
            </w14:solidFill>
          </w14:textFill>
        </w:rPr>
      </w:pPr>
      <w:r>
        <w:rPr>
          <w:rFonts w:cs="Arial"/>
          <w:b/>
          <w:bCs/>
          <w:color w:val="000000" w:themeColor="text1"/>
          <w:szCs w:val="24"/>
          <w14:textFill>
            <w14:solidFill>
              <w14:schemeClr w14:val="tx1"/>
            </w14:solidFill>
          </w14:textFill>
        </w:rPr>
        <w:t>Social</w:t>
      </w:r>
    </w:p>
    <w:p w14:paraId="6CBE1A34">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There is a growing café culture in UK. Furthermore, remote workers are reshaping coffee shops into informal, low-cost offices, challenging the third space dynamics (Perfect Daily Grind, 2026). Rising health demands and demand for plant-based option has raised the request for low sugar beverages, dairy free alternatives, and healthier food options. Starbucks has also removed surcharge from non-dairy surcharges in response to the increasing consumer demand (Dean, 2021). Furthermore, given price pressure many consumers are trading down to less expensive coffee options that has put pressure on premium pricing strategy of Starbucks. </w:t>
      </w:r>
    </w:p>
    <w:p w14:paraId="6D02A9D5">
      <w:pPr>
        <w:rPr>
          <w:rFonts w:cs="Arial"/>
          <w:b/>
          <w:bCs/>
          <w:color w:val="000000" w:themeColor="text1"/>
          <w:szCs w:val="24"/>
          <w14:textFill>
            <w14:solidFill>
              <w14:schemeClr w14:val="tx1"/>
            </w14:solidFill>
          </w14:textFill>
        </w:rPr>
      </w:pPr>
      <w:r>
        <w:rPr>
          <w:rFonts w:cs="Arial"/>
          <w:b/>
          <w:bCs/>
          <w:color w:val="000000" w:themeColor="text1"/>
          <w:szCs w:val="24"/>
          <w14:textFill>
            <w14:solidFill>
              <w14:schemeClr w14:val="tx1"/>
            </w14:solidFill>
          </w14:textFill>
        </w:rPr>
        <w:t>Technological</w:t>
      </w:r>
    </w:p>
    <w:p w14:paraId="20197555">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Technology has become one of the most critical competitive advantages of Starbucks. Starbucks have used digital innovations such as Starbucks reward programme, mobile ordering, personalised promotions, and contactless payment system (Starbucks, 2026b). The technological advancements offer Starbucks with opportunities to improve the customer experience  along with gaining operational efficiency to improve the overall customer experience. </w:t>
      </w:r>
    </w:p>
    <w:p w14:paraId="6ACAB9EB">
      <w:pPr>
        <w:rPr>
          <w:rFonts w:cs="Arial"/>
          <w:b/>
          <w:bCs/>
          <w:color w:val="000000" w:themeColor="text1"/>
          <w:szCs w:val="24"/>
          <w14:textFill>
            <w14:solidFill>
              <w14:schemeClr w14:val="tx1"/>
            </w14:solidFill>
          </w14:textFill>
        </w:rPr>
      </w:pPr>
      <w:r>
        <w:rPr>
          <w:rFonts w:cs="Arial"/>
          <w:b/>
          <w:bCs/>
          <w:color w:val="000000" w:themeColor="text1"/>
          <w:szCs w:val="24"/>
          <w14:textFill>
            <w14:solidFill>
              <w14:schemeClr w14:val="tx1"/>
            </w14:solidFill>
          </w14:textFill>
        </w:rPr>
        <w:t>Environmental</w:t>
      </w:r>
    </w:p>
    <w:p w14:paraId="770FCD23">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In UK there is an increasing regulatory and consumer pressure regarding sustainable packaging, waste reduction and carbon disclosure (UK Business Climate Hub, 2026). The consumers expect the businesses to reduce waste, minimise the carbon emission, and adopt sustainable packaging solutions. Starbucks has introduced multiple initiatives such as recyclable packaging, investments in renewable energy, etc to support its sustainability objectives (Packaging Europe, 2018). However, Neus (2026), has claimed that environmental watchdog organisation Beyond Plastics conducted a survey and found Starbucks inititaive to be a green washing attempt. The brand needs to become more accountable in UK regarding sustainability. </w:t>
      </w:r>
    </w:p>
    <w:p w14:paraId="7CDAE51C">
      <w:pPr>
        <w:rPr>
          <w:rFonts w:cs="Arial"/>
          <w:b/>
          <w:bCs/>
          <w:color w:val="000000" w:themeColor="text1"/>
          <w:szCs w:val="24"/>
          <w14:textFill>
            <w14:solidFill>
              <w14:schemeClr w14:val="tx1"/>
            </w14:solidFill>
          </w14:textFill>
        </w:rPr>
      </w:pPr>
      <w:r>
        <w:rPr>
          <w:rFonts w:cs="Arial"/>
          <w:b/>
          <w:bCs/>
          <w:color w:val="000000" w:themeColor="text1"/>
          <w:szCs w:val="24"/>
          <w14:textFill>
            <w14:solidFill>
              <w14:schemeClr w14:val="tx1"/>
            </w14:solidFill>
          </w14:textFill>
        </w:rPr>
        <w:t>Legal</w:t>
      </w:r>
    </w:p>
    <w:p w14:paraId="05DA8076">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There have been some UK employment law changes in UK such as Employment right bills, wage floors and zero-hour contract reforms (John and Jayne, 2026). These laws impact the part time workers and hourly paid barista workforce. Failure to comply with the legal requirements could result in financial penalties and reputational damage. </w:t>
      </w:r>
    </w:p>
    <w:p w14:paraId="206E7BB8">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The PESTLE analysis highlighted multiple opportunities for Starbucks UK such as digital innovations, consumer demand for ethical products, and increasing preference for better coffee experience and café culture. However, there are several threats for the brand in UK as well including rising labour cost, inflation, volatile coffee prices, climate change, intense competition, and increasing regulatory requirements. </w:t>
      </w:r>
    </w:p>
    <w:p w14:paraId="62753454">
      <w:pPr>
        <w:pStyle w:val="3"/>
        <w:rPr>
          <w:rFonts w:cs="Arial"/>
          <w:color w:val="000000" w:themeColor="text1"/>
          <w:sz w:val="24"/>
          <w:szCs w:val="24"/>
          <w14:textFill>
            <w14:solidFill>
              <w14:schemeClr w14:val="tx1"/>
            </w14:solidFill>
          </w14:textFill>
        </w:rPr>
      </w:pPr>
      <w:bookmarkStart w:id="4" w:name="_Toc236153235"/>
      <w:r>
        <w:rPr>
          <w:rFonts w:cs="Arial"/>
          <w:color w:val="000000" w:themeColor="text1"/>
          <w:sz w:val="24"/>
          <w:szCs w:val="24"/>
          <w14:textFill>
            <w14:solidFill>
              <w14:schemeClr w14:val="tx1"/>
            </w14:solidFill>
          </w14:textFill>
        </w:rPr>
        <w:t>2.2 VRIO analysis</w:t>
      </w:r>
      <w:bookmarkEnd w:id="4"/>
    </w:p>
    <w:p w14:paraId="18EBC9D7">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VRIO analysis is based on resource-based view. According to Larbi et al. (2024), VRIO framework focuses solely on evaluating the internal resources and is intended on identifying the resources that makes the firm more competitive specifically. A detailed VRIO analysis for Starbucks in UK is discussed below (see Table 1). </w:t>
      </w:r>
    </w:p>
    <w:tbl>
      <w:tblPr>
        <w:tblStyle w:val="2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324"/>
        <w:gridCol w:w="1344"/>
        <w:gridCol w:w="1161"/>
        <w:gridCol w:w="1280"/>
        <w:gridCol w:w="1423"/>
        <w:gridCol w:w="1484"/>
      </w:tblGrid>
      <w:tr w14:paraId="796747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324" w:type="dxa"/>
          </w:tcPr>
          <w:p w14:paraId="16B339C6">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Resources </w:t>
            </w:r>
          </w:p>
        </w:tc>
        <w:tc>
          <w:tcPr>
            <w:tcW w:w="1344" w:type="dxa"/>
          </w:tcPr>
          <w:p w14:paraId="74BC2569">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Valuable</w:t>
            </w:r>
          </w:p>
        </w:tc>
        <w:tc>
          <w:tcPr>
            <w:tcW w:w="1161" w:type="dxa"/>
          </w:tcPr>
          <w:p w14:paraId="70F42E18">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Rare</w:t>
            </w:r>
          </w:p>
        </w:tc>
        <w:tc>
          <w:tcPr>
            <w:tcW w:w="1280" w:type="dxa"/>
          </w:tcPr>
          <w:p w14:paraId="62993FC9">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Difficult to imitate</w:t>
            </w:r>
          </w:p>
        </w:tc>
        <w:tc>
          <w:tcPr>
            <w:tcW w:w="1423" w:type="dxa"/>
          </w:tcPr>
          <w:p w14:paraId="2C30DF9B">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Organised</w:t>
            </w:r>
          </w:p>
        </w:tc>
        <w:tc>
          <w:tcPr>
            <w:tcW w:w="1484" w:type="dxa"/>
          </w:tcPr>
          <w:p w14:paraId="69FF1220">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Implication</w:t>
            </w:r>
          </w:p>
        </w:tc>
      </w:tr>
      <w:tr w14:paraId="29B2C4A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24" w:type="dxa"/>
          </w:tcPr>
          <w:p w14:paraId="0A21110A">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Global brand equity</w:t>
            </w:r>
          </w:p>
        </w:tc>
        <w:tc>
          <w:tcPr>
            <w:tcW w:w="1344" w:type="dxa"/>
          </w:tcPr>
          <w:p w14:paraId="319761E8">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Yes</w:t>
            </w:r>
          </w:p>
        </w:tc>
        <w:tc>
          <w:tcPr>
            <w:tcW w:w="1161" w:type="dxa"/>
          </w:tcPr>
          <w:p w14:paraId="1793E0BE">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Yes</w:t>
            </w:r>
          </w:p>
        </w:tc>
        <w:tc>
          <w:tcPr>
            <w:tcW w:w="1280" w:type="dxa"/>
          </w:tcPr>
          <w:p w14:paraId="1F219C3D">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Yes</w:t>
            </w:r>
          </w:p>
        </w:tc>
        <w:tc>
          <w:tcPr>
            <w:tcW w:w="1423" w:type="dxa"/>
          </w:tcPr>
          <w:p w14:paraId="67738103">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Yes</w:t>
            </w:r>
          </w:p>
        </w:tc>
        <w:tc>
          <w:tcPr>
            <w:tcW w:w="1484" w:type="dxa"/>
          </w:tcPr>
          <w:p w14:paraId="55293A6A">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Sustainable Competitive Advantage</w:t>
            </w:r>
          </w:p>
        </w:tc>
      </w:tr>
      <w:tr w14:paraId="6A6F42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24" w:type="dxa"/>
          </w:tcPr>
          <w:p w14:paraId="4A302EB0">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Premium customer experience</w:t>
            </w:r>
          </w:p>
        </w:tc>
        <w:tc>
          <w:tcPr>
            <w:tcW w:w="1344" w:type="dxa"/>
          </w:tcPr>
          <w:p w14:paraId="357BE9DC">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Yes</w:t>
            </w:r>
          </w:p>
        </w:tc>
        <w:tc>
          <w:tcPr>
            <w:tcW w:w="1161" w:type="dxa"/>
          </w:tcPr>
          <w:p w14:paraId="6DC7612E">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Yes</w:t>
            </w:r>
          </w:p>
        </w:tc>
        <w:tc>
          <w:tcPr>
            <w:tcW w:w="1280" w:type="dxa"/>
          </w:tcPr>
          <w:p w14:paraId="14E80DC3">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No</w:t>
            </w:r>
          </w:p>
        </w:tc>
        <w:tc>
          <w:tcPr>
            <w:tcW w:w="1423" w:type="dxa"/>
          </w:tcPr>
          <w:p w14:paraId="2564A29F">
            <w:pPr>
              <w:spacing w:after="0"/>
              <w:rPr>
                <w:rFonts w:cs="Arial"/>
                <w:color w:val="000000" w:themeColor="text1"/>
                <w:szCs w:val="24"/>
                <w14:textFill>
                  <w14:solidFill>
                    <w14:schemeClr w14:val="tx1"/>
                  </w14:solidFill>
                </w14:textFill>
              </w:rPr>
            </w:pPr>
          </w:p>
        </w:tc>
        <w:tc>
          <w:tcPr>
            <w:tcW w:w="1484" w:type="dxa"/>
          </w:tcPr>
          <w:p w14:paraId="20BF6AC1">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Temporary Competitive Advantage</w:t>
            </w:r>
          </w:p>
        </w:tc>
      </w:tr>
      <w:tr w14:paraId="47BD64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24" w:type="dxa"/>
          </w:tcPr>
          <w:p w14:paraId="495376E2">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Starbucks Reward Loyalty Program</w:t>
            </w:r>
          </w:p>
        </w:tc>
        <w:tc>
          <w:tcPr>
            <w:tcW w:w="1344" w:type="dxa"/>
          </w:tcPr>
          <w:p w14:paraId="2204938C">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Yes </w:t>
            </w:r>
          </w:p>
        </w:tc>
        <w:tc>
          <w:tcPr>
            <w:tcW w:w="1161" w:type="dxa"/>
          </w:tcPr>
          <w:p w14:paraId="249D145D">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No</w:t>
            </w:r>
          </w:p>
        </w:tc>
        <w:tc>
          <w:tcPr>
            <w:tcW w:w="1280" w:type="dxa"/>
          </w:tcPr>
          <w:p w14:paraId="3922F799">
            <w:pPr>
              <w:spacing w:after="0"/>
              <w:rPr>
                <w:rFonts w:cs="Arial"/>
                <w:color w:val="000000" w:themeColor="text1"/>
                <w:szCs w:val="24"/>
                <w14:textFill>
                  <w14:solidFill>
                    <w14:schemeClr w14:val="tx1"/>
                  </w14:solidFill>
                </w14:textFill>
              </w:rPr>
            </w:pPr>
          </w:p>
        </w:tc>
        <w:tc>
          <w:tcPr>
            <w:tcW w:w="1423" w:type="dxa"/>
          </w:tcPr>
          <w:p w14:paraId="0D816AD2">
            <w:pPr>
              <w:spacing w:after="0"/>
              <w:rPr>
                <w:rFonts w:cs="Arial"/>
                <w:color w:val="000000" w:themeColor="text1"/>
                <w:szCs w:val="24"/>
                <w14:textFill>
                  <w14:solidFill>
                    <w14:schemeClr w14:val="tx1"/>
                  </w14:solidFill>
                </w14:textFill>
              </w:rPr>
            </w:pPr>
          </w:p>
        </w:tc>
        <w:tc>
          <w:tcPr>
            <w:tcW w:w="1484" w:type="dxa"/>
          </w:tcPr>
          <w:p w14:paraId="38EBC3A5">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Competitive Parity</w:t>
            </w:r>
          </w:p>
        </w:tc>
      </w:tr>
      <w:tr w14:paraId="60875D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24" w:type="dxa"/>
          </w:tcPr>
          <w:p w14:paraId="47B677D7">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Ethical sourcing (C.A.F.E. Practices)</w:t>
            </w:r>
          </w:p>
        </w:tc>
        <w:tc>
          <w:tcPr>
            <w:tcW w:w="1344" w:type="dxa"/>
          </w:tcPr>
          <w:p w14:paraId="3E203BA3">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Yes</w:t>
            </w:r>
          </w:p>
        </w:tc>
        <w:tc>
          <w:tcPr>
            <w:tcW w:w="1161" w:type="dxa"/>
          </w:tcPr>
          <w:p w14:paraId="759CAF75">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Yes</w:t>
            </w:r>
          </w:p>
        </w:tc>
        <w:tc>
          <w:tcPr>
            <w:tcW w:w="1280" w:type="dxa"/>
          </w:tcPr>
          <w:p w14:paraId="17041424">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No</w:t>
            </w:r>
          </w:p>
        </w:tc>
        <w:tc>
          <w:tcPr>
            <w:tcW w:w="1423" w:type="dxa"/>
          </w:tcPr>
          <w:p w14:paraId="12856DA4">
            <w:pPr>
              <w:spacing w:after="0"/>
              <w:rPr>
                <w:rFonts w:cs="Arial"/>
                <w:color w:val="000000" w:themeColor="text1"/>
                <w:szCs w:val="24"/>
                <w14:textFill>
                  <w14:solidFill>
                    <w14:schemeClr w14:val="tx1"/>
                  </w14:solidFill>
                </w14:textFill>
              </w:rPr>
            </w:pPr>
          </w:p>
        </w:tc>
        <w:tc>
          <w:tcPr>
            <w:tcW w:w="1484" w:type="dxa"/>
          </w:tcPr>
          <w:p w14:paraId="23CBE7C6">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Temporary Competitive Advantage</w:t>
            </w:r>
          </w:p>
        </w:tc>
      </w:tr>
      <w:tr w14:paraId="612592C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24" w:type="dxa"/>
          </w:tcPr>
          <w:p w14:paraId="4418689B">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Innovation</w:t>
            </w:r>
          </w:p>
        </w:tc>
        <w:tc>
          <w:tcPr>
            <w:tcW w:w="1344" w:type="dxa"/>
          </w:tcPr>
          <w:p w14:paraId="7771D0C1">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Yes</w:t>
            </w:r>
          </w:p>
        </w:tc>
        <w:tc>
          <w:tcPr>
            <w:tcW w:w="1161" w:type="dxa"/>
          </w:tcPr>
          <w:p w14:paraId="64628322">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Yes</w:t>
            </w:r>
          </w:p>
        </w:tc>
        <w:tc>
          <w:tcPr>
            <w:tcW w:w="1280" w:type="dxa"/>
          </w:tcPr>
          <w:p w14:paraId="324D957B">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No</w:t>
            </w:r>
          </w:p>
        </w:tc>
        <w:tc>
          <w:tcPr>
            <w:tcW w:w="1423" w:type="dxa"/>
          </w:tcPr>
          <w:p w14:paraId="656C5943">
            <w:pPr>
              <w:spacing w:after="0"/>
              <w:rPr>
                <w:rFonts w:cs="Arial"/>
                <w:color w:val="000000" w:themeColor="text1"/>
                <w:szCs w:val="24"/>
                <w14:textFill>
                  <w14:solidFill>
                    <w14:schemeClr w14:val="tx1"/>
                  </w14:solidFill>
                </w14:textFill>
              </w:rPr>
            </w:pPr>
          </w:p>
        </w:tc>
        <w:tc>
          <w:tcPr>
            <w:tcW w:w="1484" w:type="dxa"/>
          </w:tcPr>
          <w:p w14:paraId="08A9476B">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Temporary Competitive Advantage</w:t>
            </w:r>
          </w:p>
        </w:tc>
      </w:tr>
      <w:tr w14:paraId="2221A9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24" w:type="dxa"/>
          </w:tcPr>
          <w:p w14:paraId="229CA2FE">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Store network and locations</w:t>
            </w:r>
          </w:p>
        </w:tc>
        <w:tc>
          <w:tcPr>
            <w:tcW w:w="1344" w:type="dxa"/>
          </w:tcPr>
          <w:p w14:paraId="6E25AB4F">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Yes</w:t>
            </w:r>
          </w:p>
        </w:tc>
        <w:tc>
          <w:tcPr>
            <w:tcW w:w="1161" w:type="dxa"/>
          </w:tcPr>
          <w:p w14:paraId="3629E904">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Yes</w:t>
            </w:r>
          </w:p>
        </w:tc>
        <w:tc>
          <w:tcPr>
            <w:tcW w:w="1280" w:type="dxa"/>
          </w:tcPr>
          <w:p w14:paraId="00DD06EA">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No</w:t>
            </w:r>
          </w:p>
        </w:tc>
        <w:tc>
          <w:tcPr>
            <w:tcW w:w="1423" w:type="dxa"/>
          </w:tcPr>
          <w:p w14:paraId="3A5EE4EC">
            <w:pPr>
              <w:spacing w:after="0"/>
              <w:rPr>
                <w:rFonts w:cs="Arial"/>
                <w:color w:val="000000" w:themeColor="text1"/>
                <w:szCs w:val="24"/>
                <w14:textFill>
                  <w14:solidFill>
                    <w14:schemeClr w14:val="tx1"/>
                  </w14:solidFill>
                </w14:textFill>
              </w:rPr>
            </w:pPr>
          </w:p>
        </w:tc>
        <w:tc>
          <w:tcPr>
            <w:tcW w:w="1484" w:type="dxa"/>
          </w:tcPr>
          <w:p w14:paraId="65810820">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Temporary Competitive Advantage</w:t>
            </w:r>
          </w:p>
        </w:tc>
      </w:tr>
    </w:tbl>
    <w:p w14:paraId="3C584B70">
      <w:pPr>
        <w:jc w:val="cente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Table 1. VRIO analysis for Starbucks UK. Source (Author)</w:t>
      </w:r>
    </w:p>
    <w:p w14:paraId="45ABC006">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The VRIO analysis showcases that the brand identity and reputation is the biggest strength for Starbucks. According to El Nemar et al. (2025), brand reputation is an intangible resource that can become a source of competitive advanatage and superior performance. There are multiple resources and capabilities that Starbucks are that can lead to development of sustainable competitive advatange including its ethical and global sourcing strategy, its real estate selction across UK, an the premium experience that the organisation offers the consumers. Nissa et al. (2026), has claimed that the customer experience strategy of the brand is its strongest competitive advantage. The brand offers more than just beverages, it creates an unique environment that combines comfort, premium services, music, interior design and social interaction. The “third place” concept developed by Starbucks differentiates it from many competitors as the customer experience both emotional and psychological value the functional value of coffee products. </w:t>
      </w:r>
    </w:p>
    <w:p w14:paraId="0092D0AF">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Innovation also offers strong competitive advantage to the brand; although, it can be replicated by the competitors it is one of the differentiators for the rband. Starbucks keep on introducing new menu items, seasonal beverages, healthier product options and plant based alternatives to meet the changing consumer preferences (Nissa et al., 2026). Furthermore, the company has developed strong global supply chain system to maintain consistent product quality and ensure reliable product distribution across international market. However, the loyalty program of the brand doesnot offers it any advanatage as it is not rare and can be easily replicated by the competitors. Overall, Starbucks stands at a strong position with multiple resources offering it strength in UK market. </w:t>
      </w:r>
    </w:p>
    <w:p w14:paraId="350FE744">
      <w:pPr>
        <w:pStyle w:val="3"/>
        <w:rPr>
          <w:rFonts w:cs="Arial"/>
          <w:color w:val="000000" w:themeColor="text1"/>
          <w:sz w:val="24"/>
          <w:szCs w:val="24"/>
          <w14:textFill>
            <w14:solidFill>
              <w14:schemeClr w14:val="tx1"/>
            </w14:solidFill>
          </w14:textFill>
        </w:rPr>
      </w:pPr>
      <w:bookmarkStart w:id="5" w:name="_Toc236153236"/>
      <w:r>
        <w:rPr>
          <w:rFonts w:cs="Arial"/>
          <w:color w:val="000000" w:themeColor="text1"/>
          <w:sz w:val="24"/>
          <w:szCs w:val="24"/>
          <w14:textFill>
            <w14:solidFill>
              <w14:schemeClr w14:val="tx1"/>
            </w14:solidFill>
          </w14:textFill>
        </w:rPr>
        <w:t>2.3 SWOT analysis</w:t>
      </w:r>
      <w:bookmarkEnd w:id="5"/>
    </w:p>
    <w:p w14:paraId="66965903">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SWOT analysis is a critical part of strategy management. Gürel and Tat (2017), describe SWOT analysis as a tool used for strategic planning and strategic management in organisations. It can be used effectively to build organisational strategy and competitive strategy. A detailed SWOT analysis for Starbucks is presented below (see Table 2). </w:t>
      </w:r>
    </w:p>
    <w:tbl>
      <w:tblPr>
        <w:tblStyle w:val="2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14:paraId="701BF50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1A5FAF43">
            <w:pPr>
              <w:numPr>
                <w:ilvl w:val="0"/>
                <w:numId w:val="1"/>
              </w:numPr>
              <w:spacing w:after="0"/>
              <w:rPr>
                <w:rFonts w:cs="Arial"/>
                <w:b/>
                <w:bCs/>
                <w:color w:val="000000" w:themeColor="text1"/>
                <w:szCs w:val="24"/>
                <w14:textFill>
                  <w14:solidFill>
                    <w14:schemeClr w14:val="tx1"/>
                  </w14:solidFill>
                </w14:textFill>
              </w:rPr>
            </w:pPr>
            <w:r>
              <w:rPr>
                <w:rFonts w:cs="Arial"/>
                <w:b/>
                <w:bCs/>
                <w:color w:val="000000" w:themeColor="text1"/>
                <w:szCs w:val="24"/>
                <w14:textFill>
                  <w14:solidFill>
                    <w14:schemeClr w14:val="tx1"/>
                  </w14:solidFill>
                </w14:textFill>
              </w:rPr>
              <w:t>Strengths</w:t>
            </w:r>
          </w:p>
          <w:p w14:paraId="63D369FD">
            <w:pPr>
              <w:numPr>
                <w:ilvl w:val="0"/>
                <w:numId w:val="1"/>
              </w:num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Global Brand recognition</w:t>
            </w:r>
          </w:p>
          <w:p w14:paraId="40960825">
            <w:pPr>
              <w:numPr>
                <w:ilvl w:val="0"/>
                <w:numId w:val="1"/>
              </w:num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Strong customer loyalty</w:t>
            </w:r>
          </w:p>
          <w:p w14:paraId="56C3493C">
            <w:pPr>
              <w:numPr>
                <w:ilvl w:val="0"/>
                <w:numId w:val="1"/>
              </w:num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Innovative digital Ecosystem</w:t>
            </w:r>
          </w:p>
          <w:p w14:paraId="1CDD5BD0">
            <w:pPr>
              <w:numPr>
                <w:ilvl w:val="0"/>
                <w:numId w:val="1"/>
              </w:num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Ethical sourcing</w:t>
            </w:r>
          </w:p>
          <w:p w14:paraId="73180C4E">
            <w:pPr>
              <w:numPr>
                <w:ilvl w:val="0"/>
                <w:numId w:val="1"/>
              </w:num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Premium Customer Experience</w:t>
            </w:r>
          </w:p>
          <w:p w14:paraId="73262633">
            <w:pPr>
              <w:spacing w:after="0"/>
              <w:rPr>
                <w:rFonts w:cs="Arial"/>
                <w:color w:val="000000" w:themeColor="text1"/>
                <w:szCs w:val="24"/>
                <w14:textFill>
                  <w14:solidFill>
                    <w14:schemeClr w14:val="tx1"/>
                  </w14:solidFill>
                </w14:textFill>
              </w:rPr>
            </w:pPr>
          </w:p>
        </w:tc>
        <w:tc>
          <w:tcPr>
            <w:tcW w:w="4508" w:type="dxa"/>
          </w:tcPr>
          <w:p w14:paraId="70034152">
            <w:pPr>
              <w:numPr>
                <w:ilvl w:val="0"/>
                <w:numId w:val="2"/>
              </w:numPr>
              <w:spacing w:after="0"/>
              <w:rPr>
                <w:rFonts w:cs="Arial"/>
                <w:b/>
                <w:bCs/>
                <w:color w:val="000000" w:themeColor="text1"/>
                <w:szCs w:val="24"/>
                <w14:textFill>
                  <w14:solidFill>
                    <w14:schemeClr w14:val="tx1"/>
                  </w14:solidFill>
                </w14:textFill>
              </w:rPr>
            </w:pPr>
            <w:r>
              <w:rPr>
                <w:rFonts w:cs="Arial"/>
                <w:b/>
                <w:bCs/>
                <w:color w:val="000000" w:themeColor="text1"/>
                <w:szCs w:val="24"/>
                <w14:textFill>
                  <w14:solidFill>
                    <w14:schemeClr w14:val="tx1"/>
                  </w14:solidFill>
                </w14:textFill>
              </w:rPr>
              <w:t>Weaknesses</w:t>
            </w:r>
          </w:p>
          <w:p w14:paraId="47EDDAEE">
            <w:pPr>
              <w:numPr>
                <w:ilvl w:val="0"/>
                <w:numId w:val="2"/>
              </w:num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Premium Pricing strategy</w:t>
            </w:r>
          </w:p>
          <w:p w14:paraId="0AF4A4EC">
            <w:pPr>
              <w:numPr>
                <w:ilvl w:val="0"/>
                <w:numId w:val="2"/>
              </w:num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High Operating cost</w:t>
            </w:r>
          </w:p>
          <w:p w14:paraId="666797A5">
            <w:pPr>
              <w:numPr>
                <w:ilvl w:val="0"/>
                <w:numId w:val="2"/>
              </w:num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Dependence on sale of coffee</w:t>
            </w:r>
          </w:p>
          <w:p w14:paraId="2F3191B3">
            <w:pPr>
              <w:numPr>
                <w:ilvl w:val="0"/>
                <w:numId w:val="2"/>
              </w:num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Labour intensive operations</w:t>
            </w:r>
          </w:p>
          <w:p w14:paraId="1BAF4411">
            <w:pPr>
              <w:numPr>
                <w:ilvl w:val="0"/>
                <w:numId w:val="2"/>
              </w:num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Vulnerability towards supply chain disruption</w:t>
            </w:r>
          </w:p>
          <w:p w14:paraId="19947A13">
            <w:pPr>
              <w:spacing w:after="0"/>
              <w:rPr>
                <w:rFonts w:cs="Arial"/>
                <w:color w:val="000000" w:themeColor="text1"/>
                <w:szCs w:val="24"/>
                <w14:textFill>
                  <w14:solidFill>
                    <w14:schemeClr w14:val="tx1"/>
                  </w14:solidFill>
                </w14:textFill>
              </w:rPr>
            </w:pPr>
          </w:p>
        </w:tc>
      </w:tr>
      <w:tr w14:paraId="066DF8C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15761733">
            <w:pPr>
              <w:numPr>
                <w:ilvl w:val="0"/>
                <w:numId w:val="3"/>
              </w:numPr>
              <w:spacing w:after="0"/>
              <w:rPr>
                <w:rFonts w:cs="Arial"/>
                <w:b/>
                <w:bCs/>
                <w:color w:val="000000" w:themeColor="text1"/>
                <w:szCs w:val="24"/>
                <w14:textFill>
                  <w14:solidFill>
                    <w14:schemeClr w14:val="tx1"/>
                  </w14:solidFill>
                </w14:textFill>
              </w:rPr>
            </w:pPr>
            <w:r>
              <w:rPr>
                <w:rFonts w:cs="Arial"/>
                <w:b/>
                <w:bCs/>
                <w:color w:val="000000" w:themeColor="text1"/>
                <w:szCs w:val="24"/>
                <w14:textFill>
                  <w14:solidFill>
                    <w14:schemeClr w14:val="tx1"/>
                  </w14:solidFill>
                </w14:textFill>
              </w:rPr>
              <w:t>Opportunities</w:t>
            </w:r>
          </w:p>
          <w:p w14:paraId="6E64CCA0">
            <w:pPr>
              <w:numPr>
                <w:ilvl w:val="0"/>
                <w:numId w:val="3"/>
              </w:num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Increasing Digital Ordering</w:t>
            </w:r>
          </w:p>
          <w:p w14:paraId="2C0B12CF">
            <w:pPr>
              <w:numPr>
                <w:ilvl w:val="0"/>
                <w:numId w:val="3"/>
              </w:num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New Plant based products</w:t>
            </w:r>
          </w:p>
          <w:p w14:paraId="3FDD4C44">
            <w:pPr>
              <w:numPr>
                <w:ilvl w:val="0"/>
                <w:numId w:val="3"/>
              </w:num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Sustained consumer demand</w:t>
            </w:r>
          </w:p>
          <w:p w14:paraId="27C3A7F8">
            <w:pPr>
              <w:numPr>
                <w:ilvl w:val="0"/>
                <w:numId w:val="3"/>
              </w:num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Expansion into suburban areas</w:t>
            </w:r>
          </w:p>
          <w:p w14:paraId="180F91B7">
            <w:pPr>
              <w:numPr>
                <w:ilvl w:val="0"/>
                <w:numId w:val="3"/>
              </w:num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AI driven personalisation</w:t>
            </w:r>
          </w:p>
          <w:p w14:paraId="7B9319DA">
            <w:pPr>
              <w:spacing w:after="0"/>
              <w:rPr>
                <w:rFonts w:cs="Arial"/>
                <w:color w:val="000000" w:themeColor="text1"/>
                <w:szCs w:val="24"/>
                <w14:textFill>
                  <w14:solidFill>
                    <w14:schemeClr w14:val="tx1"/>
                  </w14:solidFill>
                </w14:textFill>
              </w:rPr>
            </w:pPr>
          </w:p>
        </w:tc>
        <w:tc>
          <w:tcPr>
            <w:tcW w:w="4508" w:type="dxa"/>
          </w:tcPr>
          <w:p w14:paraId="02403459">
            <w:pPr>
              <w:numPr>
                <w:ilvl w:val="0"/>
                <w:numId w:val="4"/>
              </w:numPr>
              <w:spacing w:after="0"/>
              <w:rPr>
                <w:rFonts w:cs="Arial"/>
                <w:b/>
                <w:bCs/>
                <w:color w:val="000000" w:themeColor="text1"/>
                <w:szCs w:val="24"/>
                <w14:textFill>
                  <w14:solidFill>
                    <w14:schemeClr w14:val="tx1"/>
                  </w14:solidFill>
                </w14:textFill>
              </w:rPr>
            </w:pPr>
            <w:r>
              <w:rPr>
                <w:rFonts w:cs="Arial"/>
                <w:b/>
                <w:bCs/>
                <w:color w:val="000000" w:themeColor="text1"/>
                <w:szCs w:val="24"/>
                <w14:textFill>
                  <w14:solidFill>
                    <w14:schemeClr w14:val="tx1"/>
                  </w14:solidFill>
                </w14:textFill>
              </w:rPr>
              <w:t>Threats</w:t>
            </w:r>
          </w:p>
          <w:p w14:paraId="7424F359">
            <w:pPr>
              <w:numPr>
                <w:ilvl w:val="0"/>
                <w:numId w:val="4"/>
              </w:num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Inflation and rising cost</w:t>
            </w:r>
          </w:p>
          <w:p w14:paraId="4898A64E">
            <w:pPr>
              <w:numPr>
                <w:ilvl w:val="0"/>
                <w:numId w:val="4"/>
              </w:num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Intense market competition</w:t>
            </w:r>
          </w:p>
          <w:p w14:paraId="2330CA64">
            <w:pPr>
              <w:numPr>
                <w:ilvl w:val="0"/>
                <w:numId w:val="4"/>
              </w:num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Climate change</w:t>
            </w:r>
          </w:p>
          <w:p w14:paraId="21D11FD1">
            <w:pPr>
              <w:numPr>
                <w:ilvl w:val="0"/>
                <w:numId w:val="4"/>
              </w:num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Changes in consumer buying behaviour</w:t>
            </w:r>
          </w:p>
          <w:p w14:paraId="6EBE6552">
            <w:pPr>
              <w:numPr>
                <w:ilvl w:val="0"/>
                <w:numId w:val="4"/>
              </w:num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Changes in employment regulation</w:t>
            </w:r>
          </w:p>
          <w:p w14:paraId="5553AF03">
            <w:pPr>
              <w:spacing w:after="0"/>
              <w:rPr>
                <w:rFonts w:cs="Arial"/>
                <w:color w:val="000000" w:themeColor="text1"/>
                <w:szCs w:val="24"/>
                <w14:textFill>
                  <w14:solidFill>
                    <w14:schemeClr w14:val="tx1"/>
                  </w14:solidFill>
                </w14:textFill>
              </w:rPr>
            </w:pPr>
          </w:p>
        </w:tc>
      </w:tr>
    </w:tbl>
    <w:p w14:paraId="190947A6">
      <w:pPr>
        <w:jc w:val="cente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Table 2. SWOT analysis for Starbucks. Source (Author, taken from analysis below)</w:t>
      </w:r>
    </w:p>
    <w:p w14:paraId="310ECAE5">
      <w:pPr>
        <w:rPr>
          <w:rFonts w:cs="Arial"/>
          <w:b/>
          <w:bCs/>
          <w:color w:val="000000" w:themeColor="text1"/>
          <w:szCs w:val="24"/>
          <w14:textFill>
            <w14:solidFill>
              <w14:schemeClr w14:val="tx1"/>
            </w14:solidFill>
          </w14:textFill>
        </w:rPr>
      </w:pPr>
      <w:r>
        <w:rPr>
          <w:rFonts w:cs="Arial"/>
          <w:b/>
          <w:bCs/>
          <w:color w:val="000000" w:themeColor="text1"/>
          <w:szCs w:val="24"/>
          <w14:textFill>
            <w14:solidFill>
              <w14:schemeClr w14:val="tx1"/>
            </w14:solidFill>
          </w14:textFill>
        </w:rPr>
        <w:t>Strength</w:t>
      </w:r>
    </w:p>
    <w:p w14:paraId="049B3967">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The key strength of Starbucks lies in its brand recognition and its ability to differentiate itself by offering a premium customer experience than its rival brands. According to Rosenbaum and Dickens (2025), Starbucks has placed itself as a place for in person socialisation instead of a brand defined by mobile transactions. The brand has embodied ‘Third Place’ concept by developing a welcoming environment that is characterised by comfortable seating, the rich aroma of coffee and personal touches such as names on the cofee cups. Ethical sourcing and digital ecosystem also support the differentiation of the brand in the market. In UK market Starbucks has a strong 96% brand awareness and more than 80% brand loyalty (Statista, 2022) (see Table 2). These strengths can be further exploited by the brand in its favour. </w:t>
      </w:r>
    </w:p>
    <w:p w14:paraId="46CBB5B8">
      <w:pPr>
        <w:rPr>
          <w:rFonts w:cs="Arial"/>
          <w:b/>
          <w:bCs/>
          <w:color w:val="000000" w:themeColor="text1"/>
          <w:szCs w:val="24"/>
          <w14:textFill>
            <w14:solidFill>
              <w14:schemeClr w14:val="tx1"/>
            </w14:solidFill>
          </w14:textFill>
        </w:rPr>
      </w:pPr>
      <w:r>
        <w:rPr>
          <w:rFonts w:cs="Arial"/>
          <w:b/>
          <w:bCs/>
          <w:color w:val="000000" w:themeColor="text1"/>
          <w:szCs w:val="24"/>
          <w14:textFill>
            <w14:solidFill>
              <w14:schemeClr w14:val="tx1"/>
            </w14:solidFill>
          </w14:textFill>
        </w:rPr>
        <w:t>Weaknesses</w:t>
      </w:r>
    </w:p>
    <w:p w14:paraId="4C4D5822">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The premium positioning of the brand also offers it vulnerability specifically during the times of economic uncertainity. Furthermore, dependence on employees for ensuring great service requires greater efforts from Starbucks. In UK there are more than 1372 stores of Starbucks (ScrapeHero, 2026). Maintaining the same service level is a difficult task specially when the mode of operation also involves licencing. Furthermore, Starbucks supply chain is vulnerable towards disruption. For example, in 2024 a ransomeware attack on third-party vendor disrupted a back end Starbucks process that enables employees scheduling and time tracking (Reuters, 2024). The consumers may prefer to shift to low cost competitors such as Greggs or McDonalds. </w:t>
      </w:r>
    </w:p>
    <w:p w14:paraId="28C516A3">
      <w:pPr>
        <w:rPr>
          <w:rFonts w:cs="Arial"/>
          <w:b/>
          <w:bCs/>
          <w:color w:val="000000" w:themeColor="text1"/>
          <w:szCs w:val="24"/>
          <w14:textFill>
            <w14:solidFill>
              <w14:schemeClr w14:val="tx1"/>
            </w14:solidFill>
          </w14:textFill>
        </w:rPr>
      </w:pPr>
      <w:r>
        <w:rPr>
          <w:rFonts w:cs="Arial"/>
          <w:b/>
          <w:bCs/>
          <w:color w:val="000000" w:themeColor="text1"/>
          <w:szCs w:val="24"/>
          <w14:textFill>
            <w14:solidFill>
              <w14:schemeClr w14:val="tx1"/>
            </w14:solidFill>
          </w14:textFill>
        </w:rPr>
        <w:t>Opportunities</w:t>
      </w:r>
    </w:p>
    <w:p w14:paraId="6A11A35C">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The external environment of UK offers ample of opportunities to Starbucks. The consumer demand for ethical sourcing and climate conscious brands aligns with Starbucks sustainability and ethical sourcing initiatives (Starbucks UK, 2026a).  Furthermore, Starbucks can improve its competence in the market by investing in artificial intelligence, personalised marketing along with making operations more environmentally and socially responsible. In 2012, Starbucks in UK was accused of failing to pay British Corporate Income taxes (Campbell &amp; Helleloid, 2016). The organisation needs to become more responsible both in legal and CSR aspects. Furthermore, the organisation can focus on reaching new locations across suburban cities across UK. Currently Starbucks has a total of 1372 stores across uk whereas its competitor Greggs has 2,735 units across the country (Greggs, 2026). Starbucks can focus on its licencee model and introduce more stores and focus on collbaorative growth. The brand can also focus on innovations such as menu innovation to capture the health concious consumers as well. For example, Starbucks introduced Protein Cold Foam in UK in 2026 (Starbucks UK, 2026b). The organisation can focus on developing similar protien focused menu for better customer traction. </w:t>
      </w:r>
    </w:p>
    <w:p w14:paraId="3E57125E">
      <w:pPr>
        <w:rPr>
          <w:rFonts w:cs="Arial"/>
          <w:b/>
          <w:bCs/>
          <w:color w:val="000000" w:themeColor="text1"/>
          <w:szCs w:val="24"/>
          <w14:textFill>
            <w14:solidFill>
              <w14:schemeClr w14:val="tx1"/>
            </w14:solidFill>
          </w14:textFill>
        </w:rPr>
      </w:pPr>
      <w:r>
        <w:rPr>
          <w:rFonts w:cs="Arial"/>
          <w:b/>
          <w:bCs/>
          <w:color w:val="000000" w:themeColor="text1"/>
          <w:szCs w:val="24"/>
          <w14:textFill>
            <w14:solidFill>
              <w14:schemeClr w14:val="tx1"/>
            </w14:solidFill>
          </w14:textFill>
        </w:rPr>
        <w:t>Threats</w:t>
      </w:r>
    </w:p>
    <w:p w14:paraId="535FBA7C">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The biggest threat that Starbucks faces in UK is intensely competitive market. In 2025, the number of branded coffee shop outlet in UK was estimated to be 12,000 including both coffee focused and food focused business (Statista Research Department, 2026). Starbucks is facing competition from brands such as Costa Coffee, Caffè Nero, Pret, Greggs; there are also growing challenges such as Black Sheep Coffee (Stacey, 2026). Furthermore, the constantly increasing inflation in terms of coffee pods, dairy, labour, energy etc is a threat for Starbucks UK (Starbucks, 2024b). The frequent changes in consumer demand is another threat that is challenging for the brand. The brand has consistently responded to the change in consumer demand through actively managing its menu offerings. So far the company has responded effectively to changing customer preferences, consumption, or spending behaviour including health and wellness trends (Starbucks, 2024b). Starbucks also needs to be aware about climate related risks associated with global supply chain. According to Zhou et al. (2022), climate change has a significant impact on cofee quality and quantity. The authors further claim that, Arabica coffee which accounts for 70% of global coffee production, could decrease by 50% or more by 2088. </w:t>
      </w:r>
    </w:p>
    <w:p w14:paraId="053DA83C">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Overall, there is a strategic tension between Starbucks Premium brand promise and UK consumer environment that is more and more evolving towards favouring value and authenticity. To sustain its competitive advantage Starbucks need to focus on digital innovations, operational efficiency, and sustainability by effectively managing rising cost and changing consumer preferences. </w:t>
      </w:r>
    </w:p>
    <w:p w14:paraId="0D3FF9BB">
      <w:pPr>
        <w:pStyle w:val="2"/>
        <w:rPr>
          <w:rFonts w:cs="Arial"/>
          <w:color w:val="000000" w:themeColor="text1"/>
          <w:sz w:val="24"/>
          <w:szCs w:val="24"/>
          <w14:textFill>
            <w14:solidFill>
              <w14:schemeClr w14:val="tx1"/>
            </w14:solidFill>
          </w14:textFill>
        </w:rPr>
      </w:pPr>
      <w:bookmarkStart w:id="6" w:name="_Toc236153237"/>
      <w:r>
        <w:rPr>
          <w:rFonts w:cs="Arial"/>
          <w:color w:val="000000" w:themeColor="text1"/>
          <w:sz w:val="24"/>
          <w:szCs w:val="24"/>
          <w14:textFill>
            <w14:solidFill>
              <w14:schemeClr w14:val="tx1"/>
            </w14:solidFill>
          </w14:textFill>
        </w:rPr>
        <w:t>3. Comprehensive and holistic view of the organisation</w:t>
      </w:r>
      <w:bookmarkEnd w:id="6"/>
    </w:p>
    <w:p w14:paraId="668C9A04">
      <w:pPr>
        <w:pStyle w:val="3"/>
        <w:rPr>
          <w:rFonts w:cs="Arial"/>
          <w:color w:val="000000" w:themeColor="text1"/>
          <w:sz w:val="24"/>
          <w:szCs w:val="24"/>
          <w14:textFill>
            <w14:solidFill>
              <w14:schemeClr w14:val="tx1"/>
            </w14:solidFill>
          </w14:textFill>
        </w:rPr>
      </w:pPr>
      <w:bookmarkStart w:id="7" w:name="_Toc236153238"/>
      <w:r>
        <w:rPr>
          <w:rFonts w:cs="Arial"/>
          <w:color w:val="000000" w:themeColor="text1"/>
          <w:sz w:val="24"/>
          <w:szCs w:val="24"/>
          <w14:textFill>
            <w14:solidFill>
              <w14:schemeClr w14:val="tx1"/>
            </w14:solidFill>
          </w14:textFill>
        </w:rPr>
        <w:t>3.1 Corporate Social Responsibility (CSR)</w:t>
      </w:r>
      <w:bookmarkEnd w:id="7"/>
    </w:p>
    <w:p w14:paraId="6D4AA78A">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Economic growth and profit maximisation has been seen as the purpose of the organisations for the longest. However, over the years the organisations have come to realise the importance of CSR for sustaining in the business and gain a holistic growth. According to Gozdan and Sudolska (2019), CSR means the commitment of an organisation towards sustainable economic development, working with their employees, their families, the community and society at large. The CSR strategy of Starbucks is focused around three critical pillars that are ethical sourcing, environmental stewardship, and community partner welfare. Their initiatives aligns with Caroll’s CSR pyramid that focuses on economic, legal, ethical and philanthropic responsibilities of an organisation to ensure it is attaining its sustainability goals (see Image 1). </w:t>
      </w:r>
    </w:p>
    <w:p w14:paraId="3088FAAC">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drawing>
          <wp:inline distT="0" distB="0" distL="0" distR="0">
            <wp:extent cx="5731510" cy="3348990"/>
            <wp:effectExtent l="0" t="0" r="2540" b="3810"/>
            <wp:docPr id="59388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88253" name="Picture 1"/>
                    <pic:cNvPicPr>
                      <a:picLocks noChangeAspect="1"/>
                    </pic:cNvPicPr>
                  </pic:nvPicPr>
                  <pic:blipFill>
                    <a:blip r:embed="rId8"/>
                    <a:stretch>
                      <a:fillRect/>
                    </a:stretch>
                  </pic:blipFill>
                  <pic:spPr>
                    <a:xfrm>
                      <a:off x="0" y="0"/>
                      <a:ext cx="5731510" cy="3348990"/>
                    </a:xfrm>
                    <a:prstGeom prst="rect">
                      <a:avLst/>
                    </a:prstGeom>
                  </pic:spPr>
                </pic:pic>
              </a:graphicData>
            </a:graphic>
          </wp:inline>
        </w:drawing>
      </w:r>
    </w:p>
    <w:p w14:paraId="36418D5C">
      <w:pPr>
        <w:jc w:val="cente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Image 1. Carroll’s pyramid of CSR. Source (Carroll, 2016)</w:t>
      </w:r>
    </w:p>
    <w:p w14:paraId="140E5BB6">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Ethically, Starbucks has pursued near total 99% of the ethically sourced products (Starbucks, 2020). In 2004, the brand launched Conservation International, Coffee and Farmer Equity Practices (C.A.F.E. Practices) that was aimed at promoting sustainable, profitable and sustainable coffee growing practices (Starbucks, 2026a). Environmentally, the brand has adopted a greener storefront and is following this practice in EMEA region as well. The organisation codeveloped this practice with World Wildlife Fund (WWF) developing lower impact stores that help in reducing carbon emission, water usage and landfill waste (Starbucks, 2024c). Furthermore, the brand has also saved $60 million globally utilising this initiative which is a rare example of CSR initiative that is value creating and legitimacy building at the same time. On economic front, the brand has experienced a revenue of £556.3 million in 2025 which was a growth of 5.8% from 2024 (Starbucks, 2024c). Starbucks is a good example of how effective CSR initiatives might enhance rather than diminishing the shareholder value. </w:t>
      </w:r>
    </w:p>
    <w:p w14:paraId="55C85790">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However, at times the initiatives announced do not match the actual practice of the brand. In UK, Starbucks corporate tax fraud attracted a lot of scrutiny in 2014 that led to a lot of reputation scrutiny and need of greater transparency by the brand in UK (Campbell and Helleloid, 2016). Furthermore, the brand was accused of green washing by Watchdog group claiming that none of the cups were actually being sent to the recycling facilities as claimed by the organisation (Neus, 2026). For its CSR function to act as the source of the competitive advantage Starbucks need to explicitly link its store level sustainability savings, ethical sourcing credentials and fair treatment to its core ‘Back to Starbucks’ narrative. </w:t>
      </w:r>
    </w:p>
    <w:p w14:paraId="1B0A122A">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Overall, the CSR initiatives of Starbucks are aligned with its business objectives of becoming premier purveyor of the finest coffee in the world. The ethical sourcing, the recycling initiatives and greener storefront initiatives are all linked with ensuring premium experience and ethical conduct that the consumers are looking for. Although challenges exist regarding greenwashing, carbon emissions and increasing stakeholder scrutiny Starbucks has successfully embedded CSR into its core strategy. </w:t>
      </w:r>
    </w:p>
    <w:p w14:paraId="4FC2DAA5">
      <w:pPr>
        <w:pStyle w:val="3"/>
        <w:rPr>
          <w:rFonts w:cs="Arial"/>
          <w:color w:val="000000" w:themeColor="text1"/>
          <w:sz w:val="24"/>
          <w:szCs w:val="24"/>
          <w14:textFill>
            <w14:solidFill>
              <w14:schemeClr w14:val="tx1"/>
            </w14:solidFill>
          </w14:textFill>
        </w:rPr>
      </w:pPr>
      <w:bookmarkStart w:id="8" w:name="_Toc236153239"/>
      <w:r>
        <w:rPr>
          <w:rFonts w:cs="Arial"/>
          <w:color w:val="000000" w:themeColor="text1"/>
          <w:sz w:val="24"/>
          <w:szCs w:val="24"/>
          <w14:textFill>
            <w14:solidFill>
              <w14:schemeClr w14:val="tx1"/>
            </w14:solidFill>
          </w14:textFill>
        </w:rPr>
        <w:t>3.2 Balanced Scorecard (BSC)</w:t>
      </w:r>
      <w:bookmarkEnd w:id="8"/>
    </w:p>
    <w:p w14:paraId="64D5790D">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Many organisations are adopting balanced scorecard to improve their performance. According to Quesado et al. (2018), BSC is an adequate tool to select a balanced set of indicators and objectives that reflect the strategic vision of the organisation, helping the organsiations to meet their stakeholders expectations to articulate and communicate strategic objectives and to evaluate their implementations. BSC has the power to transform the mission and strategic objectives into objectives. A detailed balanced Scorecard for Starbucks UK is discussed below. </w:t>
      </w:r>
    </w:p>
    <w:tbl>
      <w:tblPr>
        <w:tblStyle w:val="23"/>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45"/>
        <w:gridCol w:w="1778"/>
        <w:gridCol w:w="1751"/>
        <w:gridCol w:w="1684"/>
        <w:gridCol w:w="2284"/>
      </w:tblGrid>
      <w:tr w14:paraId="5322A5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6" w:type="pct"/>
            <w:vAlign w:val="center"/>
          </w:tcPr>
          <w:p w14:paraId="22233EF5">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Perspective</w:t>
            </w:r>
          </w:p>
        </w:tc>
        <w:tc>
          <w:tcPr>
            <w:tcW w:w="1054" w:type="pct"/>
            <w:vAlign w:val="center"/>
          </w:tcPr>
          <w:p w14:paraId="3D32EEAF">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Objective</w:t>
            </w:r>
          </w:p>
        </w:tc>
        <w:tc>
          <w:tcPr>
            <w:tcW w:w="965" w:type="pct"/>
            <w:vAlign w:val="center"/>
          </w:tcPr>
          <w:p w14:paraId="65FB7375">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KPIs</w:t>
            </w:r>
          </w:p>
        </w:tc>
        <w:tc>
          <w:tcPr>
            <w:tcW w:w="971" w:type="pct"/>
            <w:vAlign w:val="center"/>
          </w:tcPr>
          <w:p w14:paraId="7A893F12">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Targets</w:t>
            </w:r>
          </w:p>
        </w:tc>
        <w:tc>
          <w:tcPr>
            <w:tcW w:w="974" w:type="pct"/>
            <w:vAlign w:val="center"/>
          </w:tcPr>
          <w:p w14:paraId="7E458122">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Initiatives</w:t>
            </w:r>
          </w:p>
        </w:tc>
      </w:tr>
      <w:tr w14:paraId="028B70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6" w:type="pct"/>
            <w:vMerge w:val="restart"/>
          </w:tcPr>
          <w:p w14:paraId="7328506B">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Financial Perspective</w:t>
            </w:r>
          </w:p>
        </w:tc>
        <w:tc>
          <w:tcPr>
            <w:tcW w:w="1054" w:type="pct"/>
          </w:tcPr>
          <w:p w14:paraId="6CA2103B">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Increase Revenue growth</w:t>
            </w:r>
          </w:p>
        </w:tc>
        <w:tc>
          <w:tcPr>
            <w:tcW w:w="965" w:type="pct"/>
          </w:tcPr>
          <w:p w14:paraId="20558EE9">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Annual growth of revenue percentage</w:t>
            </w:r>
          </w:p>
        </w:tc>
        <w:tc>
          <w:tcPr>
            <w:tcW w:w="971" w:type="pct"/>
          </w:tcPr>
          <w:p w14:paraId="0D5854A4">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8–10% growth annually</w:t>
            </w:r>
          </w:p>
        </w:tc>
        <w:tc>
          <w:tcPr>
            <w:tcW w:w="974" w:type="pct"/>
          </w:tcPr>
          <w:p w14:paraId="01385AAA">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Launch menu items Seasonally.</w:t>
            </w:r>
          </w:p>
          <w:p w14:paraId="10B3E2CF">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Increase Digital Sales.</w:t>
            </w:r>
          </w:p>
        </w:tc>
      </w:tr>
      <w:tr w14:paraId="12A143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6" w:type="pct"/>
            <w:vMerge w:val="continue"/>
          </w:tcPr>
          <w:p w14:paraId="3A5C7327">
            <w:pPr>
              <w:spacing w:after="0"/>
              <w:rPr>
                <w:rFonts w:cs="Arial"/>
                <w:color w:val="000000" w:themeColor="text1"/>
                <w:szCs w:val="24"/>
                <w14:textFill>
                  <w14:solidFill>
                    <w14:schemeClr w14:val="tx1"/>
                  </w14:solidFill>
                </w14:textFill>
              </w:rPr>
            </w:pPr>
          </w:p>
        </w:tc>
        <w:tc>
          <w:tcPr>
            <w:tcW w:w="1054" w:type="pct"/>
          </w:tcPr>
          <w:p w14:paraId="07BA671B">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Imcrease operating Profitability</w:t>
            </w:r>
          </w:p>
        </w:tc>
        <w:tc>
          <w:tcPr>
            <w:tcW w:w="965" w:type="pct"/>
          </w:tcPr>
          <w:p w14:paraId="15122950">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Increase in profit margin percentage</w:t>
            </w:r>
          </w:p>
        </w:tc>
        <w:tc>
          <w:tcPr>
            <w:tcW w:w="971" w:type="pct"/>
          </w:tcPr>
          <w:p w14:paraId="74C7A5DF">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2-3% growth in operating margins</w:t>
            </w:r>
          </w:p>
        </w:tc>
        <w:tc>
          <w:tcPr>
            <w:tcW w:w="974" w:type="pct"/>
          </w:tcPr>
          <w:p w14:paraId="38FC251E">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Ensure Cost Optimisation.</w:t>
            </w:r>
          </w:p>
          <w:p w14:paraId="2A33449D">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Invest in supply chain efficiency. </w:t>
            </w:r>
          </w:p>
        </w:tc>
      </w:tr>
      <w:tr w14:paraId="071B69C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6" w:type="pct"/>
            <w:vMerge w:val="continue"/>
          </w:tcPr>
          <w:p w14:paraId="4FA750CD">
            <w:pPr>
              <w:spacing w:after="0"/>
              <w:rPr>
                <w:rFonts w:cs="Arial"/>
                <w:color w:val="000000" w:themeColor="text1"/>
                <w:szCs w:val="24"/>
                <w14:textFill>
                  <w14:solidFill>
                    <w14:schemeClr w14:val="tx1"/>
                  </w14:solidFill>
                </w14:textFill>
              </w:rPr>
            </w:pPr>
          </w:p>
        </w:tc>
        <w:tc>
          <w:tcPr>
            <w:tcW w:w="1054" w:type="pct"/>
          </w:tcPr>
          <w:p w14:paraId="60D3B75D">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Increase store sales</w:t>
            </w:r>
          </w:p>
        </w:tc>
        <w:tc>
          <w:tcPr>
            <w:tcW w:w="965" w:type="pct"/>
          </w:tcPr>
          <w:p w14:paraId="352E6465">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Comparable growth in store sales</w:t>
            </w:r>
          </w:p>
        </w:tc>
        <w:tc>
          <w:tcPr>
            <w:tcW w:w="971" w:type="pct"/>
          </w:tcPr>
          <w:p w14:paraId="4FCE48F6">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5-7% increase annually</w:t>
            </w:r>
          </w:p>
        </w:tc>
        <w:tc>
          <w:tcPr>
            <w:tcW w:w="974" w:type="pct"/>
          </w:tcPr>
          <w:p w14:paraId="4B1EE1B6">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Launch of seasonal product. </w:t>
            </w:r>
          </w:p>
          <w:p w14:paraId="37D1F024">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Personalised promotions according to the store and location. </w:t>
            </w:r>
          </w:p>
        </w:tc>
      </w:tr>
      <w:tr w14:paraId="00370CB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6" w:type="pct"/>
            <w:vMerge w:val="continue"/>
          </w:tcPr>
          <w:p w14:paraId="41B5CD76">
            <w:pPr>
              <w:spacing w:after="0"/>
              <w:rPr>
                <w:rFonts w:cs="Arial"/>
                <w:color w:val="000000" w:themeColor="text1"/>
                <w:szCs w:val="24"/>
                <w14:textFill>
                  <w14:solidFill>
                    <w14:schemeClr w14:val="tx1"/>
                  </w14:solidFill>
                </w14:textFill>
              </w:rPr>
            </w:pPr>
          </w:p>
        </w:tc>
        <w:tc>
          <w:tcPr>
            <w:tcW w:w="1054" w:type="pct"/>
          </w:tcPr>
          <w:p w14:paraId="7697FD5B">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Increase the spending of the consumers</w:t>
            </w:r>
          </w:p>
        </w:tc>
        <w:tc>
          <w:tcPr>
            <w:tcW w:w="965" w:type="pct"/>
          </w:tcPr>
          <w:p w14:paraId="3FDF95ED">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Average transaction value in (£)</w:t>
            </w:r>
          </w:p>
        </w:tc>
        <w:tc>
          <w:tcPr>
            <w:tcW w:w="971" w:type="pct"/>
          </w:tcPr>
          <w:p w14:paraId="7F878753">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5% increase in average spend. </w:t>
            </w:r>
          </w:p>
        </w:tc>
        <w:tc>
          <w:tcPr>
            <w:tcW w:w="974" w:type="pct"/>
          </w:tcPr>
          <w:p w14:paraId="021EF83A">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Premium personalisation. </w:t>
            </w:r>
          </w:p>
          <w:p w14:paraId="0D5F8061">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Product Bundling. </w:t>
            </w:r>
          </w:p>
        </w:tc>
      </w:tr>
      <w:tr w14:paraId="07094E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6" w:type="pct"/>
            <w:vMerge w:val="continue"/>
          </w:tcPr>
          <w:p w14:paraId="5AF08DBE">
            <w:pPr>
              <w:spacing w:after="0"/>
              <w:rPr>
                <w:rFonts w:cs="Arial"/>
                <w:color w:val="000000" w:themeColor="text1"/>
                <w:szCs w:val="24"/>
                <w14:textFill>
                  <w14:solidFill>
                    <w14:schemeClr w14:val="tx1"/>
                  </w14:solidFill>
                </w14:textFill>
              </w:rPr>
            </w:pPr>
          </w:p>
        </w:tc>
        <w:tc>
          <w:tcPr>
            <w:tcW w:w="1054" w:type="pct"/>
          </w:tcPr>
          <w:p w14:paraId="597A9F1F">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Improve revenue from digital platforms</w:t>
            </w:r>
          </w:p>
        </w:tc>
        <w:tc>
          <w:tcPr>
            <w:tcW w:w="965" w:type="pct"/>
          </w:tcPr>
          <w:p w14:paraId="50373C1B">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Mobile app sales percentage</w:t>
            </w:r>
          </w:p>
        </w:tc>
        <w:tc>
          <w:tcPr>
            <w:tcW w:w="971" w:type="pct"/>
          </w:tcPr>
          <w:p w14:paraId="7209BB76">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10% growth in digital sales</w:t>
            </w:r>
          </w:p>
        </w:tc>
        <w:tc>
          <w:tcPr>
            <w:tcW w:w="974" w:type="pct"/>
          </w:tcPr>
          <w:p w14:paraId="7A698E08">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Promotion of mobile ordering. Associate Starbucks rewards with mobile orders. </w:t>
            </w:r>
          </w:p>
        </w:tc>
      </w:tr>
      <w:tr w14:paraId="741978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6" w:type="pct"/>
            <w:vMerge w:val="restart"/>
          </w:tcPr>
          <w:p w14:paraId="0B0FA053">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Customer Perspective </w:t>
            </w:r>
          </w:p>
        </w:tc>
        <w:tc>
          <w:tcPr>
            <w:tcW w:w="1054" w:type="pct"/>
          </w:tcPr>
          <w:p w14:paraId="71864A85">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Increase customer Satisfaction</w:t>
            </w:r>
          </w:p>
        </w:tc>
        <w:tc>
          <w:tcPr>
            <w:tcW w:w="965" w:type="pct"/>
          </w:tcPr>
          <w:p w14:paraId="47E5BD43">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Customer satisfaction score</w:t>
            </w:r>
          </w:p>
        </w:tc>
        <w:tc>
          <w:tcPr>
            <w:tcW w:w="971" w:type="pct"/>
          </w:tcPr>
          <w:p w14:paraId="539A9160">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&gt;90% score</w:t>
            </w:r>
          </w:p>
        </w:tc>
        <w:tc>
          <w:tcPr>
            <w:tcW w:w="974" w:type="pct"/>
          </w:tcPr>
          <w:p w14:paraId="1F9915CD">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Faster service.</w:t>
            </w:r>
          </w:p>
          <w:p w14:paraId="6BC7E823">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Improved quality of beverages. </w:t>
            </w:r>
          </w:p>
        </w:tc>
      </w:tr>
      <w:tr w14:paraId="322005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6" w:type="pct"/>
            <w:vMerge w:val="continue"/>
          </w:tcPr>
          <w:p w14:paraId="10410FDD">
            <w:pPr>
              <w:spacing w:after="0"/>
              <w:rPr>
                <w:rFonts w:cs="Arial"/>
                <w:color w:val="000000" w:themeColor="text1"/>
                <w:szCs w:val="24"/>
                <w14:textFill>
                  <w14:solidFill>
                    <w14:schemeClr w14:val="tx1"/>
                  </w14:solidFill>
                </w14:textFill>
              </w:rPr>
            </w:pPr>
          </w:p>
        </w:tc>
        <w:tc>
          <w:tcPr>
            <w:tcW w:w="1054" w:type="pct"/>
          </w:tcPr>
          <w:p w14:paraId="2B0A5D30">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Improve customer loyalty</w:t>
            </w:r>
          </w:p>
        </w:tc>
        <w:tc>
          <w:tcPr>
            <w:tcW w:w="965" w:type="pct"/>
          </w:tcPr>
          <w:p w14:paraId="47A5D45A">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Active members of Starbucks rewards</w:t>
            </w:r>
          </w:p>
        </w:tc>
        <w:tc>
          <w:tcPr>
            <w:tcW w:w="971" w:type="pct"/>
          </w:tcPr>
          <w:p w14:paraId="3FD05956">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10% growth in annual membership</w:t>
            </w:r>
          </w:p>
        </w:tc>
        <w:tc>
          <w:tcPr>
            <w:tcW w:w="974" w:type="pct"/>
          </w:tcPr>
          <w:p w14:paraId="62C8588C">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Personalised rewards. </w:t>
            </w:r>
          </w:p>
          <w:p w14:paraId="37000D83">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Exclusive Promotions. </w:t>
            </w:r>
          </w:p>
        </w:tc>
      </w:tr>
      <w:tr w14:paraId="0C2AE7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6" w:type="pct"/>
            <w:vMerge w:val="continue"/>
          </w:tcPr>
          <w:p w14:paraId="116DE1A5">
            <w:pPr>
              <w:spacing w:after="0"/>
              <w:rPr>
                <w:rFonts w:cs="Arial"/>
                <w:color w:val="000000" w:themeColor="text1"/>
                <w:szCs w:val="24"/>
                <w14:textFill>
                  <w14:solidFill>
                    <w14:schemeClr w14:val="tx1"/>
                  </w14:solidFill>
                </w14:textFill>
              </w:rPr>
            </w:pPr>
          </w:p>
        </w:tc>
        <w:tc>
          <w:tcPr>
            <w:tcW w:w="1054" w:type="pct"/>
          </w:tcPr>
          <w:p w14:paraId="3F763355">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Improve the advocacy amongst customers</w:t>
            </w:r>
          </w:p>
        </w:tc>
        <w:tc>
          <w:tcPr>
            <w:tcW w:w="965" w:type="pct"/>
          </w:tcPr>
          <w:p w14:paraId="349C2D27">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Net Promoter Score </w:t>
            </w:r>
          </w:p>
        </w:tc>
        <w:tc>
          <w:tcPr>
            <w:tcW w:w="971" w:type="pct"/>
          </w:tcPr>
          <w:p w14:paraId="667D12DF">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NPS&gt;75</w:t>
            </w:r>
          </w:p>
        </w:tc>
        <w:tc>
          <w:tcPr>
            <w:tcW w:w="974" w:type="pct"/>
          </w:tcPr>
          <w:p w14:paraId="0BA63268">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Enhance personal experience. </w:t>
            </w:r>
          </w:p>
          <w:p w14:paraId="1681537C">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Ensure service consistency.</w:t>
            </w:r>
          </w:p>
          <w:p w14:paraId="6749EFD1">
            <w:pPr>
              <w:spacing w:after="0"/>
              <w:rPr>
                <w:rFonts w:cs="Arial"/>
                <w:color w:val="000000" w:themeColor="text1"/>
                <w:szCs w:val="24"/>
                <w14:textFill>
                  <w14:solidFill>
                    <w14:schemeClr w14:val="tx1"/>
                  </w14:solidFill>
                </w14:textFill>
              </w:rPr>
            </w:pPr>
          </w:p>
        </w:tc>
      </w:tr>
      <w:tr w14:paraId="229F366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6" w:type="pct"/>
            <w:vMerge w:val="continue"/>
          </w:tcPr>
          <w:p w14:paraId="65106F13">
            <w:pPr>
              <w:spacing w:after="0"/>
              <w:rPr>
                <w:rFonts w:cs="Arial"/>
                <w:color w:val="000000" w:themeColor="text1"/>
                <w:szCs w:val="24"/>
                <w14:textFill>
                  <w14:solidFill>
                    <w14:schemeClr w14:val="tx1"/>
                  </w14:solidFill>
                </w14:textFill>
              </w:rPr>
            </w:pPr>
          </w:p>
        </w:tc>
        <w:tc>
          <w:tcPr>
            <w:tcW w:w="1054" w:type="pct"/>
          </w:tcPr>
          <w:p w14:paraId="42820F08">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Improve the digital engagement</w:t>
            </w:r>
          </w:p>
        </w:tc>
        <w:tc>
          <w:tcPr>
            <w:tcW w:w="965" w:type="pct"/>
          </w:tcPr>
          <w:p w14:paraId="12878BA9">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Increase in mobile app usage</w:t>
            </w:r>
          </w:p>
        </w:tc>
        <w:tc>
          <w:tcPr>
            <w:tcW w:w="971" w:type="pct"/>
          </w:tcPr>
          <w:p w14:paraId="75059F7E">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10% enhancement</w:t>
            </w:r>
          </w:p>
        </w:tc>
        <w:tc>
          <w:tcPr>
            <w:tcW w:w="974" w:type="pct"/>
          </w:tcPr>
          <w:p w14:paraId="6446160A">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AI powered recommendations.</w:t>
            </w:r>
          </w:p>
          <w:p w14:paraId="73C4A174">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Service Recommendations.</w:t>
            </w:r>
          </w:p>
        </w:tc>
      </w:tr>
      <w:tr w14:paraId="290A75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6" w:type="pct"/>
            <w:vMerge w:val="continue"/>
          </w:tcPr>
          <w:p w14:paraId="50F5EAD3">
            <w:pPr>
              <w:spacing w:after="0"/>
              <w:rPr>
                <w:rFonts w:cs="Arial"/>
                <w:color w:val="000000" w:themeColor="text1"/>
                <w:szCs w:val="24"/>
                <w14:textFill>
                  <w14:solidFill>
                    <w14:schemeClr w14:val="tx1"/>
                  </w14:solidFill>
                </w14:textFill>
              </w:rPr>
            </w:pPr>
          </w:p>
        </w:tc>
        <w:tc>
          <w:tcPr>
            <w:tcW w:w="1054" w:type="pct"/>
          </w:tcPr>
          <w:p w14:paraId="053E745A">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Enhance customer retention</w:t>
            </w:r>
          </w:p>
        </w:tc>
        <w:tc>
          <w:tcPr>
            <w:tcW w:w="965" w:type="pct"/>
          </w:tcPr>
          <w:p w14:paraId="4802500D">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Percentage of repeat purchase</w:t>
            </w:r>
          </w:p>
        </w:tc>
        <w:tc>
          <w:tcPr>
            <w:tcW w:w="971" w:type="pct"/>
          </w:tcPr>
          <w:p w14:paraId="1BC5D4C6">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&gt;85% repeat customer</w:t>
            </w:r>
          </w:p>
        </w:tc>
        <w:tc>
          <w:tcPr>
            <w:tcW w:w="974" w:type="pct"/>
          </w:tcPr>
          <w:p w14:paraId="3A529831">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Loyalty programmes.</w:t>
            </w:r>
          </w:p>
          <w:p w14:paraId="0F805F70">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Personalised Offers. </w:t>
            </w:r>
          </w:p>
        </w:tc>
      </w:tr>
      <w:tr w14:paraId="7B5E03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6" w:type="pct"/>
            <w:vMerge w:val="restart"/>
          </w:tcPr>
          <w:p w14:paraId="1143D1E3">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Internal Business Process Perspectives</w:t>
            </w:r>
          </w:p>
        </w:tc>
        <w:tc>
          <w:tcPr>
            <w:tcW w:w="1054" w:type="pct"/>
          </w:tcPr>
          <w:p w14:paraId="71D7B80B">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Improve service efficiency</w:t>
            </w:r>
          </w:p>
        </w:tc>
        <w:tc>
          <w:tcPr>
            <w:tcW w:w="965" w:type="pct"/>
          </w:tcPr>
          <w:p w14:paraId="7BBC823E">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Time for fulfilling average order</w:t>
            </w:r>
          </w:p>
        </w:tc>
        <w:tc>
          <w:tcPr>
            <w:tcW w:w="971" w:type="pct"/>
          </w:tcPr>
          <w:p w14:paraId="09DD754B">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&lt;5 minutes for each order</w:t>
            </w:r>
          </w:p>
        </w:tc>
        <w:tc>
          <w:tcPr>
            <w:tcW w:w="974" w:type="pct"/>
          </w:tcPr>
          <w:p w14:paraId="62FF6708">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Mobile ordering.</w:t>
            </w:r>
          </w:p>
          <w:p w14:paraId="0FE97FF6">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Optimisation of workflow.</w:t>
            </w:r>
          </w:p>
        </w:tc>
      </w:tr>
      <w:tr w14:paraId="1B41FC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6" w:type="pct"/>
            <w:vMerge w:val="continue"/>
          </w:tcPr>
          <w:p w14:paraId="60B382BD">
            <w:pPr>
              <w:spacing w:after="0"/>
              <w:rPr>
                <w:rFonts w:cs="Arial"/>
                <w:color w:val="000000" w:themeColor="text1"/>
                <w:szCs w:val="24"/>
                <w14:textFill>
                  <w14:solidFill>
                    <w14:schemeClr w14:val="tx1"/>
                  </w14:solidFill>
                </w14:textFill>
              </w:rPr>
            </w:pPr>
          </w:p>
        </w:tc>
        <w:tc>
          <w:tcPr>
            <w:tcW w:w="1054" w:type="pct"/>
          </w:tcPr>
          <w:p w14:paraId="61AB6DFE">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Enhance the operation quality</w:t>
            </w:r>
          </w:p>
        </w:tc>
        <w:tc>
          <w:tcPr>
            <w:tcW w:w="965" w:type="pct"/>
          </w:tcPr>
          <w:p w14:paraId="08A7813E">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Order accuracy percentage</w:t>
            </w:r>
          </w:p>
        </w:tc>
        <w:tc>
          <w:tcPr>
            <w:tcW w:w="971" w:type="pct"/>
          </w:tcPr>
          <w:p w14:paraId="1D15E471">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&gt;95% accuracy</w:t>
            </w:r>
          </w:p>
        </w:tc>
        <w:tc>
          <w:tcPr>
            <w:tcW w:w="974" w:type="pct"/>
          </w:tcPr>
          <w:p w14:paraId="73C746CC">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Impart employee training.</w:t>
            </w:r>
          </w:p>
          <w:p w14:paraId="6BE99060">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Digital order verification.</w:t>
            </w:r>
          </w:p>
        </w:tc>
      </w:tr>
      <w:tr w14:paraId="22E839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6" w:type="pct"/>
            <w:vMerge w:val="continue"/>
          </w:tcPr>
          <w:p w14:paraId="4D75FA23">
            <w:pPr>
              <w:spacing w:after="0"/>
              <w:rPr>
                <w:rFonts w:cs="Arial"/>
                <w:color w:val="000000" w:themeColor="text1"/>
                <w:szCs w:val="24"/>
                <w14:textFill>
                  <w14:solidFill>
                    <w14:schemeClr w14:val="tx1"/>
                  </w14:solidFill>
                </w14:textFill>
              </w:rPr>
            </w:pPr>
          </w:p>
        </w:tc>
        <w:tc>
          <w:tcPr>
            <w:tcW w:w="1054" w:type="pct"/>
          </w:tcPr>
          <w:p w14:paraId="4209EBFA">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Reduce the wastage</w:t>
            </w:r>
          </w:p>
        </w:tc>
        <w:tc>
          <w:tcPr>
            <w:tcW w:w="965" w:type="pct"/>
          </w:tcPr>
          <w:p w14:paraId="11AEB8CE">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Food waste percentage</w:t>
            </w:r>
          </w:p>
        </w:tc>
        <w:tc>
          <w:tcPr>
            <w:tcW w:w="971" w:type="pct"/>
          </w:tcPr>
          <w:p w14:paraId="76F46849">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20% reduction in waste</w:t>
            </w:r>
          </w:p>
        </w:tc>
        <w:tc>
          <w:tcPr>
            <w:tcW w:w="974" w:type="pct"/>
          </w:tcPr>
          <w:p w14:paraId="1951B43B">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AI demand forecasting.</w:t>
            </w:r>
          </w:p>
        </w:tc>
      </w:tr>
      <w:tr w14:paraId="66B528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6" w:type="pct"/>
            <w:vMerge w:val="continue"/>
          </w:tcPr>
          <w:p w14:paraId="41F4FD17">
            <w:pPr>
              <w:spacing w:after="0"/>
              <w:rPr>
                <w:rFonts w:cs="Arial"/>
                <w:color w:val="000000" w:themeColor="text1"/>
                <w:szCs w:val="24"/>
                <w14:textFill>
                  <w14:solidFill>
                    <w14:schemeClr w14:val="tx1"/>
                  </w14:solidFill>
                </w14:textFill>
              </w:rPr>
            </w:pPr>
          </w:p>
        </w:tc>
        <w:tc>
          <w:tcPr>
            <w:tcW w:w="1054" w:type="pct"/>
          </w:tcPr>
          <w:p w14:paraId="6E9E2289">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Improve the resilience of Supply chain</w:t>
            </w:r>
          </w:p>
        </w:tc>
        <w:tc>
          <w:tcPr>
            <w:tcW w:w="965" w:type="pct"/>
          </w:tcPr>
          <w:p w14:paraId="439FD10A">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Supplier compliance rate</w:t>
            </w:r>
          </w:p>
        </w:tc>
        <w:tc>
          <w:tcPr>
            <w:tcW w:w="971" w:type="pct"/>
          </w:tcPr>
          <w:p w14:paraId="65233C6E">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100% C.A.F.E practice </w:t>
            </w:r>
          </w:p>
        </w:tc>
        <w:tc>
          <w:tcPr>
            <w:tcW w:w="974" w:type="pct"/>
          </w:tcPr>
          <w:p w14:paraId="13D232F6">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Audits of ethical sourcing.</w:t>
            </w:r>
          </w:p>
        </w:tc>
      </w:tr>
      <w:tr w14:paraId="237B99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6" w:type="pct"/>
            <w:vMerge w:val="restart"/>
          </w:tcPr>
          <w:p w14:paraId="4A439222">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Learning and Growth Perspective</w:t>
            </w:r>
          </w:p>
        </w:tc>
        <w:tc>
          <w:tcPr>
            <w:tcW w:w="1054" w:type="pct"/>
          </w:tcPr>
          <w:p w14:paraId="1D49F5BC">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Improve the employee engagement</w:t>
            </w:r>
          </w:p>
        </w:tc>
        <w:tc>
          <w:tcPr>
            <w:tcW w:w="965" w:type="pct"/>
          </w:tcPr>
          <w:p w14:paraId="3965021E">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Employee engagement score</w:t>
            </w:r>
          </w:p>
        </w:tc>
        <w:tc>
          <w:tcPr>
            <w:tcW w:w="971" w:type="pct"/>
          </w:tcPr>
          <w:p w14:paraId="730F040C">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&gt;85% engagement score</w:t>
            </w:r>
          </w:p>
        </w:tc>
        <w:tc>
          <w:tcPr>
            <w:tcW w:w="974" w:type="pct"/>
          </w:tcPr>
          <w:p w14:paraId="221B47AF">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Employee wellbeing programme.</w:t>
            </w:r>
          </w:p>
        </w:tc>
      </w:tr>
      <w:tr w14:paraId="453D07B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6" w:type="pct"/>
            <w:vMerge w:val="continue"/>
          </w:tcPr>
          <w:p w14:paraId="57B49575">
            <w:pPr>
              <w:spacing w:after="0"/>
              <w:rPr>
                <w:rFonts w:cs="Arial"/>
                <w:color w:val="000000" w:themeColor="text1"/>
                <w:szCs w:val="24"/>
                <w14:textFill>
                  <w14:solidFill>
                    <w14:schemeClr w14:val="tx1"/>
                  </w14:solidFill>
                </w14:textFill>
              </w:rPr>
            </w:pPr>
          </w:p>
        </w:tc>
        <w:tc>
          <w:tcPr>
            <w:tcW w:w="1054" w:type="pct"/>
          </w:tcPr>
          <w:p w14:paraId="45D680B8">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Minimise employee turnover</w:t>
            </w:r>
          </w:p>
        </w:tc>
        <w:tc>
          <w:tcPr>
            <w:tcW w:w="965" w:type="pct"/>
          </w:tcPr>
          <w:p w14:paraId="5114FD2B">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Staff Turnover rate</w:t>
            </w:r>
          </w:p>
        </w:tc>
        <w:tc>
          <w:tcPr>
            <w:tcW w:w="971" w:type="pct"/>
          </w:tcPr>
          <w:p w14:paraId="2D412ACC">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Reduce turnover below industry average</w:t>
            </w:r>
          </w:p>
        </w:tc>
        <w:tc>
          <w:tcPr>
            <w:tcW w:w="974" w:type="pct"/>
          </w:tcPr>
          <w:p w14:paraId="0313D084">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Offering benefits. </w:t>
            </w:r>
          </w:p>
          <w:p w14:paraId="38139539">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Career development plan. </w:t>
            </w:r>
          </w:p>
        </w:tc>
      </w:tr>
      <w:tr w14:paraId="1063B7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6" w:type="pct"/>
            <w:vMerge w:val="continue"/>
          </w:tcPr>
          <w:p w14:paraId="515F166F">
            <w:pPr>
              <w:spacing w:after="0"/>
              <w:rPr>
                <w:rFonts w:cs="Arial"/>
                <w:color w:val="000000" w:themeColor="text1"/>
                <w:szCs w:val="24"/>
                <w14:textFill>
                  <w14:solidFill>
                    <w14:schemeClr w14:val="tx1"/>
                  </w14:solidFill>
                </w14:textFill>
              </w:rPr>
            </w:pPr>
          </w:p>
        </w:tc>
        <w:tc>
          <w:tcPr>
            <w:tcW w:w="1054" w:type="pct"/>
          </w:tcPr>
          <w:p w14:paraId="47EC7751">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Enhance leadership capability</w:t>
            </w:r>
          </w:p>
        </w:tc>
        <w:tc>
          <w:tcPr>
            <w:tcW w:w="965" w:type="pct"/>
          </w:tcPr>
          <w:p w14:paraId="55AA33D8">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Rate of internal promotion</w:t>
            </w:r>
          </w:p>
        </w:tc>
        <w:tc>
          <w:tcPr>
            <w:tcW w:w="971" w:type="pct"/>
          </w:tcPr>
          <w:p w14:paraId="7D93C200">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&gt;50% internal promotions</w:t>
            </w:r>
          </w:p>
        </w:tc>
        <w:tc>
          <w:tcPr>
            <w:tcW w:w="974" w:type="pct"/>
          </w:tcPr>
          <w:p w14:paraId="288686B8">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Leadership Development programme</w:t>
            </w:r>
          </w:p>
        </w:tc>
      </w:tr>
      <w:tr w14:paraId="63FB5F4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6" w:type="pct"/>
            <w:vMerge w:val="continue"/>
          </w:tcPr>
          <w:p w14:paraId="5C776442">
            <w:pPr>
              <w:spacing w:after="0"/>
              <w:rPr>
                <w:rFonts w:cs="Arial"/>
                <w:color w:val="000000" w:themeColor="text1"/>
                <w:szCs w:val="24"/>
                <w14:textFill>
                  <w14:solidFill>
                    <w14:schemeClr w14:val="tx1"/>
                  </w14:solidFill>
                </w14:textFill>
              </w:rPr>
            </w:pPr>
          </w:p>
        </w:tc>
        <w:tc>
          <w:tcPr>
            <w:tcW w:w="1054" w:type="pct"/>
          </w:tcPr>
          <w:p w14:paraId="6B4E1E2D">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Promote diversity and inclusion</w:t>
            </w:r>
          </w:p>
        </w:tc>
        <w:tc>
          <w:tcPr>
            <w:tcW w:w="965" w:type="pct"/>
          </w:tcPr>
          <w:p w14:paraId="2EE89B43">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Diversity representation in percentage</w:t>
            </w:r>
          </w:p>
        </w:tc>
        <w:tc>
          <w:tcPr>
            <w:tcW w:w="971" w:type="pct"/>
          </w:tcPr>
          <w:p w14:paraId="62B5C3A7">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40% represenation of either gender. </w:t>
            </w:r>
          </w:p>
          <w:p w14:paraId="2C991702">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20% LGBTQ</w:t>
            </w:r>
          </w:p>
        </w:tc>
        <w:tc>
          <w:tcPr>
            <w:tcW w:w="974" w:type="pct"/>
          </w:tcPr>
          <w:p w14:paraId="08146E03">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Inclusive recruitment and mentoring</w:t>
            </w:r>
          </w:p>
        </w:tc>
      </w:tr>
      <w:tr w14:paraId="44F618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6" w:type="pct"/>
            <w:vMerge w:val="continue"/>
          </w:tcPr>
          <w:p w14:paraId="3D824683">
            <w:pPr>
              <w:spacing w:after="0"/>
              <w:rPr>
                <w:rFonts w:cs="Arial"/>
                <w:color w:val="000000" w:themeColor="text1"/>
                <w:szCs w:val="24"/>
                <w14:textFill>
                  <w14:solidFill>
                    <w14:schemeClr w14:val="tx1"/>
                  </w14:solidFill>
                </w14:textFill>
              </w:rPr>
            </w:pPr>
          </w:p>
        </w:tc>
        <w:tc>
          <w:tcPr>
            <w:tcW w:w="1054" w:type="pct"/>
          </w:tcPr>
          <w:p w14:paraId="49D7D9C5">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Enhance digital capability. </w:t>
            </w:r>
          </w:p>
        </w:tc>
        <w:tc>
          <w:tcPr>
            <w:tcW w:w="965" w:type="pct"/>
          </w:tcPr>
          <w:p w14:paraId="78CA2DA9">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Employee digital competency score</w:t>
            </w:r>
          </w:p>
        </w:tc>
        <w:tc>
          <w:tcPr>
            <w:tcW w:w="971" w:type="pct"/>
          </w:tcPr>
          <w:p w14:paraId="7F469717">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&gt;70% employees digitally trained.</w:t>
            </w:r>
          </w:p>
        </w:tc>
        <w:tc>
          <w:tcPr>
            <w:tcW w:w="974" w:type="pct"/>
          </w:tcPr>
          <w:p w14:paraId="6D2C0D32">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Digital Skill training. </w:t>
            </w:r>
          </w:p>
          <w:p w14:paraId="521F405F">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AI literacy programme.  </w:t>
            </w:r>
          </w:p>
        </w:tc>
      </w:tr>
    </w:tbl>
    <w:p w14:paraId="5FDF79F4">
      <w:pPr>
        <w:jc w:val="cente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Table 3. balance Scorecard for Starbucks UK. Source (Author)</w:t>
      </w:r>
    </w:p>
    <w:p w14:paraId="3EB5734E">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The BSC discussed above showcases the initiatives that the brand can take to accomplish its objective of becoming the world’s choice as the place for coffee. However, the organisation should focus on refining its BSC by incorporating environmental and social indicators as well such as carbon emission, reusable cup adoption, and better ethical sourcing performance. The BSC offers a more comprehensive performance management framework to Starbucks UK that aligns the operational activities with mission, strategic objectives and long-term competitive advantage. </w:t>
      </w:r>
    </w:p>
    <w:p w14:paraId="05E115A2">
      <w:pPr>
        <w:pStyle w:val="2"/>
        <w:rPr>
          <w:rFonts w:cs="Arial"/>
          <w:color w:val="000000" w:themeColor="text1"/>
          <w:sz w:val="24"/>
          <w:szCs w:val="24"/>
          <w14:textFill>
            <w14:solidFill>
              <w14:schemeClr w14:val="tx1"/>
            </w14:solidFill>
          </w14:textFill>
        </w:rPr>
      </w:pPr>
      <w:bookmarkStart w:id="9" w:name="_Toc236153240"/>
      <w:r>
        <w:rPr>
          <w:rFonts w:cs="Arial"/>
          <w:color w:val="000000" w:themeColor="text1"/>
          <w:sz w:val="24"/>
          <w:szCs w:val="24"/>
          <w14:textFill>
            <w14:solidFill>
              <w14:schemeClr w14:val="tx1"/>
            </w14:solidFill>
          </w14:textFill>
        </w:rPr>
        <w:t>4. Strategic Choices and Implementation</w:t>
      </w:r>
      <w:bookmarkEnd w:id="9"/>
    </w:p>
    <w:p w14:paraId="190FF815">
      <w:pPr>
        <w:pStyle w:val="3"/>
        <w:rPr>
          <w:rFonts w:cs="Arial"/>
          <w:color w:val="000000" w:themeColor="text1"/>
          <w:sz w:val="24"/>
          <w:szCs w:val="24"/>
          <w14:textFill>
            <w14:solidFill>
              <w14:schemeClr w14:val="tx1"/>
            </w14:solidFill>
          </w14:textFill>
        </w:rPr>
      </w:pPr>
      <w:bookmarkStart w:id="10" w:name="_Toc236153241"/>
      <w:r>
        <w:rPr>
          <w:rFonts w:cs="Arial"/>
          <w:color w:val="000000" w:themeColor="text1"/>
          <w:sz w:val="24"/>
          <w:szCs w:val="24"/>
          <w14:textFill>
            <w14:solidFill>
              <w14:schemeClr w14:val="tx1"/>
            </w14:solidFill>
          </w14:textFill>
        </w:rPr>
        <w:t>4.1 Business-Level Strategic Choices</w:t>
      </w:r>
      <w:bookmarkEnd w:id="10"/>
    </w:p>
    <w:p w14:paraId="101646D7">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At the business level Porter has given generic strategic framework that has identified broad options that the organisations should choose including  cost leadership, differentiation, and focus (Islami et al., 2020). In the cost leadership strategy, the firms minimise the overall cumulative costs of their overall value chain activities compared to their key competitors (Marfo-Yiadom et al., 2025). Starbucks have benefitted from economies of scale, operational efficiency and tight cost control. However, the brand has positioned itself as a premium brand. The consumers associate the brand with superior coffee quality, personalised beverages, store ambience and customer experience rather than low prices. Therefore, cost leadership is not the right strategic choice for Starbucks UK. </w:t>
      </w:r>
    </w:p>
    <w:p w14:paraId="0C6CB3F4">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In the focus strategy the firm targets niche market that is often overlooked by other competing firms in the broad markets and either focus on exploiting the benefits of a low-cost strategy and differentiation strategy (Marfo-Yiadom, et al., 2025). Since, Starbucks primarily serves urban professional, students and other premium coffee users. However, its national presence across the country showcases that the brand does not want to serve any niche consumers. In the differentiation strategy the firms the firms carefully studies buyer needs and behaviour, values and willingness to pay for a unique products and services. Differentiation strategy focuses on incorporating features that both appeal to buyers and create sustainably distinctive products offerings (Marfo-Yiadom, et al., 2025). Starbucks should adopt differentiation strategy; competing on experience, brand, consistency, and digital convenience rather than the prices. </w:t>
      </w:r>
    </w:p>
    <w:p w14:paraId="6B3439F9">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The brand can reinvest in staffing level, ambience of its cafés, order fulfilment speed, and menu innovation. This strategy combines offering premium product differentiation using artificial intelligence and personalisation, digital customer engagement, and environmentally sustainable operations. </w:t>
      </w:r>
    </w:p>
    <w:p w14:paraId="041390B7">
      <w:pPr>
        <w:pStyle w:val="3"/>
        <w:rPr>
          <w:rFonts w:cs="Arial"/>
          <w:color w:val="000000" w:themeColor="text1"/>
          <w:sz w:val="24"/>
          <w:szCs w:val="24"/>
          <w14:textFill>
            <w14:solidFill>
              <w14:schemeClr w14:val="tx1"/>
            </w14:solidFill>
          </w14:textFill>
        </w:rPr>
      </w:pPr>
      <w:bookmarkStart w:id="11" w:name="_Toc236153242"/>
      <w:r>
        <w:rPr>
          <w:rFonts w:cs="Arial"/>
          <w:color w:val="000000" w:themeColor="text1"/>
          <w:sz w:val="24"/>
          <w:szCs w:val="24"/>
          <w14:textFill>
            <w14:solidFill>
              <w14:schemeClr w14:val="tx1"/>
            </w14:solidFill>
          </w14:textFill>
        </w:rPr>
        <w:t>4.2 Validation of the Strategy</w:t>
      </w:r>
      <w:bookmarkEnd w:id="11"/>
    </w:p>
    <w:p w14:paraId="73ED1CFE">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Porter’s five forces model will help in understanding why differentiation instead of cost leadership is a better option for Starbucks instead of cost leadership. According to Pangarkar and Prabhudesai (2024), Porter’s five forces model offers an integrated view of external environment that goes beyond the existing competition in the industry. The threat of new enterants in UK market is moderate as the capital required for capturing the key coffee sites in UK is very high. However, brands such as Black Sheep Coffee, Blank Street etc have entered the market by keeping smaller shop front and franchise light model and they are scaling fast (Charles, 2025). Due to its strong supplier network, C.A.F.E model and relationship building the bragaining power of suppliers is moderate for Starbucks in UK market. However, the UK buyers experience low switiching cost between cofee chains and increasing comparable cost and quality. Furthermore, substitues such as tea are low cost options for the consumers. Starbucks needs to differentiate itself from the competitors as the competitive rivalry is very high in the UK market. (Statista Research Department, 2026). The market currently is led by Costa Coffee and , Caffè Nero, Pret and fast-growing challengers such as black Sheep Coffee are already in the market. </w:t>
      </w:r>
    </w:p>
    <w:p w14:paraId="54547F68">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With strong buyer powers, substitutes and intense competition Starbucks cannot rely on the structural market power, and differentiation offers the biggest protection to the brand. </w:t>
      </w:r>
    </w:p>
    <w:p w14:paraId="6A4C2A72">
      <w:pPr>
        <w:pStyle w:val="3"/>
        <w:rPr>
          <w:rFonts w:cs="Arial"/>
          <w:color w:val="000000" w:themeColor="text1"/>
          <w:sz w:val="24"/>
          <w:szCs w:val="24"/>
          <w14:textFill>
            <w14:solidFill>
              <w14:schemeClr w14:val="tx1"/>
            </w14:solidFill>
          </w14:textFill>
        </w:rPr>
      </w:pPr>
      <w:bookmarkStart w:id="12" w:name="_Toc236153243"/>
      <w:r>
        <w:rPr>
          <w:rFonts w:cs="Arial"/>
          <w:color w:val="000000" w:themeColor="text1"/>
          <w:sz w:val="24"/>
          <w:szCs w:val="24"/>
          <w14:textFill>
            <w14:solidFill>
              <w14:schemeClr w14:val="tx1"/>
            </w14:solidFill>
          </w14:textFill>
        </w:rPr>
        <w:t>4.3 Recommended Strategy and Expected Performance Outcomes</w:t>
      </w:r>
      <w:bookmarkEnd w:id="12"/>
    </w:p>
    <w:p w14:paraId="5AA5E071">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Based on the analysis above the strategy recommended for Starbucks is Differentiation strategy. The organisation can accomplish the same by 1. Investing in maintaining the premium in store experience, and service speed under ‘Back to Starbucks’ initiatives, 2. Expanding the regional licensee model which realigns the incentives between Starbucks and UK licensees to ensure more disciplined and locally responsive store growth (Starbucks EMEA, 2026b). This will help in targeting the identified weaknesses and threats to the brand in UK including inconsistent experience and the threat of intensifying rivalry. </w:t>
      </w:r>
    </w:p>
    <w:p w14:paraId="16EC3DB5">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When executed effectively this strategy will help in enhancing the competitive advantage and performance of Starbucks. First, it offers a new sustainable competitive advantage that is </w:t>
      </w:r>
      <w:r>
        <w:rPr>
          <w:rFonts w:cs="Arial"/>
          <w:b/>
          <w:bCs/>
          <w:color w:val="000000" w:themeColor="text1"/>
          <w:szCs w:val="24"/>
          <w14:textFill>
            <w14:solidFill>
              <w14:schemeClr w14:val="tx1"/>
            </w14:solidFill>
          </w14:textFill>
        </w:rPr>
        <w:t>differentiated in store experience</w:t>
      </w:r>
      <w:r>
        <w:rPr>
          <w:rFonts w:cs="Arial"/>
          <w:color w:val="000000" w:themeColor="text1"/>
          <w:szCs w:val="24"/>
          <w14:textFill>
            <w14:solidFill>
              <w14:schemeClr w14:val="tx1"/>
            </w14:solidFill>
          </w14:textFill>
        </w:rPr>
        <w:t xml:space="preserve">  which might be difficult for the value oriented or the price-based competitors of the brand to replicate. This differentiation strategy will lead to increased loyalty and enhance the switching cost for the consumers (Tojiri, 2023). Finally, the use of greener stores as a sustainability cost initiative can offer better reputation, help in cutting costs and lead to better operating costs for the organisations. </w:t>
      </w:r>
    </w:p>
    <w:p w14:paraId="1A86B69B">
      <w:pPr>
        <w:pStyle w:val="3"/>
        <w:rPr>
          <w:rFonts w:cs="Arial"/>
          <w:color w:val="000000" w:themeColor="text1"/>
          <w:sz w:val="24"/>
          <w:szCs w:val="24"/>
          <w14:textFill>
            <w14:solidFill>
              <w14:schemeClr w14:val="tx1"/>
            </w14:solidFill>
          </w14:textFill>
        </w:rPr>
      </w:pPr>
      <w:bookmarkStart w:id="13" w:name="_Toc236153244"/>
      <w:r>
        <w:rPr>
          <w:rFonts w:cs="Arial"/>
          <w:color w:val="000000" w:themeColor="text1"/>
          <w:sz w:val="24"/>
          <w:szCs w:val="24"/>
          <w14:textFill>
            <w14:solidFill>
              <w14:schemeClr w14:val="tx1"/>
            </w14:solidFill>
          </w14:textFill>
        </w:rPr>
        <w:t>4.2 Challenges</w:t>
      </w:r>
      <w:bookmarkEnd w:id="13"/>
    </w:p>
    <w:p w14:paraId="40B0D2E8">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The first challenge in implementation of this strategy is the cost of reinvestment when the brand is already facing margin pressures (Starbucks, 2024b). To mitigate this pressure the organisation needs to implement phased investment plan. It can first invest in high footfall stores and use the amount saved through greener store initiative to fund the differentiation changes. </w:t>
      </w:r>
    </w:p>
    <w:p w14:paraId="0BA077E2">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Starbucks in UK face labour pressure and high turnover rates. New changes might also experience resistance from the workforce as they might not be willing to add extra burden to their duties. According to Mbarek (2024), Leadership play a very important role in facilitating successful change. The managers of the stores and at regional level will play acritical role in retaining the employees and offering them Barista training, good career progression and emgagement. </w:t>
      </w:r>
    </w:p>
    <w:p w14:paraId="050EBADA">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A premium differentiation strategy might backfire on Starbucks with increasing price sensitivity amongst the consumer given the cost-of-living pressure that the organisation is facing (Knowles, 2026). The brand can prevent its premium positioning by offering discounts through loyalty app-based value offers such as bundle offerings without undermining the wider brand promise. </w:t>
      </w:r>
    </w:p>
    <w:p w14:paraId="1A388ADE">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The analysis indicates that sustainable differentiation strategy will offer distinct position to Starbucks. By integrating product differentiation, digital innovations, sustainability, employee engagement and offering superior customer experience Starbucks can develop sustainable competitive advantage in UK market. This strategy will help the organisation to accomplish long term sustainable growth in the highly competitive UK market. </w:t>
      </w:r>
    </w:p>
    <w:p w14:paraId="33D95474">
      <w:pPr>
        <w:pStyle w:val="2"/>
        <w:rPr>
          <w:rFonts w:cs="Arial"/>
          <w:color w:val="000000" w:themeColor="text1"/>
          <w:sz w:val="24"/>
          <w:szCs w:val="24"/>
          <w14:textFill>
            <w14:solidFill>
              <w14:schemeClr w14:val="tx1"/>
            </w14:solidFill>
          </w14:textFill>
        </w:rPr>
      </w:pPr>
      <w:bookmarkStart w:id="14" w:name="_Toc236153245"/>
      <w:r>
        <w:rPr>
          <w:rFonts w:cs="Arial"/>
          <w:color w:val="000000" w:themeColor="text1"/>
          <w:sz w:val="24"/>
          <w:szCs w:val="24"/>
          <w14:textFill>
            <w14:solidFill>
              <w14:schemeClr w14:val="tx1"/>
            </w14:solidFill>
          </w14:textFill>
        </w:rPr>
        <w:t>Section 2</w:t>
      </w:r>
      <w:bookmarkEnd w:id="14"/>
    </w:p>
    <w:p w14:paraId="5178C0C0">
      <w:pPr>
        <w:pStyle w:val="2"/>
        <w:rPr>
          <w:rFonts w:cs="Arial"/>
          <w:color w:val="000000" w:themeColor="text1"/>
          <w:sz w:val="24"/>
          <w:szCs w:val="24"/>
          <w14:textFill>
            <w14:solidFill>
              <w14:schemeClr w14:val="tx1"/>
            </w14:solidFill>
          </w14:textFill>
        </w:rPr>
      </w:pPr>
      <w:bookmarkStart w:id="15" w:name="_Toc236153246"/>
      <w:r>
        <w:rPr>
          <w:rFonts w:cs="Arial"/>
          <w:color w:val="000000" w:themeColor="text1"/>
          <w:sz w:val="24"/>
          <w:szCs w:val="24"/>
          <w14:textFill>
            <w14:solidFill>
              <w14:schemeClr w14:val="tx1"/>
            </w14:solidFill>
          </w14:textFill>
        </w:rPr>
        <w:t>1. Reflective Account</w:t>
      </w:r>
      <w:bookmarkEnd w:id="15"/>
    </w:p>
    <w:p w14:paraId="7B7BC5A5">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I have used Gibbs reflective cycle framework to reflect on the process of researching, analysing and preparing for the 1</w:t>
      </w:r>
      <w:r>
        <w:rPr>
          <w:rFonts w:cs="Arial"/>
          <w:color w:val="000000" w:themeColor="text1"/>
          <w:szCs w:val="24"/>
          <w:vertAlign w:val="superscript"/>
          <w14:textFill>
            <w14:solidFill>
              <w14:schemeClr w14:val="tx1"/>
            </w14:solidFill>
          </w14:textFill>
        </w:rPr>
        <w:t>st</w:t>
      </w:r>
      <w:r>
        <w:rPr>
          <w:rFonts w:cs="Arial"/>
          <w:color w:val="000000" w:themeColor="text1"/>
          <w:szCs w:val="24"/>
          <w14:textFill>
            <w14:solidFill>
              <w14:schemeClr w14:val="tx1"/>
            </w14:solidFill>
          </w14:textFill>
        </w:rPr>
        <w:t xml:space="preserve"> part of this assignment. </w:t>
      </w:r>
    </w:p>
    <w:p w14:paraId="47ADB69B">
      <w:pPr>
        <w:pStyle w:val="21"/>
        <w:spacing w:line="360" w:lineRule="auto"/>
        <w:rPr>
          <w:rFonts w:ascii="Arial" w:hAnsi="Arial" w:cs="Arial"/>
          <w:color w:val="000000" w:themeColor="text1"/>
          <w:lang w:val="en-GB"/>
          <w14:textFill>
            <w14:solidFill>
              <w14:schemeClr w14:val="tx1"/>
            </w14:solidFill>
          </w14:textFill>
        </w:rPr>
      </w:pPr>
      <w:r>
        <w:rPr>
          <w:rFonts w:ascii="Arial" w:hAnsi="Arial" w:cs="Arial"/>
          <w:color w:val="000000" w:themeColor="text1"/>
          <w:lang w:val="en-GB"/>
          <w14:textFill>
            <w14:solidFill>
              <w14:schemeClr w14:val="tx1"/>
            </w14:solidFill>
          </w14:textFill>
        </w:rPr>
        <w:drawing>
          <wp:inline distT="0" distB="0" distL="0" distR="0">
            <wp:extent cx="5440680" cy="4792980"/>
            <wp:effectExtent l="0" t="0" r="7620" b="7620"/>
            <wp:docPr id="8833842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384209"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440680" cy="4792980"/>
                    </a:xfrm>
                    <a:prstGeom prst="rect">
                      <a:avLst/>
                    </a:prstGeom>
                    <a:noFill/>
                    <a:ln>
                      <a:noFill/>
                    </a:ln>
                  </pic:spPr>
                </pic:pic>
              </a:graphicData>
            </a:graphic>
          </wp:inline>
        </w:drawing>
      </w:r>
    </w:p>
    <w:p w14:paraId="5701BD89">
      <w:pPr>
        <w:jc w:val="cente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Image 2. Gibbs reflective Cycle. Source (Ocampo et al., 2025)</w:t>
      </w:r>
    </w:p>
    <w:p w14:paraId="2707AA64">
      <w:pPr>
        <w:rPr>
          <w:rFonts w:cs="Arial"/>
          <w:b/>
          <w:bCs/>
          <w:color w:val="000000" w:themeColor="text1"/>
          <w:szCs w:val="24"/>
          <w14:textFill>
            <w14:solidFill>
              <w14:schemeClr w14:val="tx1"/>
            </w14:solidFill>
          </w14:textFill>
        </w:rPr>
      </w:pPr>
      <w:r>
        <w:rPr>
          <w:rFonts w:cs="Arial"/>
          <w:b/>
          <w:bCs/>
          <w:color w:val="000000" w:themeColor="text1"/>
          <w:szCs w:val="24"/>
          <w14:textFill>
            <w14:solidFill>
              <w14:schemeClr w14:val="tx1"/>
            </w14:solidFill>
          </w14:textFill>
        </w:rPr>
        <w:t>Description</w:t>
      </w:r>
    </w:p>
    <w:p w14:paraId="5A7E8A96">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The aim of this assignment was to evaluate the current strategic position of Starbucks in UK and propose recommendation to enhance its competitive advantage. The report required application of multiple strategic frameworks including PESTLE analysis, VRIO analysis, SWOT analysis, Caroll’s pyramid, Porter’s generic strategy and Five force model etc. the research process consisted of collecting information from diverse academic and other professional sources. This includes Peer reviewed journal articles, textbooks on strategic management, annual report of Starbucks, market research report and multiple websites. Furthermore, I used the lecture slides as a guide to ensure that the report aligns with the theories and framework that were taught across the module. </w:t>
      </w:r>
    </w:p>
    <w:p w14:paraId="6755FF35">
      <w:pPr>
        <w:rPr>
          <w:rFonts w:cs="Arial"/>
          <w:b/>
          <w:bCs/>
          <w:color w:val="000000" w:themeColor="text1"/>
          <w:szCs w:val="24"/>
          <w14:textFill>
            <w14:solidFill>
              <w14:schemeClr w14:val="tx1"/>
            </w14:solidFill>
          </w14:textFill>
        </w:rPr>
      </w:pPr>
      <w:r>
        <w:rPr>
          <w:rFonts w:cs="Arial"/>
          <w:b/>
          <w:bCs/>
          <w:color w:val="000000" w:themeColor="text1"/>
          <w:szCs w:val="24"/>
          <w14:textFill>
            <w14:solidFill>
              <w14:schemeClr w14:val="tx1"/>
            </w14:solidFill>
          </w14:textFill>
        </w:rPr>
        <w:t>Feelings</w:t>
      </w:r>
    </w:p>
    <w:p w14:paraId="7B803BFD">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At the beginning of the assessment, I felt overwhelmed with the number of frameworks that needed to be integrated across the report. I was familiar with the frameworks individually such as SWOT analysis and PESTLE. However, I had not used them by connecting one framework to another. As I progressed and started researching about each of the framework my confidence gradually increased. The lecture materials also offered me with better understanding of the strategic management flow such as how the external and internal environment analysis helps in identifying strategic options for the organisation. I also became more confident in critically analysing Starbucks instead of simple describing its strengths and weaknesses. </w:t>
      </w:r>
    </w:p>
    <w:p w14:paraId="45F55F0F">
      <w:pPr>
        <w:rPr>
          <w:rFonts w:cs="Arial"/>
          <w:b/>
          <w:bCs/>
          <w:color w:val="000000" w:themeColor="text1"/>
          <w:szCs w:val="24"/>
          <w14:textFill>
            <w14:solidFill>
              <w14:schemeClr w14:val="tx1"/>
            </w14:solidFill>
          </w14:textFill>
        </w:rPr>
      </w:pPr>
      <w:r>
        <w:rPr>
          <w:rFonts w:cs="Arial"/>
          <w:b/>
          <w:bCs/>
          <w:color w:val="000000" w:themeColor="text1"/>
          <w:szCs w:val="24"/>
          <w14:textFill>
            <w14:solidFill>
              <w14:schemeClr w14:val="tx1"/>
            </w14:solidFill>
          </w14:textFill>
        </w:rPr>
        <w:t>Evaluation</w:t>
      </w:r>
    </w:p>
    <w:p w14:paraId="32658F1A">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I believe that the research process was successful as I was able to combine the academic theory with  the real-world business practice. What worked well was that I was able to associate each of the framework with the current and verifiable evidence. For example, I was able to use actual UK market share figures to offer correct evidence instead of relying on generic assumptions about Starbuck’s position. This helped in strengthening the practical relevance of the report and led to a deeper understanding of strategic management. Another positive aspect was integrating CSR and sustainability into the overall strategic decisions of the firm. I was able to identify the growing importance of environmental and social responsibility in contemporary strategic management. </w:t>
      </w:r>
    </w:p>
    <w:p w14:paraId="3E5AF0E7">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However, a few challenges that I faced were time management and large amount of data handling. Starbucks reports on sustainability and annual reports were extensive but analysing it and also searching data on analysing all the claims made by the organisation was difficult. Similarly, Given the pressure of other assignments and deadlines I found time management difficult on time. I also recognised that some of the evidence overlapped in terms of frameworks and it was critical to avoid unnecessary repetition. </w:t>
      </w:r>
    </w:p>
    <w:p w14:paraId="35D0353E">
      <w:pPr>
        <w:rPr>
          <w:rFonts w:cs="Arial"/>
          <w:b/>
          <w:bCs/>
          <w:color w:val="000000" w:themeColor="text1"/>
          <w:szCs w:val="24"/>
          <w14:textFill>
            <w14:solidFill>
              <w14:schemeClr w14:val="tx1"/>
            </w14:solidFill>
          </w14:textFill>
        </w:rPr>
      </w:pPr>
      <w:r>
        <w:rPr>
          <w:rFonts w:cs="Arial"/>
          <w:b/>
          <w:bCs/>
          <w:color w:val="000000" w:themeColor="text1"/>
          <w:szCs w:val="24"/>
          <w14:textFill>
            <w14:solidFill>
              <w14:schemeClr w14:val="tx1"/>
            </w14:solidFill>
          </w14:textFill>
        </w:rPr>
        <w:t>Analysis</w:t>
      </w:r>
    </w:p>
    <w:p w14:paraId="73D6902C">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The assignment helped me in understanding that the strategic framework is not as impactful as isolated checklist as they are when integrated together. PESTLE and five forces explained how the differentiation strategy made sense for Starbucks. VRIO analysis explained how specific resources made the differentiation possible and defensible for the brand. Whittington et al. (2019), have stated that strategic analysis, choice and implementation are interlinked stages instead of being a linear checklist. The recommendations are only credible when they are supported by real evidences through multiple analysis. I also realised the importance of triangulating the sources; multiple sources in the early research showcased rounded or inconsistent market figures. Overall the assessment helped in understanding strategy as not a planned exercise but a continous process that involves implementation, evaluation and organisational learning. </w:t>
      </w:r>
    </w:p>
    <w:p w14:paraId="4E73077B">
      <w:pPr>
        <w:rPr>
          <w:rFonts w:cs="Arial"/>
          <w:b/>
          <w:bCs/>
          <w:color w:val="000000" w:themeColor="text1"/>
          <w:szCs w:val="24"/>
          <w14:textFill>
            <w14:solidFill>
              <w14:schemeClr w14:val="tx1"/>
            </w14:solidFill>
          </w14:textFill>
        </w:rPr>
      </w:pPr>
      <w:r>
        <w:rPr>
          <w:rFonts w:cs="Arial"/>
          <w:b/>
          <w:bCs/>
          <w:color w:val="000000" w:themeColor="text1"/>
          <w:szCs w:val="24"/>
          <w14:textFill>
            <w14:solidFill>
              <w14:schemeClr w14:val="tx1"/>
            </w14:solidFill>
          </w14:textFill>
        </w:rPr>
        <w:t>Conclusion</w:t>
      </w:r>
    </w:p>
    <w:p w14:paraId="72CE1E2C">
      <w:pPr>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Reflecting on the assignment I have realised that researching, analysing and preparing for the assessment have improved my ability to undertake strategic analysis using multiple complementary frameworks. I developed better analysis of how an organisation can manage its strategy utilising competitive strategy, sustainability, digital transformation and organisational performance. The assessment strengthened my research skills, and I also became more confident in applying theory in integration of practical evidence to develop effective strategic recommendations. However, I have also understood that I need to develop better research skills, time management and analytical skills to ensure better report development and decision making. </w:t>
      </w:r>
    </w:p>
    <w:p w14:paraId="47F616B5">
      <w:pPr>
        <w:rPr>
          <w:rFonts w:cs="Arial"/>
          <w:b/>
          <w:bCs/>
          <w:color w:val="000000" w:themeColor="text1"/>
          <w:szCs w:val="24"/>
          <w14:textFill>
            <w14:solidFill>
              <w14:schemeClr w14:val="tx1"/>
            </w14:solidFill>
          </w14:textFill>
        </w:rPr>
      </w:pPr>
      <w:r>
        <w:rPr>
          <w:rFonts w:cs="Arial"/>
          <w:b/>
          <w:bCs/>
          <w:color w:val="000000" w:themeColor="text1"/>
          <w:szCs w:val="24"/>
          <w14:textFill>
            <w14:solidFill>
              <w14:schemeClr w14:val="tx1"/>
            </w14:solidFill>
          </w14:textFill>
        </w:rPr>
        <w:t>Action plan</w:t>
      </w:r>
    </w:p>
    <w:tbl>
      <w:tblPr>
        <w:tblStyle w:val="2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27"/>
        <w:gridCol w:w="1885"/>
        <w:gridCol w:w="1799"/>
        <w:gridCol w:w="1684"/>
        <w:gridCol w:w="1775"/>
      </w:tblGrid>
      <w:tr w14:paraId="48F04B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027" w:type="dxa"/>
          </w:tcPr>
          <w:p w14:paraId="31A88261">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Area of development</w:t>
            </w:r>
          </w:p>
        </w:tc>
        <w:tc>
          <w:tcPr>
            <w:tcW w:w="1885" w:type="dxa"/>
          </w:tcPr>
          <w:p w14:paraId="289E7F08">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Gap Identified</w:t>
            </w:r>
          </w:p>
        </w:tc>
        <w:tc>
          <w:tcPr>
            <w:tcW w:w="1799" w:type="dxa"/>
          </w:tcPr>
          <w:p w14:paraId="637C2DCC">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Action</w:t>
            </w:r>
          </w:p>
        </w:tc>
        <w:tc>
          <w:tcPr>
            <w:tcW w:w="1530" w:type="dxa"/>
          </w:tcPr>
          <w:p w14:paraId="6B0F17BD">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Measurement</w:t>
            </w:r>
          </w:p>
        </w:tc>
        <w:tc>
          <w:tcPr>
            <w:tcW w:w="1775" w:type="dxa"/>
          </w:tcPr>
          <w:p w14:paraId="2DF5C76C">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Time Frame</w:t>
            </w:r>
          </w:p>
        </w:tc>
      </w:tr>
      <w:tr w14:paraId="2CC479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27" w:type="dxa"/>
          </w:tcPr>
          <w:p w14:paraId="45943D0F">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Critical Analysis</w:t>
            </w:r>
          </w:p>
        </w:tc>
        <w:tc>
          <w:tcPr>
            <w:tcW w:w="1885" w:type="dxa"/>
          </w:tcPr>
          <w:p w14:paraId="62F74309">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I am not very adept at critically thinking and applying decisions based on the analysis. </w:t>
            </w:r>
          </w:p>
        </w:tc>
        <w:tc>
          <w:tcPr>
            <w:tcW w:w="1799" w:type="dxa"/>
          </w:tcPr>
          <w:p w14:paraId="42D3A143">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Solve case studies from the free sources available online and real case organisations. </w:t>
            </w:r>
          </w:p>
        </w:tc>
        <w:tc>
          <w:tcPr>
            <w:tcW w:w="1530" w:type="dxa"/>
          </w:tcPr>
          <w:p w14:paraId="756A9D76">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Perform excellent critical analysis in next 2 assessments. </w:t>
            </w:r>
          </w:p>
        </w:tc>
        <w:tc>
          <w:tcPr>
            <w:tcW w:w="1775" w:type="dxa"/>
          </w:tcPr>
          <w:p w14:paraId="4BDE5DE2">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3 months</w:t>
            </w:r>
          </w:p>
        </w:tc>
      </w:tr>
      <w:tr w14:paraId="40D4DF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27" w:type="dxa"/>
          </w:tcPr>
          <w:p w14:paraId="08659CCE">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Research skill</w:t>
            </w:r>
          </w:p>
        </w:tc>
        <w:tc>
          <w:tcPr>
            <w:tcW w:w="1885" w:type="dxa"/>
          </w:tcPr>
          <w:p w14:paraId="3D3D4894">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I need to better manage large volume of information. </w:t>
            </w:r>
          </w:p>
        </w:tc>
        <w:tc>
          <w:tcPr>
            <w:tcW w:w="1799" w:type="dxa"/>
          </w:tcPr>
          <w:p w14:paraId="73162304">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Develop a structured literature review process and use a reference management software. </w:t>
            </w:r>
          </w:p>
        </w:tc>
        <w:tc>
          <w:tcPr>
            <w:tcW w:w="1530" w:type="dxa"/>
          </w:tcPr>
          <w:p w14:paraId="0D9F32C6">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Improved quality of evidence in next assessment and positive feedback from module leader. </w:t>
            </w:r>
          </w:p>
        </w:tc>
        <w:tc>
          <w:tcPr>
            <w:tcW w:w="1775" w:type="dxa"/>
          </w:tcPr>
          <w:p w14:paraId="334A34B5">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Within 2 months</w:t>
            </w:r>
          </w:p>
        </w:tc>
      </w:tr>
      <w:tr w14:paraId="1275F4E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27" w:type="dxa"/>
          </w:tcPr>
          <w:p w14:paraId="417F5F4E">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Time management</w:t>
            </w:r>
          </w:p>
        </w:tc>
        <w:tc>
          <w:tcPr>
            <w:tcW w:w="1885" w:type="dxa"/>
          </w:tcPr>
          <w:p w14:paraId="4E780708">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Unable to deliver projects before time. </w:t>
            </w:r>
          </w:p>
        </w:tc>
        <w:tc>
          <w:tcPr>
            <w:tcW w:w="1799" w:type="dxa"/>
          </w:tcPr>
          <w:p w14:paraId="6DB2939F">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Use Pomodoro technique and time management software. </w:t>
            </w:r>
          </w:p>
        </w:tc>
        <w:tc>
          <w:tcPr>
            <w:tcW w:w="1530" w:type="dxa"/>
          </w:tcPr>
          <w:p w14:paraId="4C5AC2C1">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Deliver next 3 assessments on or before deadline. </w:t>
            </w:r>
          </w:p>
        </w:tc>
        <w:tc>
          <w:tcPr>
            <w:tcW w:w="1775" w:type="dxa"/>
          </w:tcPr>
          <w:p w14:paraId="76D6332B">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3 months</w:t>
            </w:r>
          </w:p>
        </w:tc>
      </w:tr>
      <w:tr w14:paraId="1B9384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27" w:type="dxa"/>
          </w:tcPr>
          <w:p w14:paraId="52420F20">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Reflection Skill</w:t>
            </w:r>
          </w:p>
        </w:tc>
        <w:tc>
          <w:tcPr>
            <w:tcW w:w="1885" w:type="dxa"/>
          </w:tcPr>
          <w:p w14:paraId="4B4B0F19">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Unable to gather thoughts and learn from experience.</w:t>
            </w:r>
          </w:p>
        </w:tc>
        <w:tc>
          <w:tcPr>
            <w:tcW w:w="1799" w:type="dxa"/>
          </w:tcPr>
          <w:p w14:paraId="198F0F12">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Maintain an academic reflection journal where I will reflect on my academic experiences during and after module. </w:t>
            </w:r>
          </w:p>
        </w:tc>
        <w:tc>
          <w:tcPr>
            <w:tcW w:w="1530" w:type="dxa"/>
          </w:tcPr>
          <w:p w14:paraId="5EB3A9D6">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Make atleast 5 journal entry every 15 days for better reflection skills and clear learnings from experiences </w:t>
            </w:r>
          </w:p>
        </w:tc>
        <w:tc>
          <w:tcPr>
            <w:tcW w:w="1775" w:type="dxa"/>
          </w:tcPr>
          <w:p w14:paraId="2041E8FA">
            <w:pPr>
              <w:spacing w:after="0"/>
              <w:rPr>
                <w:rFonts w:cs="Arial"/>
                <w:color w:val="000000" w:themeColor="text1"/>
                <w:szCs w:val="24"/>
                <w14:textFill>
                  <w14:solidFill>
                    <w14:schemeClr w14:val="tx1"/>
                  </w14:solidFill>
                </w14:textFill>
              </w:rPr>
            </w:pPr>
            <w:r>
              <w:rPr>
                <w:rFonts w:cs="Arial"/>
                <w:color w:val="000000" w:themeColor="text1"/>
                <w:szCs w:val="24"/>
                <w14:textFill>
                  <w14:solidFill>
                    <w14:schemeClr w14:val="tx1"/>
                  </w14:solidFill>
                </w14:textFill>
              </w:rPr>
              <w:t xml:space="preserve">Ongoing </w:t>
            </w:r>
          </w:p>
        </w:tc>
      </w:tr>
    </w:tbl>
    <w:p w14:paraId="04D03947">
      <w:pPr>
        <w:jc w:val="center"/>
        <w:rPr>
          <w:color w:val="000000" w:themeColor="text1"/>
          <w14:textFill>
            <w14:solidFill>
              <w14:schemeClr w14:val="tx1"/>
            </w14:solidFill>
          </w14:textFill>
        </w:rPr>
      </w:pPr>
      <w:r>
        <w:rPr>
          <w:rFonts w:cs="Arial"/>
          <w:color w:val="000000" w:themeColor="text1"/>
          <w:szCs w:val="24"/>
          <w14:textFill>
            <w14:solidFill>
              <w14:schemeClr w14:val="tx1"/>
            </w14:solidFill>
          </w14:textFill>
        </w:rPr>
        <w:t>Table 4. Action plan for self. Source (Author)</w:t>
      </w:r>
    </w:p>
    <w:p w14:paraId="6C207D31"/>
    <w:p w14:paraId="356FA9DA"/>
    <w:p w14:paraId="17D3DD26"/>
    <w:p w14:paraId="3167CDBF"/>
    <w:p w14:paraId="6501330C"/>
    <w:p w14:paraId="5E0C7C5F"/>
    <w:p w14:paraId="193A0BE4"/>
    <w:p w14:paraId="3D6C32DE"/>
    <w:p w14:paraId="01CD4079"/>
    <w:p w14:paraId="12EDEDD7"/>
    <w:p w14:paraId="5D30A5A0"/>
    <w:p w14:paraId="44A9A94B"/>
    <w:p w14:paraId="214B8EED"/>
    <w:p w14:paraId="5054AAFC"/>
    <w:p w14:paraId="4B4B81EA"/>
    <w:p w14:paraId="7B07DF05"/>
    <w:p w14:paraId="69E55511"/>
    <w:p w14:paraId="24266A69"/>
    <w:p w14:paraId="7FF1DD71"/>
    <w:p w14:paraId="6DE7AA74"/>
    <w:p w14:paraId="764CF2E6">
      <w:pPr>
        <w:pStyle w:val="2"/>
        <w:rPr>
          <w:rFonts w:cs="Times New Roman"/>
        </w:rPr>
      </w:pPr>
      <w:bookmarkStart w:id="16" w:name="_Toc236153247"/>
      <w:r>
        <w:rPr>
          <w:rFonts w:cs="Times New Roman"/>
        </w:rPr>
        <w:t>References</w:t>
      </w:r>
      <w:bookmarkEnd w:id="16"/>
    </w:p>
    <w:p w14:paraId="2C4513BC">
      <w:r>
        <w:t xml:space="preserve">Campbell, K. and Helleloid, D. (2016) 'Starbucks: Social responsibility and tax avoidance', </w:t>
      </w:r>
      <w:r>
        <w:rPr>
          <w:i/>
          <w:iCs/>
        </w:rPr>
        <w:t>Journal of Accounting Education</w:t>
      </w:r>
      <w:r>
        <w:t xml:space="preserve">, 37, pp. 38–60. Available at: </w:t>
      </w:r>
      <w:r>
        <w:fldChar w:fldCharType="begin"/>
      </w:r>
      <w:r>
        <w:instrText xml:space="preserve"> HYPERLINK "https://commons.und.edu/cgi/viewcontent.cgi?article=1000&amp;context=man-fac" \t "_new" </w:instrText>
      </w:r>
      <w:r>
        <w:fldChar w:fldCharType="separate"/>
      </w:r>
      <w:r>
        <w:rPr>
          <w:rStyle w:val="20"/>
        </w:rPr>
        <w:t>https://commons.und.edu/cgi/viewcontent.cgi?article=1000&amp;context=man-fac</w:t>
      </w:r>
      <w:r>
        <w:rPr>
          <w:rStyle w:val="20"/>
        </w:rPr>
        <w:fldChar w:fldCharType="end"/>
      </w:r>
      <w:r>
        <w:t xml:space="preserve"> (Accessed: 28 July 2026).</w:t>
      </w:r>
    </w:p>
    <w:p w14:paraId="7112DB73">
      <w:r>
        <w:t xml:space="preserve">Carroll, A.B. (2016) 'Carroll’s pyramid of CSR: Taking another look', </w:t>
      </w:r>
      <w:r>
        <w:rPr>
          <w:i/>
          <w:iCs/>
        </w:rPr>
        <w:t>International Journal of Corporate Social Responsibility</w:t>
      </w:r>
      <w:r>
        <w:t xml:space="preserve">, 1(1), p. 3. Available at: </w:t>
      </w:r>
      <w:r>
        <w:fldChar w:fldCharType="begin"/>
      </w:r>
      <w:r>
        <w:instrText xml:space="preserve"> HYPERLINK "https://link.springer.com/content/pdf/10.1186/s40991-016-0004-6.pdf" \t "_new" </w:instrText>
      </w:r>
      <w:r>
        <w:fldChar w:fldCharType="separate"/>
      </w:r>
      <w:r>
        <w:rPr>
          <w:rStyle w:val="20"/>
        </w:rPr>
        <w:t>https://link.springer.com/content/pdf/10.1186/s40991-016-0004-6.pdf</w:t>
      </w:r>
      <w:r>
        <w:rPr>
          <w:rStyle w:val="20"/>
        </w:rPr>
        <w:fldChar w:fldCharType="end"/>
      </w:r>
      <w:r>
        <w:t xml:space="preserve"> (Accessed: 28 July 2026).</w:t>
      </w:r>
    </w:p>
    <w:p w14:paraId="7B79C7E8">
      <w:r>
        <w:t xml:space="preserve">Charles, S. (2025) </w:t>
      </w:r>
      <w:r>
        <w:rPr>
          <w:i/>
          <w:iCs/>
        </w:rPr>
        <w:t>The VC funded playbook for coffee brands</w:t>
      </w:r>
      <w:r>
        <w:t xml:space="preserve">. Available at: </w:t>
      </w:r>
      <w:r>
        <w:fldChar w:fldCharType="begin"/>
      </w:r>
      <w:r>
        <w:instrText xml:space="preserve"> HYPERLINK "https://intelligence.coffee/2025/08/the-vc%E2%80%91funded-playbook-for-coffee/" \t "_new" </w:instrText>
      </w:r>
      <w:r>
        <w:fldChar w:fldCharType="separate"/>
      </w:r>
      <w:r>
        <w:rPr>
          <w:rStyle w:val="20"/>
        </w:rPr>
        <w:t>https://intelligence.coffee/2025/08/the-vc%E2%80%91funded-playbook-for-coffee/</w:t>
      </w:r>
      <w:r>
        <w:rPr>
          <w:rStyle w:val="20"/>
        </w:rPr>
        <w:fldChar w:fldCharType="end"/>
      </w:r>
      <w:r>
        <w:t xml:space="preserve"> (Accessed: 28 July 2026).</w:t>
      </w:r>
    </w:p>
    <w:p w14:paraId="09F6F650">
      <w:r>
        <w:t xml:space="preserve">Christodoulou, A. and Cullinane, K. (2019) 'Identifying the main opportunities and challenges from the implementation of a port energy management system: A SWOT/PESTLE analysis', </w:t>
      </w:r>
      <w:r>
        <w:rPr>
          <w:i/>
          <w:iCs/>
        </w:rPr>
        <w:t>Sustainability</w:t>
      </w:r>
      <w:r>
        <w:t xml:space="preserve">, 11(21), article 6046. Available at: </w:t>
      </w:r>
      <w:r>
        <w:fldChar w:fldCharType="begin"/>
      </w:r>
      <w:r>
        <w:instrText xml:space="preserve"> HYPERLINK "https://www.mdpi.com/2071-1050/11/21/6046" \t "_new" </w:instrText>
      </w:r>
      <w:r>
        <w:fldChar w:fldCharType="separate"/>
      </w:r>
      <w:r>
        <w:rPr>
          <w:rStyle w:val="20"/>
        </w:rPr>
        <w:t>https://www.mdpi.com/2071-1050/11/21/6046</w:t>
      </w:r>
      <w:r>
        <w:rPr>
          <w:rStyle w:val="20"/>
        </w:rPr>
        <w:fldChar w:fldCharType="end"/>
      </w:r>
      <w:r>
        <w:t xml:space="preserve"> (Accessed: 28 July 2026).</w:t>
      </w:r>
    </w:p>
    <w:p w14:paraId="6254053F">
      <w:r>
        <w:t xml:space="preserve">Davis, M. (2026) </w:t>
      </w:r>
      <w:r>
        <w:rPr>
          <w:i/>
          <w:iCs/>
        </w:rPr>
        <w:t>Bars and hotels 'cannot afford to take on staff'</w:t>
      </w:r>
      <w:r>
        <w:t>. Available at: https://www.bbc.com/news/articles/c232jgxzykpo (Accessed: 25 July 2026).</w:t>
      </w:r>
    </w:p>
    <w:p w14:paraId="4C5A25D7">
      <w:r>
        <w:t xml:space="preserve">Dean, G. (2021) </w:t>
      </w:r>
      <w:r>
        <w:rPr>
          <w:i/>
          <w:iCs/>
        </w:rPr>
        <w:t>Starbucks is finally dropping its surcharge for plant-based milk in the UK — but US customers will still have to pay extra</w:t>
      </w:r>
      <w:r>
        <w:t xml:space="preserve">. Available at: </w:t>
      </w:r>
      <w:r>
        <w:fldChar w:fldCharType="begin"/>
      </w:r>
      <w:r>
        <w:instrText xml:space="preserve"> HYPERLINK "https://www.businessinsider.com/starbucks-drops-almond-oat-coconut-milk-surcharge-non-dairy-uk-2021-12" \t "_new" </w:instrText>
      </w:r>
      <w:r>
        <w:fldChar w:fldCharType="separate"/>
      </w:r>
      <w:r>
        <w:rPr>
          <w:rStyle w:val="20"/>
        </w:rPr>
        <w:t>https://www.businessinsider.com/starbucks-drops-almond-oat-coconut-milk-surcharge-non-dairy-uk-2021-12</w:t>
      </w:r>
      <w:r>
        <w:rPr>
          <w:rStyle w:val="20"/>
        </w:rPr>
        <w:fldChar w:fldCharType="end"/>
      </w:r>
      <w:r>
        <w:t xml:space="preserve"> (Accessed: 26 July 2026).</w:t>
      </w:r>
    </w:p>
    <w:p w14:paraId="396A8EC9">
      <w:r>
        <w:t xml:space="preserve">El Nemar, S., El-Chaarani, H., Dandachi, I. and Castellano, S. (2025) 'Resource-based view and sustainable advantage: A framework for SMEs', </w:t>
      </w:r>
      <w:r>
        <w:rPr>
          <w:i/>
          <w:iCs/>
        </w:rPr>
        <w:t>Journal of Strategic Marketing</w:t>
      </w:r>
      <w:r>
        <w:t xml:space="preserve">, 33(6), pp. 798–821. Available at: </w:t>
      </w:r>
      <w:r>
        <w:fldChar w:fldCharType="begin"/>
      </w:r>
      <w:r>
        <w:instrText xml:space="preserve"> HYPERLINK "https://www.researchgate.net/profile/Hani-El-Chaarani/publication/366646305_Resource-based_view_and_sustainable_advantage_a_framework_for_SMEs_Resource-based_view_and_sustainable_advantage_a_framework_for_SMEs/links/654f0577b86a1d521bcc669a/Resource-based-view-and-sustainable-advantage-a-framework-for-SMEs-Resource-based-view-and-sustainable-advantage-a-framework-for-SMEs.pdf" \t "_new" </w:instrText>
      </w:r>
      <w:r>
        <w:fldChar w:fldCharType="separate"/>
      </w:r>
      <w:r>
        <w:rPr>
          <w:rStyle w:val="20"/>
        </w:rPr>
        <w:t>https://www.researchgate.net/profile/Hani-El-Chaarani/publication/366646305_Resource-based_view_and_sustainable_advantage_a_framework_for_SMEs_Resource-based_view_and_sustainable_advantage_a_framework_for_SMEs/links/654f0577b86a1d521bcc669a/Resource-based-view-and-sustainable-advantage-a-framework-for-SMEs-Resource-based-view-and-sustainable-advantage-a-framework-for-SMEs.pdf</w:t>
      </w:r>
      <w:r>
        <w:rPr>
          <w:rStyle w:val="20"/>
        </w:rPr>
        <w:fldChar w:fldCharType="end"/>
      </w:r>
      <w:r>
        <w:t xml:space="preserve"> (Accessed: 28 July 2026).</w:t>
      </w:r>
    </w:p>
    <w:p w14:paraId="47F47B27">
      <w:r>
        <w:t xml:space="preserve">Fuertes, G., Alfaro, M., Vargas, M., Gutierrez, S., Ternero, R. and Sabattin, J. (2020) 'Conceptual framework for the strategic management: A literature review—descriptive', </w:t>
      </w:r>
      <w:r>
        <w:rPr>
          <w:i/>
          <w:iCs/>
        </w:rPr>
        <w:t>Journal of Engineering</w:t>
      </w:r>
      <w:r>
        <w:t xml:space="preserve">, 2020, article 6253013. Available at: </w:t>
      </w:r>
      <w:r>
        <w:fldChar w:fldCharType="begin"/>
      </w:r>
      <w:r>
        <w:instrText xml:space="preserve"> HYPERLINK "https://onlinelibrary.wiley.com/doi/pdf/10.1155/2020/6253013" \t "_new" </w:instrText>
      </w:r>
      <w:r>
        <w:fldChar w:fldCharType="separate"/>
      </w:r>
      <w:r>
        <w:rPr>
          <w:rStyle w:val="20"/>
        </w:rPr>
        <w:t>https://onlinelibrary.wiley.com/doi/pdf/10.1155/2020/6253013</w:t>
      </w:r>
      <w:r>
        <w:rPr>
          <w:rStyle w:val="20"/>
        </w:rPr>
        <w:fldChar w:fldCharType="end"/>
      </w:r>
      <w:r>
        <w:t xml:space="preserve"> (Accessed: 28 July 2026).</w:t>
      </w:r>
    </w:p>
    <w:p w14:paraId="0925619C">
      <w:r>
        <w:t xml:space="preserve">Government of the Netherlands (2021) </w:t>
      </w:r>
      <w:r>
        <w:rPr>
          <w:i/>
          <w:iCs/>
        </w:rPr>
        <w:t>Brexit’s impact on the UK coffee industry</w:t>
      </w:r>
      <w:r>
        <w:t xml:space="preserve">. Available at: </w:t>
      </w:r>
      <w:r>
        <w:fldChar w:fldCharType="begin"/>
      </w:r>
      <w:r>
        <w:instrText xml:space="preserve"> HYPERLINK "https://www.cbi.eu/news/brexits-impact-uk-coffee-industry" \t "_new" </w:instrText>
      </w:r>
      <w:r>
        <w:fldChar w:fldCharType="separate"/>
      </w:r>
      <w:r>
        <w:rPr>
          <w:rStyle w:val="20"/>
        </w:rPr>
        <w:t>https://www.cbi.eu/news/brexits-impact-uk-coffee-industry</w:t>
      </w:r>
      <w:r>
        <w:rPr>
          <w:rStyle w:val="20"/>
        </w:rPr>
        <w:fldChar w:fldCharType="end"/>
      </w:r>
      <w:r>
        <w:t xml:space="preserve"> (Accessed: 25 July 2026).</w:t>
      </w:r>
    </w:p>
    <w:p w14:paraId="7A1E5A5C">
      <w:r>
        <w:t xml:space="preserve">Gozdan, E. and Sudolska, A. (2019) 'Exploring company’s activities in the field of CSR: The case of Starbucks', </w:t>
      </w:r>
      <w:r>
        <w:rPr>
          <w:i/>
          <w:iCs/>
        </w:rPr>
        <w:t>Journal of Corporate Responsibility and Leadership</w:t>
      </w:r>
      <w:r>
        <w:t xml:space="preserve">, 6(2), pp. 29–47. Available at: </w:t>
      </w:r>
      <w:r>
        <w:fldChar w:fldCharType="begin"/>
      </w:r>
      <w:r>
        <w:instrText xml:space="preserve"> HYPERLINK "https://apcz.umk.pl/JCRL/article/download/JCRL.2019.006/28397" \t "_new" </w:instrText>
      </w:r>
      <w:r>
        <w:fldChar w:fldCharType="separate"/>
      </w:r>
      <w:r>
        <w:rPr>
          <w:rStyle w:val="20"/>
        </w:rPr>
        <w:t>https://apcz.umk.pl/JCRL/article/download/JCRL.2019.006/28397</w:t>
      </w:r>
      <w:r>
        <w:rPr>
          <w:rStyle w:val="20"/>
        </w:rPr>
        <w:fldChar w:fldCharType="end"/>
      </w:r>
      <w:r>
        <w:t xml:space="preserve"> (Accessed: 28 July 2026).</w:t>
      </w:r>
    </w:p>
    <w:p w14:paraId="797D8091">
      <w:r>
        <w:t xml:space="preserve">Greggs (2026) </w:t>
      </w:r>
      <w:r>
        <w:rPr>
          <w:i/>
          <w:iCs/>
        </w:rPr>
        <w:t>About us</w:t>
      </w:r>
      <w:r>
        <w:t xml:space="preserve">. Available at: </w:t>
      </w:r>
      <w:r>
        <w:fldChar w:fldCharType="begin"/>
      </w:r>
      <w:r>
        <w:instrText xml:space="preserve"> HYPERLINK "https://corporate.greggs.co.uk/about-us" \t "_new" </w:instrText>
      </w:r>
      <w:r>
        <w:fldChar w:fldCharType="separate"/>
      </w:r>
      <w:r>
        <w:rPr>
          <w:rStyle w:val="20"/>
        </w:rPr>
        <w:t>https://corporate.greggs.co.uk/about-us</w:t>
      </w:r>
      <w:r>
        <w:rPr>
          <w:rStyle w:val="20"/>
        </w:rPr>
        <w:fldChar w:fldCharType="end"/>
      </w:r>
      <w:r>
        <w:t xml:space="preserve"> (Accessed: 27 July 2026).</w:t>
      </w:r>
    </w:p>
    <w:p w14:paraId="5EBA3256">
      <w:r>
        <w:t xml:space="preserve">Gürel, E. and Tat, M. (2017) 'SWOT analysis: A theoretical review', </w:t>
      </w:r>
      <w:r>
        <w:rPr>
          <w:i/>
          <w:iCs/>
        </w:rPr>
        <w:t>Journal of International Social Research</w:t>
      </w:r>
      <w:r>
        <w:t>, 10(51). Available at: https://www.academia.edu/download/109539676/jisr.2017.pdf (Accessed: 28 July 2026).</w:t>
      </w:r>
    </w:p>
    <w:p w14:paraId="2829EA3B">
      <w:r>
        <w:t xml:space="preserve">Islami, X., Mustafa, N. and Topuzovska Latkovikj, M. (2020) 'Linking Porter’s generic strategies to firm performance', </w:t>
      </w:r>
      <w:r>
        <w:rPr>
          <w:i/>
          <w:iCs/>
        </w:rPr>
        <w:t>Future Business Journal</w:t>
      </w:r>
      <w:r>
        <w:t xml:space="preserve">, 6(1), p. 3. Available at: </w:t>
      </w:r>
      <w:r>
        <w:fldChar w:fldCharType="begin"/>
      </w:r>
      <w:r>
        <w:instrText xml:space="preserve"> HYPERLINK "https://link.springer.com/content/pdf/10.1186/s43093-020-0009-1.pdf" \t "_new" </w:instrText>
      </w:r>
      <w:r>
        <w:fldChar w:fldCharType="separate"/>
      </w:r>
      <w:r>
        <w:rPr>
          <w:rStyle w:val="20"/>
        </w:rPr>
        <w:t>https://link.springer.com/content/pdf/10.1186/s43093-020-0009-1.pdf</w:t>
      </w:r>
      <w:r>
        <w:rPr>
          <w:rStyle w:val="20"/>
        </w:rPr>
        <w:fldChar w:fldCharType="end"/>
      </w:r>
      <w:r>
        <w:t xml:space="preserve"> (Accessed: 28 July 2026).</w:t>
      </w:r>
    </w:p>
    <w:p w14:paraId="6B0B9CDE">
      <w:r>
        <w:t xml:space="preserve">John, C. and Jayne, M. (2026) </w:t>
      </w:r>
      <w:r>
        <w:rPr>
          <w:i/>
          <w:iCs/>
        </w:rPr>
        <w:t>Good jobs or bad law?: The row over workers' rights</w:t>
      </w:r>
      <w:r>
        <w:t xml:space="preserve">. Available at: </w:t>
      </w:r>
      <w:r>
        <w:fldChar w:fldCharType="begin"/>
      </w:r>
      <w:r>
        <w:instrText xml:space="preserve"> HYPERLINK "https://www.bbc.com/news/articles/cq6pq5jye9lo" \t "_new" </w:instrText>
      </w:r>
      <w:r>
        <w:fldChar w:fldCharType="separate"/>
      </w:r>
      <w:r>
        <w:rPr>
          <w:rStyle w:val="20"/>
        </w:rPr>
        <w:t>https://www.bbc.com/news/articles/cq6pq5jye9lo</w:t>
      </w:r>
      <w:r>
        <w:rPr>
          <w:rStyle w:val="20"/>
        </w:rPr>
        <w:fldChar w:fldCharType="end"/>
      </w:r>
      <w:r>
        <w:t xml:space="preserve"> (Accessed: 27 July 2026).</w:t>
      </w:r>
    </w:p>
    <w:p w14:paraId="378DDCC5">
      <w:r>
        <w:t xml:space="preserve">Knowles, T. (2026) </w:t>
      </w:r>
      <w:r>
        <w:rPr>
          <w:i/>
          <w:iCs/>
        </w:rPr>
        <w:t>UK households bracing for new cost of living crisis, report finds</w:t>
      </w:r>
      <w:r>
        <w:t xml:space="preserve">. Available at: </w:t>
      </w:r>
      <w:r>
        <w:fldChar w:fldCharType="begin"/>
      </w:r>
      <w:r>
        <w:instrText xml:space="preserve"> HYPERLINK "https://www.theguardian.com/business/2026/may/11/uk-households-brace-cost-of-living-crisis-pwc-survey-consumer-confidence" \t "_new" </w:instrText>
      </w:r>
      <w:r>
        <w:fldChar w:fldCharType="separate"/>
      </w:r>
      <w:r>
        <w:rPr>
          <w:rStyle w:val="20"/>
        </w:rPr>
        <w:t>https://www.theguardian.com/business/2026/may/11/uk-households-brace-cost-of-living-crisis-pwc-survey-consumer-confidence</w:t>
      </w:r>
      <w:r>
        <w:rPr>
          <w:rStyle w:val="20"/>
        </w:rPr>
        <w:fldChar w:fldCharType="end"/>
      </w:r>
      <w:r>
        <w:t xml:space="preserve"> (Accessed: 25 July 2026).</w:t>
      </w:r>
    </w:p>
    <w:p w14:paraId="585B4F9A">
      <w:r>
        <w:t xml:space="preserve">Larbi, A., Asare-Danquah, G. and Ackah, A. (2024) 'Utilization of internal analysis with the VRIO framework and development of scale for resource and capabilities of fashion and design organisation', </w:t>
      </w:r>
      <w:r>
        <w:rPr>
          <w:i/>
          <w:iCs/>
        </w:rPr>
        <w:t>International Journal of Research and Scientific Innovation</w:t>
      </w:r>
      <w:r>
        <w:t xml:space="preserve">, 11(6), pp. 63–70. Available at: </w:t>
      </w:r>
      <w:r>
        <w:fldChar w:fldCharType="begin"/>
      </w:r>
      <w:r>
        <w:instrText xml:space="preserve"> HYPERLINK "https://www.researchgate.net/profile/Angela-Ackah-2/publication/381812546_Utilization_of_Internal_Analysis_with_the_VRIO_Framework_and_Development_of_Scale_for_Resource_and_Capabilities_of_Fashion_and_Design_Organization/links/687d59a5ba8eac4f1727c17f/Utilization-of-Internal-Analysis-with-the-VRIO-Framework-and-Development-of-Scale-for-Resource-and-Capabilities-of-Fashion-and-Design-Organization.pdf" \t "_new" </w:instrText>
      </w:r>
      <w:r>
        <w:fldChar w:fldCharType="separate"/>
      </w:r>
      <w:r>
        <w:rPr>
          <w:rStyle w:val="20"/>
        </w:rPr>
        <w:t>https://www.researchgate.net/profile/Angela-Ackah-2/publication/381812546_Utilization_of_Internal_Analysis_with_the_VRIO_Framework_and_Development_of_Scale_for_Resource_and_Capabilities_of_Fashion_and_Design_Organisation/links/687d59a5ba8eac4f1727c17f/Utilization-of-Internal-Analysis-with-the-VRIO-Framework-and-Development-of-Scale-for-Resource-and-Capabilities-of-Fashion-and-Design-Organisation.pdf</w:t>
      </w:r>
      <w:r>
        <w:rPr>
          <w:rStyle w:val="20"/>
        </w:rPr>
        <w:fldChar w:fldCharType="end"/>
      </w:r>
      <w:r>
        <w:t xml:space="preserve"> (Accessed: 28 July 2026).</w:t>
      </w:r>
    </w:p>
    <w:p w14:paraId="42099F36">
      <w:r>
        <w:t xml:space="preserve">Lumina Intelligence (2025) </w:t>
      </w:r>
      <w:r>
        <w:rPr>
          <w:i/>
          <w:iCs/>
        </w:rPr>
        <w:t>UK coffee market: Size, growth and share statistics 2025</w:t>
      </w:r>
      <w:r>
        <w:t xml:space="preserve">. Available at: </w:t>
      </w:r>
      <w:r>
        <w:fldChar w:fldCharType="begin"/>
      </w:r>
      <w:r>
        <w:instrText xml:space="preserve"> HYPERLINK "https://www.lumina-intelligence.com/blog/foodservice/uk-coffee-market-size-growth-share-statistics-2025/" \t "_new" </w:instrText>
      </w:r>
      <w:r>
        <w:fldChar w:fldCharType="separate"/>
      </w:r>
      <w:r>
        <w:rPr>
          <w:rStyle w:val="20"/>
        </w:rPr>
        <w:t>https://www.lumina-intelligence.com/blog/foodservice/uk-coffee-market-size-growth-share-statistics-2025/</w:t>
      </w:r>
      <w:r>
        <w:rPr>
          <w:rStyle w:val="20"/>
        </w:rPr>
        <w:fldChar w:fldCharType="end"/>
      </w:r>
      <w:r>
        <w:t xml:space="preserve"> (Accessed: 25 July 2026).</w:t>
      </w:r>
    </w:p>
    <w:p w14:paraId="062DB369">
      <w:r>
        <w:t xml:space="preserve">Marfo-Yiadom, E., Kusi, L. and Nketsiah, I. (2025) 'Efficacy of the Porter’s generic strategies in achieving competitive advantage: The mediating roles of market ambidexterity and firm performance', </w:t>
      </w:r>
      <w:r>
        <w:rPr>
          <w:i/>
          <w:iCs/>
        </w:rPr>
        <w:t>Journal of Business and Enterprise Development (JOBED)</w:t>
      </w:r>
      <w:r>
        <w:t>, 13(2), pp. 1–30. Available at: https://journal.ucc.edu.gh/index.php/jobed/article/download/1753/849 (Accessed: 28 July 2026).</w:t>
      </w:r>
    </w:p>
    <w:p w14:paraId="22487FFD">
      <w:r>
        <w:t xml:space="preserve">Mbarek, I. (2024) 'How organisations address resistance: Understanding change management', </w:t>
      </w:r>
      <w:r>
        <w:rPr>
          <w:i/>
          <w:iCs/>
        </w:rPr>
        <w:t>International Journal of Applied Business and Management Studies</w:t>
      </w:r>
      <w:r>
        <w:t xml:space="preserve">, 9(2), pp. 52–70. Available at: </w:t>
      </w:r>
      <w:r>
        <w:fldChar w:fldCharType="begin"/>
      </w:r>
      <w:r>
        <w:instrText xml:space="preserve"> HYPERLINK "https://www.researchgate.net/profile/Imen-Mbarek/publication/387667743_How_Organizations_Address_Resistance_Understanding_Change_Management/links/6776e322894c5520853e2291/How-Organizations-Address-Resistance-Understanding-Change-Management.pdf" \t "_new" </w:instrText>
      </w:r>
      <w:r>
        <w:fldChar w:fldCharType="separate"/>
      </w:r>
      <w:r>
        <w:rPr>
          <w:rStyle w:val="20"/>
        </w:rPr>
        <w:t>https://www.researchgate.net/profile/Imen-Mbarek/publication/387667743_How_Organisations_Address_Resistance_Understanding_Change_Management/links/6776e322894c5520853e2291/How-Organisations-Address-Resistance-Understanding-Change-Management.pdf</w:t>
      </w:r>
      <w:r>
        <w:rPr>
          <w:rStyle w:val="20"/>
        </w:rPr>
        <w:fldChar w:fldCharType="end"/>
      </w:r>
      <w:r>
        <w:t xml:space="preserve"> (Accessed: 28 July 2026).</w:t>
      </w:r>
    </w:p>
    <w:p w14:paraId="5262D344">
      <w:r>
        <w:t xml:space="preserve">Neus, N. (2026) </w:t>
      </w:r>
      <w:r>
        <w:rPr>
          <w:i/>
          <w:iCs/>
        </w:rPr>
        <w:t>Starbucks does not recycle plastic cups it claims are ‘widely recyclable’, report says</w:t>
      </w:r>
      <w:r>
        <w:t xml:space="preserve">. Available at: </w:t>
      </w:r>
      <w:r>
        <w:fldChar w:fldCharType="begin"/>
      </w:r>
      <w:r>
        <w:instrText xml:space="preserve"> HYPERLINK "https://www.theguardian.com/business/2026/may/20/starbucks-plastic-cups-recycling-report" \t "_new" </w:instrText>
      </w:r>
      <w:r>
        <w:fldChar w:fldCharType="separate"/>
      </w:r>
      <w:r>
        <w:rPr>
          <w:rStyle w:val="20"/>
        </w:rPr>
        <w:t>https://www.theguardian.com/business/2026/may/20/starbucks-plastic-cups-recycling-report</w:t>
      </w:r>
      <w:r>
        <w:rPr>
          <w:rStyle w:val="20"/>
        </w:rPr>
        <w:fldChar w:fldCharType="end"/>
      </w:r>
      <w:r>
        <w:t xml:space="preserve"> (Accessed: 27 July 2026).</w:t>
      </w:r>
    </w:p>
    <w:p w14:paraId="344FC70C">
      <w:r>
        <w:t xml:space="preserve">Nissa, S., Amalia, N. and Muzallifah, N. (2026) 'Global marketing strategy and competitive advantage: Starbucks international expansion performance', </w:t>
      </w:r>
      <w:r>
        <w:rPr>
          <w:i/>
          <w:iCs/>
        </w:rPr>
        <w:t>Journal of Economic Studies</w:t>
      </w:r>
      <w:r>
        <w:t>, 1(4), pp. 373–380. Available at: https://ejournal.risetanakbangsa.id/jeta/article/download/1285/168 (Accessed: 28 July 2026).</w:t>
      </w:r>
    </w:p>
    <w:p w14:paraId="7393EE0C">
      <w:r>
        <w:t xml:space="preserve">Ocampo, F., McIntyre, B., Massey, D. and Saunders, R. (2025) 'Nursing student reflections on a research internship: A reflective discussion following the Gibbs' reflective cycle', </w:t>
      </w:r>
      <w:r>
        <w:rPr>
          <w:i/>
          <w:iCs/>
        </w:rPr>
        <w:t>Nurse Education Today</w:t>
      </w:r>
      <w:r>
        <w:t xml:space="preserve">, 145, article 106481. Available at: </w:t>
      </w:r>
      <w:r>
        <w:fldChar w:fldCharType="begin"/>
      </w:r>
      <w:r>
        <w:instrText xml:space="preserve"> HYPERLINK "https://www.sciencedirect.com/science/article/pii/S0260691724003915" \t "_new" </w:instrText>
      </w:r>
      <w:r>
        <w:fldChar w:fldCharType="separate"/>
      </w:r>
      <w:r>
        <w:rPr>
          <w:rStyle w:val="20"/>
        </w:rPr>
        <w:t>https://www.sciencedirect.com/science/article/pii/S0260691724003915</w:t>
      </w:r>
      <w:r>
        <w:rPr>
          <w:rStyle w:val="20"/>
        </w:rPr>
        <w:fldChar w:fldCharType="end"/>
      </w:r>
      <w:r>
        <w:t xml:space="preserve"> (Accessed: 28 July 2026).</w:t>
      </w:r>
    </w:p>
    <w:p w14:paraId="0D2048A2">
      <w:r>
        <w:t xml:space="preserve">Packaging Europe (2018) </w:t>
      </w:r>
      <w:r>
        <w:rPr>
          <w:i/>
          <w:iCs/>
        </w:rPr>
        <w:t>Starbucks UK reports 150% increase in reusable cup use</w:t>
      </w:r>
      <w:r>
        <w:t>. Available at: https://packagingeurope.com/starbucks-uk-reports-150-increase-reusable-cup-use/3765.article (Accessed: 27 July 2026).</w:t>
      </w:r>
    </w:p>
    <w:p w14:paraId="2A8F3583">
      <w:r>
        <w:t xml:space="preserve">Pangarkar, N. and Prabhudesai, R. (2024) 'Using Porter’s Five Forces analysis to drive strategy', </w:t>
      </w:r>
      <w:r>
        <w:rPr>
          <w:i/>
          <w:iCs/>
        </w:rPr>
        <w:t>Global Business and Organisational Excellence</w:t>
      </w:r>
      <w:r>
        <w:t xml:space="preserve">, 43(5), pp. 24–34. Available at: </w:t>
      </w:r>
      <w:r>
        <w:fldChar w:fldCharType="begin"/>
      </w:r>
      <w:r>
        <w:instrText xml:space="preserve"> HYPERLINK "https://onlinelibrary.wiley.com/doi/pdf/10.1002/joe.22250" \t "_new" </w:instrText>
      </w:r>
      <w:r>
        <w:fldChar w:fldCharType="separate"/>
      </w:r>
      <w:r>
        <w:rPr>
          <w:rStyle w:val="20"/>
        </w:rPr>
        <w:t>https://onlinelibrary.wiley.com/doi/pdf/10.1002/joe.22250</w:t>
      </w:r>
      <w:r>
        <w:rPr>
          <w:rStyle w:val="20"/>
        </w:rPr>
        <w:fldChar w:fldCharType="end"/>
      </w:r>
      <w:r>
        <w:t xml:space="preserve"> (Accessed: 28 July 2026).</w:t>
      </w:r>
    </w:p>
    <w:p w14:paraId="5304A114">
      <w:r>
        <w:t xml:space="preserve">Perfect Daily Grind (2026) </w:t>
      </w:r>
      <w:r>
        <w:rPr>
          <w:i/>
          <w:iCs/>
        </w:rPr>
        <w:t>Is the rise of co-working cafés changing what hospitality looks like?</w:t>
      </w:r>
      <w:r>
        <w:t xml:space="preserve"> Available at: </w:t>
      </w:r>
      <w:r>
        <w:fldChar w:fldCharType="begin"/>
      </w:r>
      <w:r>
        <w:instrText xml:space="preserve"> HYPERLINK "https://perfectdailygrind.com/2026/06/co-working-cafes-changing-coffee-hospitality/" \t "_new" </w:instrText>
      </w:r>
      <w:r>
        <w:fldChar w:fldCharType="separate"/>
      </w:r>
      <w:r>
        <w:rPr>
          <w:rStyle w:val="20"/>
        </w:rPr>
        <w:t>https://perfectdailygrind.com/2026/06/co-working-cafes-changing-coffee-hospitality/</w:t>
      </w:r>
      <w:r>
        <w:rPr>
          <w:rStyle w:val="20"/>
        </w:rPr>
        <w:fldChar w:fldCharType="end"/>
      </w:r>
      <w:r>
        <w:t xml:space="preserve"> (Accessed: 26 July 2026).</w:t>
      </w:r>
    </w:p>
    <w:p w14:paraId="73A468D5">
      <w:r>
        <w:t xml:space="preserve">Quesado, P., Guzmán, B. and Rodrigues, L. (2018) 'Advantages and contributions in the balanced scorecard implementation', </w:t>
      </w:r>
      <w:r>
        <w:rPr>
          <w:i/>
          <w:iCs/>
        </w:rPr>
        <w:t>Intangible Capital</w:t>
      </w:r>
      <w:r>
        <w:t xml:space="preserve">, 14(1), pp. 186–201. Available at: </w:t>
      </w:r>
      <w:r>
        <w:fldChar w:fldCharType="begin"/>
      </w:r>
      <w:r>
        <w:instrText xml:space="preserve"> HYPERLINK "http://digitalrepository.cipmlk.org/bitstream/handle/1/1031/24.15%20Advantages%20and%20%20contributions%20in%20the%20balance%20scorecard.pdf?sequence=1" </w:instrText>
      </w:r>
      <w:r>
        <w:fldChar w:fldCharType="separate"/>
      </w:r>
      <w:r>
        <w:rPr>
          <w:rStyle w:val="20"/>
        </w:rPr>
        <w:t>http://digitalrepository.cipmlk.org/bitstream/handle/1/1031/24.15%20Advantages%20and%20%20contributions%20in%20the%20balance%20scorecard.pdf?sequence=1</w:t>
      </w:r>
      <w:r>
        <w:rPr>
          <w:rStyle w:val="20"/>
        </w:rPr>
        <w:fldChar w:fldCharType="end"/>
      </w:r>
      <w:r>
        <w:t xml:space="preserve"> (Accessed: 28 July 2026).</w:t>
      </w:r>
    </w:p>
    <w:p w14:paraId="0556BB27">
      <w:r>
        <w:t xml:space="preserve">Reuters (2024) </w:t>
      </w:r>
      <w:r>
        <w:rPr>
          <w:i/>
          <w:iCs/>
        </w:rPr>
        <w:t>Starbucks faces disruptions following ransomware attack on software supplier</w:t>
      </w:r>
      <w:r>
        <w:t xml:space="preserve">. Available at: </w:t>
      </w:r>
      <w:r>
        <w:fldChar w:fldCharType="begin"/>
      </w:r>
      <w:r>
        <w:instrText xml:space="preserve"> HYPERLINK "https://www.reuters.com/business/retail-consumer/starbucks-faces-disruptions-following-ransomware-attack-software-supplier-2024-11-25/" \t "_new" </w:instrText>
      </w:r>
      <w:r>
        <w:fldChar w:fldCharType="separate"/>
      </w:r>
      <w:r>
        <w:rPr>
          <w:rStyle w:val="20"/>
        </w:rPr>
        <w:t>https://www.reuters.com/business/retail-consumer/starbucks-faces-disruptions-following-ransomware-attack-software-supplier-2024-11-25/</w:t>
      </w:r>
      <w:r>
        <w:rPr>
          <w:rStyle w:val="20"/>
        </w:rPr>
        <w:fldChar w:fldCharType="end"/>
      </w:r>
      <w:r>
        <w:t xml:space="preserve"> (Accessed: 27 July 2026).</w:t>
      </w:r>
    </w:p>
    <w:p w14:paraId="6B567FBD">
      <w:r>
        <w:t xml:space="preserve">Rosenbaum, M. and Dickens, J. (2025) 'Commentary: The social impact of third places on business, communities and well-being', </w:t>
      </w:r>
      <w:r>
        <w:rPr>
          <w:i/>
          <w:iCs/>
        </w:rPr>
        <w:t>Journal of Social Impact in Business Research</w:t>
      </w:r>
      <w:r>
        <w:t xml:space="preserve">, 1(2), pp. 72–80. Available at: </w:t>
      </w:r>
      <w:r>
        <w:fldChar w:fldCharType="begin"/>
      </w:r>
      <w:r>
        <w:instrText xml:space="preserve"> HYPERLINK "https://www.emerald.com/jsibr/article-pdf/1/2/72/10054771/jsibr-11-2024-0049en.pdf" \t "_new" </w:instrText>
      </w:r>
      <w:r>
        <w:fldChar w:fldCharType="separate"/>
      </w:r>
      <w:r>
        <w:rPr>
          <w:rStyle w:val="20"/>
        </w:rPr>
        <w:t>https://www.emerald.com/jsibr/article-pdf/1/2/72/10054771/jsibr-11-2024-0049en.pdf</w:t>
      </w:r>
      <w:r>
        <w:rPr>
          <w:rStyle w:val="20"/>
        </w:rPr>
        <w:fldChar w:fldCharType="end"/>
      </w:r>
      <w:r>
        <w:t xml:space="preserve"> (Accessed: 28 July 2026).</w:t>
      </w:r>
    </w:p>
    <w:p w14:paraId="706F54D1">
      <w:r>
        <w:t xml:space="preserve">ScrapeHero (2026) </w:t>
      </w:r>
      <w:r>
        <w:rPr>
          <w:i/>
          <w:iCs/>
        </w:rPr>
        <w:t>Number of Starbucks stores in the United Kingdom in 2026</w:t>
      </w:r>
      <w:r>
        <w:t xml:space="preserve">. Available at: </w:t>
      </w:r>
      <w:r>
        <w:fldChar w:fldCharType="begin"/>
      </w:r>
      <w:r>
        <w:instrText xml:space="preserve"> HYPERLINK "https://www.scrapehero.com/location-reports/Starbucks-UK/" \t "_new" </w:instrText>
      </w:r>
      <w:r>
        <w:fldChar w:fldCharType="separate"/>
      </w:r>
      <w:r>
        <w:rPr>
          <w:rStyle w:val="20"/>
        </w:rPr>
        <w:t>https://www.scrapehero.com/location-reports/Starbucks-UK/</w:t>
      </w:r>
      <w:r>
        <w:rPr>
          <w:rStyle w:val="20"/>
        </w:rPr>
        <w:fldChar w:fldCharType="end"/>
      </w:r>
      <w:r>
        <w:t xml:space="preserve"> (Accessed: 27 July 2026).</w:t>
      </w:r>
    </w:p>
    <w:p w14:paraId="7A15CA23">
      <w:r>
        <w:t xml:space="preserve">Stacey, S. (2026) </w:t>
      </w:r>
      <w:r>
        <w:rPr>
          <w:i/>
          <w:iCs/>
        </w:rPr>
        <w:t>Upmarket tastes leave UK high street coffee chains out in the cold</w:t>
      </w:r>
      <w:r>
        <w:t xml:space="preserve">. Available at: </w:t>
      </w:r>
      <w:r>
        <w:fldChar w:fldCharType="begin"/>
      </w:r>
      <w:r>
        <w:instrText xml:space="preserve"> HYPERLINK "https://www.afr.com/world/europe/upmarket-tastes-leave-uk-high-street-coffee-chains-out-in-the-cold-20260118-p5nuwf" \t "_new" </w:instrText>
      </w:r>
      <w:r>
        <w:fldChar w:fldCharType="separate"/>
      </w:r>
      <w:r>
        <w:rPr>
          <w:rStyle w:val="20"/>
        </w:rPr>
        <w:t>https://www.afr.com/world/europe/upmarket-tastes-leave-uk-high-street-coffee-chains-out-in-the-cold-20260118-p5nuwf</w:t>
      </w:r>
      <w:r>
        <w:rPr>
          <w:rStyle w:val="20"/>
        </w:rPr>
        <w:fldChar w:fldCharType="end"/>
      </w:r>
      <w:r>
        <w:t xml:space="preserve"> (Accessed: 27 July 2026).</w:t>
      </w:r>
    </w:p>
    <w:p w14:paraId="30F8966E">
      <w:r>
        <w:t xml:space="preserve">Starbucks (2020) </w:t>
      </w:r>
      <w:r>
        <w:rPr>
          <w:i/>
          <w:iCs/>
        </w:rPr>
        <w:t>C.A.F.E. Practices</w:t>
      </w:r>
      <w:r>
        <w:t xml:space="preserve">. Available at: </w:t>
      </w:r>
      <w:r>
        <w:fldChar w:fldCharType="begin"/>
      </w:r>
      <w:r>
        <w:instrText xml:space="preserve"> HYPERLINK "https://about.starbucks.com/uploads/sites/17/2020/11/CAFE_Practices_Starbucks_EMEA_Internal_Only.pdf" \t "_new" </w:instrText>
      </w:r>
      <w:r>
        <w:fldChar w:fldCharType="separate"/>
      </w:r>
      <w:r>
        <w:rPr>
          <w:rStyle w:val="20"/>
        </w:rPr>
        <w:t>https://about.starbucks.com/uploads/sites/17/2020/11/CAFE_Practices_Starbucks_EMEA_Internal_Only.pdf</w:t>
      </w:r>
      <w:r>
        <w:rPr>
          <w:rStyle w:val="20"/>
        </w:rPr>
        <w:fldChar w:fldCharType="end"/>
      </w:r>
      <w:r>
        <w:t xml:space="preserve"> (Accessed: 28 July 2026).</w:t>
      </w:r>
    </w:p>
    <w:p w14:paraId="4BAFBB39">
      <w:r>
        <w:t xml:space="preserve">Starbucks (2024a) </w:t>
      </w:r>
      <w:r>
        <w:rPr>
          <w:i/>
          <w:iCs/>
        </w:rPr>
        <w:t>The Starbucks story</w:t>
      </w:r>
      <w:r>
        <w:t xml:space="preserve">. Available at: </w:t>
      </w:r>
      <w:r>
        <w:fldChar w:fldCharType="begin"/>
      </w:r>
      <w:r>
        <w:instrText xml:space="preserve"> HYPERLINK "https://www.starbucksathome.com/gb/story/about-starbucks" \t "_new" </w:instrText>
      </w:r>
      <w:r>
        <w:fldChar w:fldCharType="separate"/>
      </w:r>
      <w:r>
        <w:rPr>
          <w:rStyle w:val="20"/>
        </w:rPr>
        <w:t>https://www.starbucksathome.com/gb/story/about-starbucks</w:t>
      </w:r>
      <w:r>
        <w:rPr>
          <w:rStyle w:val="20"/>
        </w:rPr>
        <w:fldChar w:fldCharType="end"/>
      </w:r>
      <w:r>
        <w:t xml:space="preserve"> (Accessed: 23 July 2026).</w:t>
      </w:r>
    </w:p>
    <w:p w14:paraId="2FAE5B91">
      <w:r>
        <w:t xml:space="preserve">Starbucks (2024b) </w:t>
      </w:r>
      <w:r>
        <w:rPr>
          <w:i/>
          <w:iCs/>
        </w:rPr>
        <w:t>Starbucks files UK and EMEA accounts for the fiscal year ended October 2023</w:t>
      </w:r>
      <w:r>
        <w:t xml:space="preserve">. Available at: </w:t>
      </w:r>
      <w:r>
        <w:fldChar w:fldCharType="begin"/>
      </w:r>
      <w:r>
        <w:instrText xml:space="preserve"> HYPERLINK "https://stories.starbucks.com/emea/stories/2024/starbucks-files-uk-and-emea-accounts-for-the-fiscal-year-ended-october-2023/" \t "_new" </w:instrText>
      </w:r>
      <w:r>
        <w:fldChar w:fldCharType="separate"/>
      </w:r>
      <w:r>
        <w:rPr>
          <w:rStyle w:val="20"/>
        </w:rPr>
        <w:t>https://stories.starbucks.com/emea/stories/2024/starbucks-files-uk-and-emea-accounts-for-the-fiscal-year-ended-october-2023/</w:t>
      </w:r>
      <w:r>
        <w:rPr>
          <w:rStyle w:val="20"/>
        </w:rPr>
        <w:fldChar w:fldCharType="end"/>
      </w:r>
      <w:r>
        <w:t xml:space="preserve"> (Accessed: 27 July 2026).</w:t>
      </w:r>
    </w:p>
    <w:p w14:paraId="4EFB85B1">
      <w:r>
        <w:t xml:space="preserve">Starbucks (2024c) </w:t>
      </w:r>
      <w:r>
        <w:rPr>
          <w:i/>
          <w:iCs/>
        </w:rPr>
        <w:t>Meet the Starbucks EMEA greener store of the year for 2023</w:t>
      </w:r>
      <w:r>
        <w:t xml:space="preserve">. Available at: </w:t>
      </w:r>
      <w:r>
        <w:fldChar w:fldCharType="begin"/>
      </w:r>
      <w:r>
        <w:instrText xml:space="preserve"> HYPERLINK "https://stories.starbucks.com/emea/stories/2024/meet-the-starbucks-emea-greener-store-of-the-year-for-2023/" \t "_new" </w:instrText>
      </w:r>
      <w:r>
        <w:fldChar w:fldCharType="separate"/>
      </w:r>
      <w:r>
        <w:rPr>
          <w:rStyle w:val="20"/>
        </w:rPr>
        <w:t>https://stories.starbucks.com/emea/stories/2024/meet-the-starbucks-emea-greener-store-of-the-year-for-2023/</w:t>
      </w:r>
      <w:r>
        <w:rPr>
          <w:rStyle w:val="20"/>
        </w:rPr>
        <w:fldChar w:fldCharType="end"/>
      </w:r>
      <w:r>
        <w:t xml:space="preserve"> (Accessed: 27 July 2026).</w:t>
      </w:r>
    </w:p>
    <w:p w14:paraId="2244C419">
      <w:r>
        <w:t xml:space="preserve">Starbucks (2026a) </w:t>
      </w:r>
      <w:r>
        <w:rPr>
          <w:i/>
          <w:iCs/>
        </w:rPr>
        <w:t>Our commitment to ethical sourcing</w:t>
      </w:r>
      <w:r>
        <w:t xml:space="preserve">. Available at: </w:t>
      </w:r>
      <w:r>
        <w:fldChar w:fldCharType="begin"/>
      </w:r>
      <w:r>
        <w:instrText xml:space="preserve"> HYPERLINK "https://www.starbucks.de/en/ethical-sourcing" \t "_new" </w:instrText>
      </w:r>
      <w:r>
        <w:fldChar w:fldCharType="separate"/>
      </w:r>
      <w:r>
        <w:rPr>
          <w:rStyle w:val="20"/>
        </w:rPr>
        <w:t>https://www.starbucks.de/en/ethical-sourcing</w:t>
      </w:r>
      <w:r>
        <w:rPr>
          <w:rStyle w:val="20"/>
        </w:rPr>
        <w:fldChar w:fldCharType="end"/>
      </w:r>
      <w:r>
        <w:t xml:space="preserve"> (Accessed: 27 July 2026).</w:t>
      </w:r>
    </w:p>
    <w:p w14:paraId="4323C308">
      <w:r>
        <w:t xml:space="preserve">Starbucks (2026b) </w:t>
      </w:r>
      <w:r>
        <w:rPr>
          <w:i/>
          <w:iCs/>
        </w:rPr>
        <w:t>Starbucks unveils reimagined loyalty program to deliver more meaningful value, personalization and engagement to members</w:t>
      </w:r>
      <w:r>
        <w:t xml:space="preserve">. Available at: </w:t>
      </w:r>
      <w:r>
        <w:fldChar w:fldCharType="begin"/>
      </w:r>
      <w:r>
        <w:instrText xml:space="preserve"> HYPERLINK "https://about.starbucks.com/press/2026/starbucks-unveils-reimagined-loyalty-program-to-deliver-more-meaningful-value-personalization-and-engagement-to-members/" \t "_new" </w:instrText>
      </w:r>
      <w:r>
        <w:fldChar w:fldCharType="separate"/>
      </w:r>
      <w:r>
        <w:rPr>
          <w:rStyle w:val="20"/>
        </w:rPr>
        <w:t>https://about.starbucks.com/press/2026/starbucks-unveils-reimagined-loyalty-program-to-deliver-more-meaningful-value-personalization-and-engagement-to-members/</w:t>
      </w:r>
      <w:r>
        <w:rPr>
          <w:rStyle w:val="20"/>
        </w:rPr>
        <w:fldChar w:fldCharType="end"/>
      </w:r>
      <w:r>
        <w:t xml:space="preserve"> (Accessed: 26 July 2026).</w:t>
      </w:r>
    </w:p>
    <w:p w14:paraId="4DFDDC7A">
      <w:r>
        <w:t xml:space="preserve">Starbucks EMEA (2026a) </w:t>
      </w:r>
      <w:r>
        <w:rPr>
          <w:i/>
          <w:iCs/>
        </w:rPr>
        <w:t>Our mission</w:t>
      </w:r>
      <w:r>
        <w:t xml:space="preserve">. Available at: </w:t>
      </w:r>
      <w:r>
        <w:fldChar w:fldCharType="begin"/>
      </w:r>
      <w:r>
        <w:instrText xml:space="preserve"> HYPERLINK "https://stories.starbucks.com/emea/" \t "_new" </w:instrText>
      </w:r>
      <w:r>
        <w:fldChar w:fldCharType="separate"/>
      </w:r>
      <w:r>
        <w:rPr>
          <w:rStyle w:val="20"/>
        </w:rPr>
        <w:t>https://stories.starbucks.com/emea/</w:t>
      </w:r>
      <w:r>
        <w:rPr>
          <w:rStyle w:val="20"/>
        </w:rPr>
        <w:fldChar w:fldCharType="end"/>
      </w:r>
      <w:r>
        <w:t xml:space="preserve"> (Accessed: 23 July 2026).</w:t>
      </w:r>
    </w:p>
    <w:p w14:paraId="1F00149B">
      <w:r>
        <w:t xml:space="preserve">Starbucks EMEA (2026b) </w:t>
      </w:r>
      <w:r>
        <w:rPr>
          <w:i/>
          <w:iCs/>
        </w:rPr>
        <w:t>Back to Starbucks: A new licensee model for UK growth</w:t>
      </w:r>
      <w:r>
        <w:t xml:space="preserve">. Available at: </w:t>
      </w:r>
      <w:r>
        <w:fldChar w:fldCharType="begin"/>
      </w:r>
      <w:r>
        <w:instrText xml:space="preserve"> HYPERLINK "https://stories.starbucks.com/emea/stories/2026/back-to-starbucks-a-new-licensee-model-for-uk-growth/" \t "_new" </w:instrText>
      </w:r>
      <w:r>
        <w:fldChar w:fldCharType="separate"/>
      </w:r>
      <w:r>
        <w:rPr>
          <w:rStyle w:val="20"/>
        </w:rPr>
        <w:t>https://stories.starbucks.com/emea/stories/2026/back-to-starbucks-a-new-licensee-model-for-uk-growth/</w:t>
      </w:r>
      <w:r>
        <w:rPr>
          <w:rStyle w:val="20"/>
        </w:rPr>
        <w:fldChar w:fldCharType="end"/>
      </w:r>
      <w:r>
        <w:t xml:space="preserve"> (Accessed: 28 July 2026).</w:t>
      </w:r>
    </w:p>
    <w:p w14:paraId="61234171">
      <w:r>
        <w:t xml:space="preserve">Starbucks UK (2026a) </w:t>
      </w:r>
      <w:r>
        <w:rPr>
          <w:i/>
          <w:iCs/>
        </w:rPr>
        <w:t>Ingredient sourcing</w:t>
      </w:r>
      <w:r>
        <w:t xml:space="preserve">. Available at: </w:t>
      </w:r>
      <w:r>
        <w:fldChar w:fldCharType="begin"/>
      </w:r>
      <w:r>
        <w:instrText xml:space="preserve"> HYPERLINK "https://www.starbucks.co.uk/responsibility-ingredient-sourcing" \t "_new" </w:instrText>
      </w:r>
      <w:r>
        <w:fldChar w:fldCharType="separate"/>
      </w:r>
      <w:r>
        <w:rPr>
          <w:rStyle w:val="20"/>
        </w:rPr>
        <w:t>https://www.starbucks.co.uk/responsibility-ingredient-sourcing</w:t>
      </w:r>
      <w:r>
        <w:rPr>
          <w:rStyle w:val="20"/>
        </w:rPr>
        <w:fldChar w:fldCharType="end"/>
      </w:r>
      <w:r>
        <w:t xml:space="preserve"> (Accessed: 27 July 2026).</w:t>
      </w:r>
    </w:p>
    <w:p w14:paraId="209282AA">
      <w:r>
        <w:t xml:space="preserve">Starbucks UK (2026b) </w:t>
      </w:r>
      <w:r>
        <w:rPr>
          <w:i/>
          <w:iCs/>
        </w:rPr>
        <w:t>Protein cold foam</w:t>
      </w:r>
      <w:r>
        <w:t xml:space="preserve">. Available at: </w:t>
      </w:r>
      <w:r>
        <w:fldChar w:fldCharType="begin"/>
      </w:r>
      <w:r>
        <w:instrText xml:space="preserve"> HYPERLINK "https://www.starbucks.co.uk/protein" \t "_new" </w:instrText>
      </w:r>
      <w:r>
        <w:fldChar w:fldCharType="separate"/>
      </w:r>
      <w:r>
        <w:rPr>
          <w:rStyle w:val="20"/>
        </w:rPr>
        <w:t>https://www.starbucks.co.uk/protein</w:t>
      </w:r>
      <w:r>
        <w:rPr>
          <w:rStyle w:val="20"/>
        </w:rPr>
        <w:fldChar w:fldCharType="end"/>
      </w:r>
      <w:r>
        <w:t xml:space="preserve"> (Accessed: 27 July 2026).</w:t>
      </w:r>
    </w:p>
    <w:p w14:paraId="2FAB7BD7">
      <w:r>
        <w:t xml:space="preserve">Statista (2022) </w:t>
      </w:r>
      <w:r>
        <w:rPr>
          <w:i/>
          <w:iCs/>
        </w:rPr>
        <w:t>Starbucks brand awareness, usage, popularity, loyalty, and buzz among restaurant chain customers in the UK in 2022</w:t>
      </w:r>
      <w:r>
        <w:t xml:space="preserve">. Available at: </w:t>
      </w:r>
      <w:r>
        <w:fldChar w:fldCharType="begin"/>
      </w:r>
      <w:r>
        <w:instrText xml:space="preserve"> HYPERLINK "https://www.statista.com/forecasts/1335711/starbucks-restaurant-chains-brand-profile-in-the-uk/" \t "_new" </w:instrText>
      </w:r>
      <w:r>
        <w:fldChar w:fldCharType="separate"/>
      </w:r>
      <w:r>
        <w:rPr>
          <w:rStyle w:val="20"/>
        </w:rPr>
        <w:t>https://www.statista.com/forecasts/1335711/starbucks-restaurant-chains-brand-profile-in-the-uk/</w:t>
      </w:r>
      <w:r>
        <w:rPr>
          <w:rStyle w:val="20"/>
        </w:rPr>
        <w:fldChar w:fldCharType="end"/>
      </w:r>
      <w:r>
        <w:t xml:space="preserve"> (Accessed: 27 July 2026).</w:t>
      </w:r>
    </w:p>
    <w:p w14:paraId="60BAB6E7">
      <w:r>
        <w:t xml:space="preserve">Statista (2025) </w:t>
      </w:r>
      <w:r>
        <w:rPr>
          <w:i/>
          <w:iCs/>
        </w:rPr>
        <w:t>Number of Starbucks stores in the United Kingdom from 2005 to 2025</w:t>
      </w:r>
      <w:r>
        <w:t xml:space="preserve">. Available at: </w:t>
      </w:r>
      <w:r>
        <w:fldChar w:fldCharType="begin"/>
      </w:r>
      <w:r>
        <w:instrText xml:space="preserve"> HYPERLINK "https://www.statista.com/statistics/218388/number-of-starbucks-stores-in-the-uk/" \t "_new" </w:instrText>
      </w:r>
      <w:r>
        <w:fldChar w:fldCharType="separate"/>
      </w:r>
      <w:r>
        <w:rPr>
          <w:rStyle w:val="20"/>
        </w:rPr>
        <w:t>https://www.statista.com/statistics/218388/number-of-starbucks-stores-in-the-uk/</w:t>
      </w:r>
      <w:r>
        <w:rPr>
          <w:rStyle w:val="20"/>
        </w:rPr>
        <w:fldChar w:fldCharType="end"/>
      </w:r>
      <w:r>
        <w:t xml:space="preserve"> (Accessed: 23 July 2025).</w:t>
      </w:r>
    </w:p>
    <w:p w14:paraId="7607A6EA">
      <w:r>
        <w:t xml:space="preserve">Statista Research Department (2026) </w:t>
      </w:r>
      <w:r>
        <w:rPr>
          <w:i/>
          <w:iCs/>
        </w:rPr>
        <w:t>Coffee shops and cafés in the UK: Statistics &amp; facts</w:t>
      </w:r>
      <w:r>
        <w:t xml:space="preserve">. Available at: </w:t>
      </w:r>
      <w:r>
        <w:fldChar w:fldCharType="begin"/>
      </w:r>
      <w:r>
        <w:instrText xml:space="preserve"> HYPERLINK "https://www.statista.com/topics/3650/cafes-and-coffee-shops-in-the-united-kingdom-uk/" \t "_new" </w:instrText>
      </w:r>
      <w:r>
        <w:fldChar w:fldCharType="separate"/>
      </w:r>
      <w:r>
        <w:rPr>
          <w:rStyle w:val="20"/>
        </w:rPr>
        <w:t>https://www.statista.com/topics/3650/cafes-and-coffee-shops-in-the-united-kingdom-uk/</w:t>
      </w:r>
      <w:r>
        <w:rPr>
          <w:rStyle w:val="20"/>
        </w:rPr>
        <w:fldChar w:fldCharType="end"/>
      </w:r>
      <w:r>
        <w:t xml:space="preserve"> (Accessed: 23 July 2026).</w:t>
      </w:r>
    </w:p>
    <w:p w14:paraId="1E9B4789">
      <w:r>
        <w:t xml:space="preserve">Tojiri, Y. (2023) 'Product differentiation strategy for organisational financial profitability: Enhancing market share and profitability—A comprehensive literature review', </w:t>
      </w:r>
      <w:r>
        <w:rPr>
          <w:i/>
          <w:iCs/>
        </w:rPr>
        <w:t>Atestasi: Jurnal Ilmiah Akuntansi</w:t>
      </w:r>
      <w:r>
        <w:t>, 6(2), pp. 856–876. Available at: https://jurnal.feb-umi.id/index.php/ATESTASI/article/download/821/638 (Accessed: 28 July 2026).</w:t>
      </w:r>
    </w:p>
    <w:p w14:paraId="4614153B">
      <w:r>
        <w:t xml:space="preserve">UK Business Climate Hub (2026) </w:t>
      </w:r>
      <w:r>
        <w:rPr>
          <w:i/>
          <w:iCs/>
        </w:rPr>
        <w:t>Find out about carbon emissions and the law</w:t>
      </w:r>
      <w:r>
        <w:t xml:space="preserve">. Available at: </w:t>
      </w:r>
      <w:r>
        <w:fldChar w:fldCharType="begin"/>
      </w:r>
      <w:r>
        <w:instrText xml:space="preserve"> HYPERLINK "https://businessclimatehub.uk/carbon-emissions-and-the-law/" \t "_new" </w:instrText>
      </w:r>
      <w:r>
        <w:fldChar w:fldCharType="separate"/>
      </w:r>
      <w:r>
        <w:rPr>
          <w:rStyle w:val="20"/>
        </w:rPr>
        <w:t>https://businessclimatehub.uk/carbon-emissions-and-the-law/</w:t>
      </w:r>
      <w:r>
        <w:rPr>
          <w:rStyle w:val="20"/>
        </w:rPr>
        <w:fldChar w:fldCharType="end"/>
      </w:r>
      <w:r>
        <w:t xml:space="preserve"> (Accessed: 26 July 2026).</w:t>
      </w:r>
    </w:p>
    <w:p w14:paraId="0B7F56B2">
      <w:r>
        <w:t xml:space="preserve">Whittington, R., Regnér, P., Johnson, G., Angwin, D. and Scholes, K. (2019) </w:t>
      </w:r>
      <w:r>
        <w:rPr>
          <w:i/>
          <w:iCs/>
        </w:rPr>
        <w:t>Exploring strategy</w:t>
      </w:r>
      <w:r>
        <w:t>. Harlow: Pearson.</w:t>
      </w:r>
    </w:p>
    <w:p w14:paraId="2F2DB179">
      <w:r>
        <w:t xml:space="preserve">Zhou, R., Wang, Y., Jin, M., Mao, J. and Zheng, X. (2022) 'Coffee supply chain planning under climate change', </w:t>
      </w:r>
      <w:r>
        <w:rPr>
          <w:i/>
          <w:iCs/>
        </w:rPr>
        <w:t>Journal of Integrative Environmental Sciences</w:t>
      </w:r>
      <w:r>
        <w:t xml:space="preserve">, 19(1), pp. 1–15. Available at: </w:t>
      </w:r>
      <w:r>
        <w:fldChar w:fldCharType="begin"/>
      </w:r>
      <w:r>
        <w:instrText xml:space="preserve"> HYPERLINK "https://www.tandfonline.com/doi/pdf/10.1080/1943815X.2022.2103570" \t "_new" </w:instrText>
      </w:r>
      <w:r>
        <w:fldChar w:fldCharType="separate"/>
      </w:r>
      <w:r>
        <w:rPr>
          <w:rStyle w:val="20"/>
        </w:rPr>
        <w:t>https://www.tandfonline.com/doi/pdf/10.1080/1943815X.2022.2103570</w:t>
      </w:r>
      <w:r>
        <w:rPr>
          <w:rStyle w:val="20"/>
        </w:rPr>
        <w:fldChar w:fldCharType="end"/>
      </w:r>
      <w:r>
        <w:t xml:space="preserve"> (Accessed: 28 July 2026).</w:t>
      </w:r>
    </w:p>
    <w:sectPr>
      <w:footerReference r:id="rId5" w:type="default"/>
      <w:pgSz w:w="11906" w:h="16838"/>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000247B" w:usb2="00000009" w:usb3="00000000" w:csb0="200001FF" w:csb1="00000000"/>
  </w:font>
  <w:font w:name="等线">
    <w:altName w:val="Arial Unicode MS"/>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 w:name="Arial Unicode MS">
    <w:panose1 w:val="020B0604020202020204"/>
    <w:charset w:val="86"/>
    <w:family w:val="auto"/>
    <w:pitch w:val="default"/>
    <w:sig w:usb0="FFFFFFFF" w:usb1="E9FFFFFF" w:usb2="0000003F" w:usb3="00000000" w:csb0="603F01FF" w:csb1="FFFF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sz w:val="20"/>
        <w:szCs w:val="18"/>
      </w:rPr>
      <w:id w:val="-977225665"/>
      <w:docPartObj>
        <w:docPartGallery w:val="AutoText"/>
      </w:docPartObj>
    </w:sdtPr>
    <w:sdtEndPr>
      <w:rPr>
        <w:sz w:val="20"/>
        <w:szCs w:val="18"/>
      </w:rPr>
    </w:sdtEndPr>
    <w:sdtContent>
      <w:p w14:paraId="6051B7FF">
        <w:pPr>
          <w:pStyle w:val="18"/>
          <w:jc w:val="right"/>
          <w:rPr>
            <w:sz w:val="20"/>
            <w:szCs w:val="18"/>
          </w:rPr>
        </w:pPr>
        <w:r>
          <w:rPr>
            <w:sz w:val="20"/>
            <w:szCs w:val="18"/>
          </w:rPr>
          <w:fldChar w:fldCharType="begin"/>
        </w:r>
        <w:r>
          <w:rPr>
            <w:sz w:val="20"/>
            <w:szCs w:val="18"/>
          </w:rPr>
          <w:instrText xml:space="preserve"> PAGE   \* MERGEFORMAT </w:instrText>
        </w:r>
        <w:r>
          <w:rPr>
            <w:sz w:val="20"/>
            <w:szCs w:val="18"/>
          </w:rPr>
          <w:fldChar w:fldCharType="separate"/>
        </w:r>
        <w:r>
          <w:rPr>
            <w:sz w:val="20"/>
            <w:szCs w:val="18"/>
          </w:rPr>
          <w:t>9</w:t>
        </w:r>
        <w:r>
          <w:rPr>
            <w:sz w:val="20"/>
            <w:szCs w:val="18"/>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4DA52CE"/>
    <w:multiLevelType w:val="multilevel"/>
    <w:tmpl w:val="04DA52CE"/>
    <w:lvl w:ilvl="0" w:tentative="0">
      <w:start w:val="1"/>
      <w:numFmt w:val="bullet"/>
      <w:lvlText w:val="•"/>
      <w:lvlJc w:val="left"/>
      <w:pPr>
        <w:tabs>
          <w:tab w:val="left" w:pos="720"/>
        </w:tabs>
        <w:ind w:left="720" w:hanging="360"/>
      </w:pPr>
      <w:rPr>
        <w:rFonts w:hint="default" w:ascii="Arial" w:hAnsi="Arial"/>
      </w:rPr>
    </w:lvl>
    <w:lvl w:ilvl="1" w:tentative="0">
      <w:start w:val="1"/>
      <w:numFmt w:val="bullet"/>
      <w:lvlText w:val="•"/>
      <w:lvlJc w:val="left"/>
      <w:pPr>
        <w:tabs>
          <w:tab w:val="left" w:pos="1440"/>
        </w:tabs>
        <w:ind w:left="1440" w:hanging="360"/>
      </w:pPr>
      <w:rPr>
        <w:rFonts w:hint="default" w:ascii="Arial" w:hAnsi="Arial"/>
      </w:rPr>
    </w:lvl>
    <w:lvl w:ilvl="2" w:tentative="0">
      <w:start w:val="1"/>
      <w:numFmt w:val="bullet"/>
      <w:lvlText w:val="•"/>
      <w:lvlJc w:val="left"/>
      <w:pPr>
        <w:tabs>
          <w:tab w:val="left" w:pos="2160"/>
        </w:tabs>
        <w:ind w:left="2160" w:hanging="360"/>
      </w:pPr>
      <w:rPr>
        <w:rFonts w:hint="default" w:ascii="Arial" w:hAnsi="Arial"/>
      </w:rPr>
    </w:lvl>
    <w:lvl w:ilvl="3" w:tentative="0">
      <w:start w:val="1"/>
      <w:numFmt w:val="bullet"/>
      <w:lvlText w:val="•"/>
      <w:lvlJc w:val="left"/>
      <w:pPr>
        <w:tabs>
          <w:tab w:val="left" w:pos="2880"/>
        </w:tabs>
        <w:ind w:left="2880" w:hanging="360"/>
      </w:pPr>
      <w:rPr>
        <w:rFonts w:hint="default" w:ascii="Arial" w:hAnsi="Arial"/>
      </w:rPr>
    </w:lvl>
    <w:lvl w:ilvl="4" w:tentative="0">
      <w:start w:val="1"/>
      <w:numFmt w:val="bullet"/>
      <w:lvlText w:val="•"/>
      <w:lvlJc w:val="left"/>
      <w:pPr>
        <w:tabs>
          <w:tab w:val="left" w:pos="3600"/>
        </w:tabs>
        <w:ind w:left="3600" w:hanging="360"/>
      </w:pPr>
      <w:rPr>
        <w:rFonts w:hint="default" w:ascii="Arial" w:hAnsi="Arial"/>
      </w:rPr>
    </w:lvl>
    <w:lvl w:ilvl="5" w:tentative="0">
      <w:start w:val="1"/>
      <w:numFmt w:val="bullet"/>
      <w:lvlText w:val="•"/>
      <w:lvlJc w:val="left"/>
      <w:pPr>
        <w:tabs>
          <w:tab w:val="left" w:pos="4320"/>
        </w:tabs>
        <w:ind w:left="4320" w:hanging="360"/>
      </w:pPr>
      <w:rPr>
        <w:rFonts w:hint="default" w:ascii="Arial" w:hAnsi="Arial"/>
      </w:rPr>
    </w:lvl>
    <w:lvl w:ilvl="6" w:tentative="0">
      <w:start w:val="1"/>
      <w:numFmt w:val="bullet"/>
      <w:lvlText w:val="•"/>
      <w:lvlJc w:val="left"/>
      <w:pPr>
        <w:tabs>
          <w:tab w:val="left" w:pos="5040"/>
        </w:tabs>
        <w:ind w:left="5040" w:hanging="360"/>
      </w:pPr>
      <w:rPr>
        <w:rFonts w:hint="default" w:ascii="Arial" w:hAnsi="Arial"/>
      </w:rPr>
    </w:lvl>
    <w:lvl w:ilvl="7" w:tentative="0">
      <w:start w:val="1"/>
      <w:numFmt w:val="bullet"/>
      <w:lvlText w:val="•"/>
      <w:lvlJc w:val="left"/>
      <w:pPr>
        <w:tabs>
          <w:tab w:val="left" w:pos="5760"/>
        </w:tabs>
        <w:ind w:left="5760" w:hanging="360"/>
      </w:pPr>
      <w:rPr>
        <w:rFonts w:hint="default" w:ascii="Arial" w:hAnsi="Arial"/>
      </w:rPr>
    </w:lvl>
    <w:lvl w:ilvl="8" w:tentative="0">
      <w:start w:val="1"/>
      <w:numFmt w:val="bullet"/>
      <w:lvlText w:val="•"/>
      <w:lvlJc w:val="left"/>
      <w:pPr>
        <w:tabs>
          <w:tab w:val="left" w:pos="6480"/>
        </w:tabs>
        <w:ind w:left="6480" w:hanging="360"/>
      </w:pPr>
      <w:rPr>
        <w:rFonts w:hint="default" w:ascii="Arial" w:hAnsi="Arial"/>
      </w:rPr>
    </w:lvl>
  </w:abstractNum>
  <w:abstractNum w:abstractNumId="1">
    <w:nsid w:val="28660539"/>
    <w:multiLevelType w:val="multilevel"/>
    <w:tmpl w:val="28660539"/>
    <w:lvl w:ilvl="0" w:tentative="0">
      <w:start w:val="1"/>
      <w:numFmt w:val="bullet"/>
      <w:lvlText w:val="•"/>
      <w:lvlJc w:val="left"/>
      <w:pPr>
        <w:tabs>
          <w:tab w:val="left" w:pos="720"/>
        </w:tabs>
        <w:ind w:left="720" w:hanging="360"/>
      </w:pPr>
      <w:rPr>
        <w:rFonts w:hint="default" w:ascii="Arial" w:hAnsi="Arial"/>
      </w:rPr>
    </w:lvl>
    <w:lvl w:ilvl="1" w:tentative="0">
      <w:start w:val="1"/>
      <w:numFmt w:val="bullet"/>
      <w:lvlText w:val="•"/>
      <w:lvlJc w:val="left"/>
      <w:pPr>
        <w:tabs>
          <w:tab w:val="left" w:pos="1440"/>
        </w:tabs>
        <w:ind w:left="1440" w:hanging="360"/>
      </w:pPr>
      <w:rPr>
        <w:rFonts w:hint="default" w:ascii="Arial" w:hAnsi="Arial"/>
      </w:rPr>
    </w:lvl>
    <w:lvl w:ilvl="2" w:tentative="0">
      <w:start w:val="1"/>
      <w:numFmt w:val="bullet"/>
      <w:lvlText w:val="•"/>
      <w:lvlJc w:val="left"/>
      <w:pPr>
        <w:tabs>
          <w:tab w:val="left" w:pos="2160"/>
        </w:tabs>
        <w:ind w:left="2160" w:hanging="360"/>
      </w:pPr>
      <w:rPr>
        <w:rFonts w:hint="default" w:ascii="Arial" w:hAnsi="Arial"/>
      </w:rPr>
    </w:lvl>
    <w:lvl w:ilvl="3" w:tentative="0">
      <w:start w:val="1"/>
      <w:numFmt w:val="bullet"/>
      <w:lvlText w:val="•"/>
      <w:lvlJc w:val="left"/>
      <w:pPr>
        <w:tabs>
          <w:tab w:val="left" w:pos="2880"/>
        </w:tabs>
        <w:ind w:left="2880" w:hanging="360"/>
      </w:pPr>
      <w:rPr>
        <w:rFonts w:hint="default" w:ascii="Arial" w:hAnsi="Arial"/>
      </w:rPr>
    </w:lvl>
    <w:lvl w:ilvl="4" w:tentative="0">
      <w:start w:val="1"/>
      <w:numFmt w:val="bullet"/>
      <w:lvlText w:val="•"/>
      <w:lvlJc w:val="left"/>
      <w:pPr>
        <w:tabs>
          <w:tab w:val="left" w:pos="3600"/>
        </w:tabs>
        <w:ind w:left="3600" w:hanging="360"/>
      </w:pPr>
      <w:rPr>
        <w:rFonts w:hint="default" w:ascii="Arial" w:hAnsi="Arial"/>
      </w:rPr>
    </w:lvl>
    <w:lvl w:ilvl="5" w:tentative="0">
      <w:start w:val="1"/>
      <w:numFmt w:val="bullet"/>
      <w:lvlText w:val="•"/>
      <w:lvlJc w:val="left"/>
      <w:pPr>
        <w:tabs>
          <w:tab w:val="left" w:pos="4320"/>
        </w:tabs>
        <w:ind w:left="4320" w:hanging="360"/>
      </w:pPr>
      <w:rPr>
        <w:rFonts w:hint="default" w:ascii="Arial" w:hAnsi="Arial"/>
      </w:rPr>
    </w:lvl>
    <w:lvl w:ilvl="6" w:tentative="0">
      <w:start w:val="1"/>
      <w:numFmt w:val="bullet"/>
      <w:lvlText w:val="•"/>
      <w:lvlJc w:val="left"/>
      <w:pPr>
        <w:tabs>
          <w:tab w:val="left" w:pos="5040"/>
        </w:tabs>
        <w:ind w:left="5040" w:hanging="360"/>
      </w:pPr>
      <w:rPr>
        <w:rFonts w:hint="default" w:ascii="Arial" w:hAnsi="Arial"/>
      </w:rPr>
    </w:lvl>
    <w:lvl w:ilvl="7" w:tentative="0">
      <w:start w:val="1"/>
      <w:numFmt w:val="bullet"/>
      <w:lvlText w:val="•"/>
      <w:lvlJc w:val="left"/>
      <w:pPr>
        <w:tabs>
          <w:tab w:val="left" w:pos="5760"/>
        </w:tabs>
        <w:ind w:left="5760" w:hanging="360"/>
      </w:pPr>
      <w:rPr>
        <w:rFonts w:hint="default" w:ascii="Arial" w:hAnsi="Arial"/>
      </w:rPr>
    </w:lvl>
    <w:lvl w:ilvl="8" w:tentative="0">
      <w:start w:val="1"/>
      <w:numFmt w:val="bullet"/>
      <w:lvlText w:val="•"/>
      <w:lvlJc w:val="left"/>
      <w:pPr>
        <w:tabs>
          <w:tab w:val="left" w:pos="6480"/>
        </w:tabs>
        <w:ind w:left="6480" w:hanging="360"/>
      </w:pPr>
      <w:rPr>
        <w:rFonts w:hint="default" w:ascii="Arial" w:hAnsi="Arial"/>
      </w:rPr>
    </w:lvl>
  </w:abstractNum>
  <w:abstractNum w:abstractNumId="2">
    <w:nsid w:val="53A10DE9"/>
    <w:multiLevelType w:val="multilevel"/>
    <w:tmpl w:val="53A10DE9"/>
    <w:lvl w:ilvl="0" w:tentative="0">
      <w:start w:val="1"/>
      <w:numFmt w:val="bullet"/>
      <w:lvlText w:val="•"/>
      <w:lvlJc w:val="left"/>
      <w:pPr>
        <w:tabs>
          <w:tab w:val="left" w:pos="720"/>
        </w:tabs>
        <w:ind w:left="720" w:hanging="360"/>
      </w:pPr>
      <w:rPr>
        <w:rFonts w:hint="default" w:ascii="Arial" w:hAnsi="Arial"/>
      </w:rPr>
    </w:lvl>
    <w:lvl w:ilvl="1" w:tentative="0">
      <w:start w:val="1"/>
      <w:numFmt w:val="bullet"/>
      <w:lvlText w:val="•"/>
      <w:lvlJc w:val="left"/>
      <w:pPr>
        <w:tabs>
          <w:tab w:val="left" w:pos="1440"/>
        </w:tabs>
        <w:ind w:left="1440" w:hanging="360"/>
      </w:pPr>
      <w:rPr>
        <w:rFonts w:hint="default" w:ascii="Arial" w:hAnsi="Arial"/>
      </w:rPr>
    </w:lvl>
    <w:lvl w:ilvl="2" w:tentative="0">
      <w:start w:val="1"/>
      <w:numFmt w:val="bullet"/>
      <w:lvlText w:val="•"/>
      <w:lvlJc w:val="left"/>
      <w:pPr>
        <w:tabs>
          <w:tab w:val="left" w:pos="2160"/>
        </w:tabs>
        <w:ind w:left="2160" w:hanging="360"/>
      </w:pPr>
      <w:rPr>
        <w:rFonts w:hint="default" w:ascii="Arial" w:hAnsi="Arial"/>
      </w:rPr>
    </w:lvl>
    <w:lvl w:ilvl="3" w:tentative="0">
      <w:start w:val="1"/>
      <w:numFmt w:val="bullet"/>
      <w:lvlText w:val="•"/>
      <w:lvlJc w:val="left"/>
      <w:pPr>
        <w:tabs>
          <w:tab w:val="left" w:pos="2880"/>
        </w:tabs>
        <w:ind w:left="2880" w:hanging="360"/>
      </w:pPr>
      <w:rPr>
        <w:rFonts w:hint="default" w:ascii="Arial" w:hAnsi="Arial"/>
      </w:rPr>
    </w:lvl>
    <w:lvl w:ilvl="4" w:tentative="0">
      <w:start w:val="1"/>
      <w:numFmt w:val="bullet"/>
      <w:lvlText w:val="•"/>
      <w:lvlJc w:val="left"/>
      <w:pPr>
        <w:tabs>
          <w:tab w:val="left" w:pos="3600"/>
        </w:tabs>
        <w:ind w:left="3600" w:hanging="360"/>
      </w:pPr>
      <w:rPr>
        <w:rFonts w:hint="default" w:ascii="Arial" w:hAnsi="Arial"/>
      </w:rPr>
    </w:lvl>
    <w:lvl w:ilvl="5" w:tentative="0">
      <w:start w:val="1"/>
      <w:numFmt w:val="bullet"/>
      <w:lvlText w:val="•"/>
      <w:lvlJc w:val="left"/>
      <w:pPr>
        <w:tabs>
          <w:tab w:val="left" w:pos="4320"/>
        </w:tabs>
        <w:ind w:left="4320" w:hanging="360"/>
      </w:pPr>
      <w:rPr>
        <w:rFonts w:hint="default" w:ascii="Arial" w:hAnsi="Arial"/>
      </w:rPr>
    </w:lvl>
    <w:lvl w:ilvl="6" w:tentative="0">
      <w:start w:val="1"/>
      <w:numFmt w:val="bullet"/>
      <w:lvlText w:val="•"/>
      <w:lvlJc w:val="left"/>
      <w:pPr>
        <w:tabs>
          <w:tab w:val="left" w:pos="5040"/>
        </w:tabs>
        <w:ind w:left="5040" w:hanging="360"/>
      </w:pPr>
      <w:rPr>
        <w:rFonts w:hint="default" w:ascii="Arial" w:hAnsi="Arial"/>
      </w:rPr>
    </w:lvl>
    <w:lvl w:ilvl="7" w:tentative="0">
      <w:start w:val="1"/>
      <w:numFmt w:val="bullet"/>
      <w:lvlText w:val="•"/>
      <w:lvlJc w:val="left"/>
      <w:pPr>
        <w:tabs>
          <w:tab w:val="left" w:pos="5760"/>
        </w:tabs>
        <w:ind w:left="5760" w:hanging="360"/>
      </w:pPr>
      <w:rPr>
        <w:rFonts w:hint="default" w:ascii="Arial" w:hAnsi="Arial"/>
      </w:rPr>
    </w:lvl>
    <w:lvl w:ilvl="8" w:tentative="0">
      <w:start w:val="1"/>
      <w:numFmt w:val="bullet"/>
      <w:lvlText w:val="•"/>
      <w:lvlJc w:val="left"/>
      <w:pPr>
        <w:tabs>
          <w:tab w:val="left" w:pos="6480"/>
        </w:tabs>
        <w:ind w:left="6480" w:hanging="360"/>
      </w:pPr>
      <w:rPr>
        <w:rFonts w:hint="default" w:ascii="Arial" w:hAnsi="Arial"/>
      </w:rPr>
    </w:lvl>
  </w:abstractNum>
  <w:abstractNum w:abstractNumId="3">
    <w:nsid w:val="68486DAC"/>
    <w:multiLevelType w:val="multilevel"/>
    <w:tmpl w:val="68486DAC"/>
    <w:lvl w:ilvl="0" w:tentative="0">
      <w:start w:val="1"/>
      <w:numFmt w:val="bullet"/>
      <w:lvlText w:val="•"/>
      <w:lvlJc w:val="left"/>
      <w:pPr>
        <w:tabs>
          <w:tab w:val="left" w:pos="720"/>
        </w:tabs>
        <w:ind w:left="720" w:hanging="360"/>
      </w:pPr>
      <w:rPr>
        <w:rFonts w:hint="default" w:ascii="Arial" w:hAnsi="Arial"/>
      </w:rPr>
    </w:lvl>
    <w:lvl w:ilvl="1" w:tentative="0">
      <w:start w:val="1"/>
      <w:numFmt w:val="bullet"/>
      <w:lvlText w:val="•"/>
      <w:lvlJc w:val="left"/>
      <w:pPr>
        <w:tabs>
          <w:tab w:val="left" w:pos="1440"/>
        </w:tabs>
        <w:ind w:left="1440" w:hanging="360"/>
      </w:pPr>
      <w:rPr>
        <w:rFonts w:hint="default" w:ascii="Arial" w:hAnsi="Arial"/>
      </w:rPr>
    </w:lvl>
    <w:lvl w:ilvl="2" w:tentative="0">
      <w:start w:val="1"/>
      <w:numFmt w:val="bullet"/>
      <w:lvlText w:val="•"/>
      <w:lvlJc w:val="left"/>
      <w:pPr>
        <w:tabs>
          <w:tab w:val="left" w:pos="2160"/>
        </w:tabs>
        <w:ind w:left="2160" w:hanging="360"/>
      </w:pPr>
      <w:rPr>
        <w:rFonts w:hint="default" w:ascii="Arial" w:hAnsi="Arial"/>
      </w:rPr>
    </w:lvl>
    <w:lvl w:ilvl="3" w:tentative="0">
      <w:start w:val="1"/>
      <w:numFmt w:val="bullet"/>
      <w:lvlText w:val="•"/>
      <w:lvlJc w:val="left"/>
      <w:pPr>
        <w:tabs>
          <w:tab w:val="left" w:pos="2880"/>
        </w:tabs>
        <w:ind w:left="2880" w:hanging="360"/>
      </w:pPr>
      <w:rPr>
        <w:rFonts w:hint="default" w:ascii="Arial" w:hAnsi="Arial"/>
      </w:rPr>
    </w:lvl>
    <w:lvl w:ilvl="4" w:tentative="0">
      <w:start w:val="1"/>
      <w:numFmt w:val="bullet"/>
      <w:lvlText w:val="•"/>
      <w:lvlJc w:val="left"/>
      <w:pPr>
        <w:tabs>
          <w:tab w:val="left" w:pos="3600"/>
        </w:tabs>
        <w:ind w:left="3600" w:hanging="360"/>
      </w:pPr>
      <w:rPr>
        <w:rFonts w:hint="default" w:ascii="Arial" w:hAnsi="Arial"/>
      </w:rPr>
    </w:lvl>
    <w:lvl w:ilvl="5" w:tentative="0">
      <w:start w:val="1"/>
      <w:numFmt w:val="bullet"/>
      <w:lvlText w:val="•"/>
      <w:lvlJc w:val="left"/>
      <w:pPr>
        <w:tabs>
          <w:tab w:val="left" w:pos="4320"/>
        </w:tabs>
        <w:ind w:left="4320" w:hanging="360"/>
      </w:pPr>
      <w:rPr>
        <w:rFonts w:hint="default" w:ascii="Arial" w:hAnsi="Arial"/>
      </w:rPr>
    </w:lvl>
    <w:lvl w:ilvl="6" w:tentative="0">
      <w:start w:val="1"/>
      <w:numFmt w:val="bullet"/>
      <w:lvlText w:val="•"/>
      <w:lvlJc w:val="left"/>
      <w:pPr>
        <w:tabs>
          <w:tab w:val="left" w:pos="5040"/>
        </w:tabs>
        <w:ind w:left="5040" w:hanging="360"/>
      </w:pPr>
      <w:rPr>
        <w:rFonts w:hint="default" w:ascii="Arial" w:hAnsi="Arial"/>
      </w:rPr>
    </w:lvl>
    <w:lvl w:ilvl="7" w:tentative="0">
      <w:start w:val="1"/>
      <w:numFmt w:val="bullet"/>
      <w:lvlText w:val="•"/>
      <w:lvlJc w:val="left"/>
      <w:pPr>
        <w:tabs>
          <w:tab w:val="left" w:pos="5760"/>
        </w:tabs>
        <w:ind w:left="5760" w:hanging="360"/>
      </w:pPr>
      <w:rPr>
        <w:rFonts w:hint="default" w:ascii="Arial" w:hAnsi="Arial"/>
      </w:rPr>
    </w:lvl>
    <w:lvl w:ilvl="8" w:tentative="0">
      <w:start w:val="1"/>
      <w:numFmt w:val="bullet"/>
      <w:lvlText w:val="•"/>
      <w:lvlJc w:val="left"/>
      <w:pPr>
        <w:tabs>
          <w:tab w:val="left" w:pos="6480"/>
        </w:tabs>
        <w:ind w:left="6480" w:hanging="360"/>
      </w:pPr>
      <w:rPr>
        <w:rFonts w:hint="default" w:ascii="Arial" w:hAnsi="Arial"/>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5"/>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1B6D"/>
    <w:rsid w:val="00010C2D"/>
    <w:rsid w:val="00013949"/>
    <w:rsid w:val="000400E3"/>
    <w:rsid w:val="00040AF7"/>
    <w:rsid w:val="00042BD2"/>
    <w:rsid w:val="00067C6C"/>
    <w:rsid w:val="00084F90"/>
    <w:rsid w:val="00090B62"/>
    <w:rsid w:val="000958CC"/>
    <w:rsid w:val="000963F2"/>
    <w:rsid w:val="000B0B0C"/>
    <w:rsid w:val="000B2201"/>
    <w:rsid w:val="000C0541"/>
    <w:rsid w:val="000D387C"/>
    <w:rsid w:val="000E497E"/>
    <w:rsid w:val="00100CCF"/>
    <w:rsid w:val="001041F3"/>
    <w:rsid w:val="0011741D"/>
    <w:rsid w:val="001175C9"/>
    <w:rsid w:val="00120454"/>
    <w:rsid w:val="001327D8"/>
    <w:rsid w:val="00146785"/>
    <w:rsid w:val="00153E8B"/>
    <w:rsid w:val="00162144"/>
    <w:rsid w:val="00163F3D"/>
    <w:rsid w:val="00165359"/>
    <w:rsid w:val="00167E37"/>
    <w:rsid w:val="00167E64"/>
    <w:rsid w:val="0017029A"/>
    <w:rsid w:val="00180C40"/>
    <w:rsid w:val="00184E68"/>
    <w:rsid w:val="001853B7"/>
    <w:rsid w:val="001C11C4"/>
    <w:rsid w:val="001C7D7A"/>
    <w:rsid w:val="001F3BA4"/>
    <w:rsid w:val="001F3EDA"/>
    <w:rsid w:val="00204D70"/>
    <w:rsid w:val="002051D5"/>
    <w:rsid w:val="00210877"/>
    <w:rsid w:val="00211429"/>
    <w:rsid w:val="00213D4E"/>
    <w:rsid w:val="00225A02"/>
    <w:rsid w:val="0022735A"/>
    <w:rsid w:val="00237BBA"/>
    <w:rsid w:val="0025477A"/>
    <w:rsid w:val="002655B6"/>
    <w:rsid w:val="002754EE"/>
    <w:rsid w:val="00292B89"/>
    <w:rsid w:val="00296ADC"/>
    <w:rsid w:val="002A7AC6"/>
    <w:rsid w:val="002B177A"/>
    <w:rsid w:val="002F704D"/>
    <w:rsid w:val="002F7BB3"/>
    <w:rsid w:val="00304357"/>
    <w:rsid w:val="0030516B"/>
    <w:rsid w:val="00306308"/>
    <w:rsid w:val="003067AA"/>
    <w:rsid w:val="00313F56"/>
    <w:rsid w:val="00344520"/>
    <w:rsid w:val="00375103"/>
    <w:rsid w:val="00387D44"/>
    <w:rsid w:val="003909FD"/>
    <w:rsid w:val="003A265C"/>
    <w:rsid w:val="003B0852"/>
    <w:rsid w:val="003C3542"/>
    <w:rsid w:val="003D2D59"/>
    <w:rsid w:val="003D4CC5"/>
    <w:rsid w:val="003E02A7"/>
    <w:rsid w:val="00407251"/>
    <w:rsid w:val="00411906"/>
    <w:rsid w:val="0044627D"/>
    <w:rsid w:val="00453CB7"/>
    <w:rsid w:val="00463A31"/>
    <w:rsid w:val="004709A0"/>
    <w:rsid w:val="00480C0C"/>
    <w:rsid w:val="0048260C"/>
    <w:rsid w:val="00482AC7"/>
    <w:rsid w:val="004957CA"/>
    <w:rsid w:val="004A0854"/>
    <w:rsid w:val="004A3890"/>
    <w:rsid w:val="004A4E8A"/>
    <w:rsid w:val="004A6A76"/>
    <w:rsid w:val="004B15C9"/>
    <w:rsid w:val="004B69D3"/>
    <w:rsid w:val="004C5C77"/>
    <w:rsid w:val="00500E4D"/>
    <w:rsid w:val="00507538"/>
    <w:rsid w:val="00523296"/>
    <w:rsid w:val="00531CDD"/>
    <w:rsid w:val="00531CF9"/>
    <w:rsid w:val="00543592"/>
    <w:rsid w:val="005460D5"/>
    <w:rsid w:val="005504F6"/>
    <w:rsid w:val="005507A8"/>
    <w:rsid w:val="00554043"/>
    <w:rsid w:val="00560548"/>
    <w:rsid w:val="0056061C"/>
    <w:rsid w:val="00574F47"/>
    <w:rsid w:val="005B5257"/>
    <w:rsid w:val="005B6DBE"/>
    <w:rsid w:val="005C68EF"/>
    <w:rsid w:val="005D2579"/>
    <w:rsid w:val="005D3402"/>
    <w:rsid w:val="005E3DA5"/>
    <w:rsid w:val="005E66F1"/>
    <w:rsid w:val="005F265E"/>
    <w:rsid w:val="00600646"/>
    <w:rsid w:val="0061111B"/>
    <w:rsid w:val="00611AD7"/>
    <w:rsid w:val="00611DC1"/>
    <w:rsid w:val="00633148"/>
    <w:rsid w:val="006344F7"/>
    <w:rsid w:val="00652A06"/>
    <w:rsid w:val="006617F2"/>
    <w:rsid w:val="006627DA"/>
    <w:rsid w:val="006849C9"/>
    <w:rsid w:val="006A6843"/>
    <w:rsid w:val="006D3CF9"/>
    <w:rsid w:val="006E41A3"/>
    <w:rsid w:val="00705F09"/>
    <w:rsid w:val="0071215C"/>
    <w:rsid w:val="00715877"/>
    <w:rsid w:val="007173AA"/>
    <w:rsid w:val="0072465E"/>
    <w:rsid w:val="00726623"/>
    <w:rsid w:val="00733254"/>
    <w:rsid w:val="00746E05"/>
    <w:rsid w:val="00750A8C"/>
    <w:rsid w:val="00754FC0"/>
    <w:rsid w:val="0076040C"/>
    <w:rsid w:val="00760DE0"/>
    <w:rsid w:val="00767F06"/>
    <w:rsid w:val="00771464"/>
    <w:rsid w:val="00772A2D"/>
    <w:rsid w:val="007906BC"/>
    <w:rsid w:val="007B7E20"/>
    <w:rsid w:val="007C5061"/>
    <w:rsid w:val="007E507D"/>
    <w:rsid w:val="007F4220"/>
    <w:rsid w:val="0080140B"/>
    <w:rsid w:val="0080794F"/>
    <w:rsid w:val="00814BF3"/>
    <w:rsid w:val="0083196E"/>
    <w:rsid w:val="00846446"/>
    <w:rsid w:val="008466C5"/>
    <w:rsid w:val="00850305"/>
    <w:rsid w:val="008524A6"/>
    <w:rsid w:val="00862507"/>
    <w:rsid w:val="00881B99"/>
    <w:rsid w:val="008831DB"/>
    <w:rsid w:val="008A4CF1"/>
    <w:rsid w:val="008A6844"/>
    <w:rsid w:val="008B5E89"/>
    <w:rsid w:val="008B77D9"/>
    <w:rsid w:val="008C0EDB"/>
    <w:rsid w:val="008C4643"/>
    <w:rsid w:val="008D4B9F"/>
    <w:rsid w:val="008E37A6"/>
    <w:rsid w:val="008E457C"/>
    <w:rsid w:val="009017DE"/>
    <w:rsid w:val="009232A0"/>
    <w:rsid w:val="00933958"/>
    <w:rsid w:val="00933A3B"/>
    <w:rsid w:val="00933B34"/>
    <w:rsid w:val="009365B2"/>
    <w:rsid w:val="00951674"/>
    <w:rsid w:val="00970EA1"/>
    <w:rsid w:val="009965F9"/>
    <w:rsid w:val="00997F8E"/>
    <w:rsid w:val="009A0665"/>
    <w:rsid w:val="009A2736"/>
    <w:rsid w:val="009D6E24"/>
    <w:rsid w:val="009F3671"/>
    <w:rsid w:val="009F4441"/>
    <w:rsid w:val="00A00370"/>
    <w:rsid w:val="00A02690"/>
    <w:rsid w:val="00A07D95"/>
    <w:rsid w:val="00A140B5"/>
    <w:rsid w:val="00A150D1"/>
    <w:rsid w:val="00A2172D"/>
    <w:rsid w:val="00A3163F"/>
    <w:rsid w:val="00A32FDC"/>
    <w:rsid w:val="00A4484C"/>
    <w:rsid w:val="00A5192A"/>
    <w:rsid w:val="00A57581"/>
    <w:rsid w:val="00A651E5"/>
    <w:rsid w:val="00A878E7"/>
    <w:rsid w:val="00AC0DC4"/>
    <w:rsid w:val="00AC1491"/>
    <w:rsid w:val="00AC15F6"/>
    <w:rsid w:val="00AD153F"/>
    <w:rsid w:val="00B070B9"/>
    <w:rsid w:val="00B3140C"/>
    <w:rsid w:val="00B3402B"/>
    <w:rsid w:val="00B4674F"/>
    <w:rsid w:val="00B47778"/>
    <w:rsid w:val="00B5049C"/>
    <w:rsid w:val="00B575F3"/>
    <w:rsid w:val="00B61811"/>
    <w:rsid w:val="00B7644C"/>
    <w:rsid w:val="00BB6342"/>
    <w:rsid w:val="00BC3D88"/>
    <w:rsid w:val="00BC5D9B"/>
    <w:rsid w:val="00BF2987"/>
    <w:rsid w:val="00BF7C18"/>
    <w:rsid w:val="00C00173"/>
    <w:rsid w:val="00C062E8"/>
    <w:rsid w:val="00C1324D"/>
    <w:rsid w:val="00C1756D"/>
    <w:rsid w:val="00C21B6D"/>
    <w:rsid w:val="00C32A9F"/>
    <w:rsid w:val="00C5060B"/>
    <w:rsid w:val="00C5340C"/>
    <w:rsid w:val="00C60663"/>
    <w:rsid w:val="00C652E4"/>
    <w:rsid w:val="00C67681"/>
    <w:rsid w:val="00C725D2"/>
    <w:rsid w:val="00C76F3E"/>
    <w:rsid w:val="00C852E4"/>
    <w:rsid w:val="00C905F4"/>
    <w:rsid w:val="00C91506"/>
    <w:rsid w:val="00C91962"/>
    <w:rsid w:val="00CA2721"/>
    <w:rsid w:val="00CB7944"/>
    <w:rsid w:val="00CC1401"/>
    <w:rsid w:val="00CC4302"/>
    <w:rsid w:val="00CD13FB"/>
    <w:rsid w:val="00CD5FA5"/>
    <w:rsid w:val="00CE5B29"/>
    <w:rsid w:val="00D204DC"/>
    <w:rsid w:val="00D23A84"/>
    <w:rsid w:val="00D246A2"/>
    <w:rsid w:val="00D3416A"/>
    <w:rsid w:val="00D373E9"/>
    <w:rsid w:val="00D415A2"/>
    <w:rsid w:val="00D51488"/>
    <w:rsid w:val="00D57CA1"/>
    <w:rsid w:val="00D61E0F"/>
    <w:rsid w:val="00D64228"/>
    <w:rsid w:val="00D67264"/>
    <w:rsid w:val="00D674E1"/>
    <w:rsid w:val="00D81348"/>
    <w:rsid w:val="00D93505"/>
    <w:rsid w:val="00D95C7C"/>
    <w:rsid w:val="00DE3992"/>
    <w:rsid w:val="00DF2DB7"/>
    <w:rsid w:val="00DF73A4"/>
    <w:rsid w:val="00E02E5A"/>
    <w:rsid w:val="00E17951"/>
    <w:rsid w:val="00E32554"/>
    <w:rsid w:val="00E4584C"/>
    <w:rsid w:val="00E4771F"/>
    <w:rsid w:val="00E54385"/>
    <w:rsid w:val="00E66D97"/>
    <w:rsid w:val="00E768EB"/>
    <w:rsid w:val="00E8688E"/>
    <w:rsid w:val="00E9376D"/>
    <w:rsid w:val="00EA200F"/>
    <w:rsid w:val="00EA4AAD"/>
    <w:rsid w:val="00EB384C"/>
    <w:rsid w:val="00EC2430"/>
    <w:rsid w:val="00EF5B3A"/>
    <w:rsid w:val="00F00267"/>
    <w:rsid w:val="00F102C9"/>
    <w:rsid w:val="00F23311"/>
    <w:rsid w:val="00F246AD"/>
    <w:rsid w:val="00F25727"/>
    <w:rsid w:val="00F37E72"/>
    <w:rsid w:val="00F6273D"/>
    <w:rsid w:val="00F7276F"/>
    <w:rsid w:val="00F736A3"/>
    <w:rsid w:val="00F800D8"/>
    <w:rsid w:val="00FA4C0B"/>
    <w:rsid w:val="00FB0EDB"/>
    <w:rsid w:val="00FB7832"/>
    <w:rsid w:val="00FE7510"/>
    <w:rsid w:val="52501648"/>
    <w:rsid w:val="5A5020B9"/>
    <w:rsid w:val="7448587B"/>
    <w:rsid w:val="7B047C5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Arial" w:hAnsi="Arial" w:eastAsiaTheme="minorHAnsi" w:cstheme="minorBidi"/>
      <w:kern w:val="0"/>
      <w:sz w:val="24"/>
      <w:szCs w:val="22"/>
      <w:lang w:val="en-GB" w:eastAsia="en-US" w:bidi="ar-SA"/>
      <w14:ligatures w14:val="none"/>
    </w:rPr>
  </w:style>
  <w:style w:type="paragraph" w:styleId="2">
    <w:name w:val="heading 1"/>
    <w:basedOn w:val="1"/>
    <w:next w:val="1"/>
    <w:link w:val="29"/>
    <w:qFormat/>
    <w:uiPriority w:val="9"/>
    <w:pPr>
      <w:keepNext/>
      <w:keepLines/>
      <w:spacing w:before="360" w:after="80"/>
      <w:outlineLvl w:val="0"/>
    </w:pPr>
    <w:rPr>
      <w:rFonts w:eastAsiaTheme="majorEastAsia" w:cstheme="majorBidi"/>
      <w:b/>
      <w:sz w:val="28"/>
      <w:szCs w:val="40"/>
    </w:rPr>
  </w:style>
  <w:style w:type="paragraph" w:styleId="3">
    <w:name w:val="heading 2"/>
    <w:basedOn w:val="1"/>
    <w:next w:val="1"/>
    <w:link w:val="30"/>
    <w:unhideWhenUsed/>
    <w:qFormat/>
    <w:uiPriority w:val="9"/>
    <w:pPr>
      <w:keepNext/>
      <w:keepLines/>
      <w:spacing w:before="160" w:after="80"/>
      <w:outlineLvl w:val="1"/>
    </w:pPr>
    <w:rPr>
      <w:rFonts w:eastAsiaTheme="majorEastAsia" w:cstheme="majorBidi"/>
      <w:b/>
      <w:sz w:val="28"/>
      <w:szCs w:val="32"/>
    </w:rPr>
  </w:style>
  <w:style w:type="paragraph" w:styleId="4">
    <w:name w:val="heading 3"/>
    <w:basedOn w:val="1"/>
    <w:next w:val="1"/>
    <w:link w:val="31"/>
    <w:semiHidden/>
    <w:unhideWhenUsed/>
    <w:qFormat/>
    <w:uiPriority w:val="9"/>
    <w:pPr>
      <w:keepNext/>
      <w:keepLines/>
      <w:spacing w:before="160" w:after="80"/>
      <w:outlineLvl w:val="2"/>
    </w:pPr>
    <w:rPr>
      <w:rFonts w:asciiTheme="minorHAnsi" w:hAnsiTheme="minorHAnsi" w:eastAsiaTheme="majorEastAsia" w:cstheme="majorBidi"/>
      <w:color w:val="2F5597" w:themeColor="accent1" w:themeShade="BF"/>
      <w:sz w:val="28"/>
      <w:szCs w:val="28"/>
    </w:rPr>
  </w:style>
  <w:style w:type="paragraph" w:styleId="5">
    <w:name w:val="heading 4"/>
    <w:basedOn w:val="1"/>
    <w:next w:val="1"/>
    <w:link w:val="32"/>
    <w:semiHidden/>
    <w:unhideWhenUsed/>
    <w:qFormat/>
    <w:uiPriority w:val="9"/>
    <w:pPr>
      <w:keepNext/>
      <w:keepLines/>
      <w:spacing w:before="80" w:after="40"/>
      <w:outlineLvl w:val="3"/>
    </w:pPr>
    <w:rPr>
      <w:rFonts w:asciiTheme="minorHAnsi" w:hAnsiTheme="minorHAnsi" w:eastAsiaTheme="majorEastAsia" w:cstheme="majorBidi"/>
      <w:i/>
      <w:iCs/>
      <w:color w:val="2F5597" w:themeColor="accent1" w:themeShade="BF"/>
    </w:rPr>
  </w:style>
  <w:style w:type="paragraph" w:styleId="6">
    <w:name w:val="heading 5"/>
    <w:basedOn w:val="1"/>
    <w:next w:val="1"/>
    <w:link w:val="33"/>
    <w:semiHidden/>
    <w:unhideWhenUsed/>
    <w:qFormat/>
    <w:uiPriority w:val="9"/>
    <w:pPr>
      <w:keepNext/>
      <w:keepLines/>
      <w:spacing w:before="80" w:after="40"/>
      <w:outlineLvl w:val="4"/>
    </w:pPr>
    <w:rPr>
      <w:rFonts w:asciiTheme="minorHAnsi" w:hAnsiTheme="minorHAnsi" w:eastAsiaTheme="majorEastAsia" w:cstheme="majorBidi"/>
      <w:color w:val="2F5597" w:themeColor="accent1" w:themeShade="BF"/>
    </w:rPr>
  </w:style>
  <w:style w:type="paragraph" w:styleId="7">
    <w:name w:val="heading 6"/>
    <w:basedOn w:val="1"/>
    <w:next w:val="1"/>
    <w:link w:val="34"/>
    <w:semiHidden/>
    <w:unhideWhenUsed/>
    <w:qFormat/>
    <w:uiPriority w:val="9"/>
    <w:pPr>
      <w:keepNext/>
      <w:keepLines/>
      <w:spacing w:before="40" w:after="0"/>
      <w:outlineLvl w:val="5"/>
    </w:pPr>
    <w:rPr>
      <w:rFonts w:asciiTheme="minorHAnsi" w:hAnsiTheme="minorHAnsi"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5"/>
    <w:semiHidden/>
    <w:unhideWhenUsed/>
    <w:qFormat/>
    <w:uiPriority w:val="9"/>
    <w:pPr>
      <w:keepNext/>
      <w:keepLines/>
      <w:spacing w:before="40" w:after="0"/>
      <w:outlineLvl w:val="6"/>
    </w:pPr>
    <w:rPr>
      <w:rFonts w:asciiTheme="minorHAnsi" w:hAnsiTheme="minorHAnsi"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6"/>
    <w:semiHidden/>
    <w:unhideWhenUsed/>
    <w:qFormat/>
    <w:uiPriority w:val="9"/>
    <w:pPr>
      <w:keepNext/>
      <w:keepLines/>
      <w:spacing w:after="0"/>
      <w:outlineLvl w:val="7"/>
    </w:pPr>
    <w:rPr>
      <w:rFonts w:asciiTheme="minorHAnsi" w:hAnsiTheme="minorHAnsi"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7"/>
    <w:semiHidden/>
    <w:unhideWhenUsed/>
    <w:qFormat/>
    <w:uiPriority w:val="9"/>
    <w:pPr>
      <w:keepNext/>
      <w:keepLines/>
      <w:spacing w:after="0"/>
      <w:outlineLvl w:val="8"/>
    </w:pPr>
    <w:rPr>
      <w:rFonts w:asciiTheme="minorHAnsi" w:hAnsiTheme="minorHAnsi"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ody Text"/>
    <w:basedOn w:val="1"/>
    <w:link w:val="27"/>
    <w:semiHidden/>
    <w:unhideWhenUsed/>
    <w:uiPriority w:val="99"/>
    <w:pPr>
      <w:spacing w:after="120"/>
    </w:pPr>
  </w:style>
  <w:style w:type="paragraph" w:styleId="14">
    <w:name w:val="Body Text First Indent"/>
    <w:basedOn w:val="13"/>
    <w:link w:val="28"/>
    <w:semiHidden/>
    <w:unhideWhenUsed/>
    <w:uiPriority w:val="99"/>
    <w:pPr>
      <w:spacing w:after="160"/>
      <w:ind w:firstLine="360"/>
    </w:pPr>
  </w:style>
  <w:style w:type="character" w:styleId="15">
    <w:name w:val="annotation reference"/>
    <w:basedOn w:val="11"/>
    <w:semiHidden/>
    <w:unhideWhenUsed/>
    <w:qFormat/>
    <w:uiPriority w:val="99"/>
    <w:rPr>
      <w:sz w:val="16"/>
      <w:szCs w:val="16"/>
    </w:rPr>
  </w:style>
  <w:style w:type="paragraph" w:styleId="16">
    <w:name w:val="annotation text"/>
    <w:basedOn w:val="1"/>
    <w:link w:val="53"/>
    <w:unhideWhenUsed/>
    <w:qFormat/>
    <w:uiPriority w:val="99"/>
    <w:pPr>
      <w:spacing w:line="240" w:lineRule="auto"/>
    </w:pPr>
    <w:rPr>
      <w:sz w:val="20"/>
      <w:szCs w:val="20"/>
    </w:rPr>
  </w:style>
  <w:style w:type="paragraph" w:styleId="17">
    <w:name w:val="annotation subject"/>
    <w:basedOn w:val="16"/>
    <w:next w:val="16"/>
    <w:link w:val="54"/>
    <w:semiHidden/>
    <w:unhideWhenUsed/>
    <w:qFormat/>
    <w:uiPriority w:val="99"/>
    <w:rPr>
      <w:b/>
      <w:bCs/>
    </w:rPr>
  </w:style>
  <w:style w:type="paragraph" w:styleId="18">
    <w:name w:val="footer"/>
    <w:basedOn w:val="1"/>
    <w:link w:val="49"/>
    <w:unhideWhenUsed/>
    <w:qFormat/>
    <w:uiPriority w:val="99"/>
    <w:pPr>
      <w:tabs>
        <w:tab w:val="center" w:pos="4513"/>
        <w:tab w:val="right" w:pos="9026"/>
      </w:tabs>
      <w:spacing w:after="0" w:line="240" w:lineRule="auto"/>
    </w:pPr>
  </w:style>
  <w:style w:type="paragraph" w:styleId="19">
    <w:name w:val="header"/>
    <w:basedOn w:val="1"/>
    <w:link w:val="56"/>
    <w:unhideWhenUsed/>
    <w:qFormat/>
    <w:uiPriority w:val="99"/>
    <w:pPr>
      <w:tabs>
        <w:tab w:val="center" w:pos="4680"/>
        <w:tab w:val="right" w:pos="9360"/>
      </w:tabs>
      <w:spacing w:after="0" w:line="240" w:lineRule="auto"/>
    </w:pPr>
  </w:style>
  <w:style w:type="character" w:styleId="20">
    <w:name w:val="Hyperlink"/>
    <w:basedOn w:val="11"/>
    <w:unhideWhenUsed/>
    <w:qFormat/>
    <w:uiPriority w:val="99"/>
    <w:rPr>
      <w:color w:val="0563C1" w:themeColor="hyperlink"/>
      <w:u w:val="single"/>
      <w14:textFill>
        <w14:solidFill>
          <w14:schemeClr w14:val="hlink"/>
        </w14:solidFill>
      </w14:textFill>
    </w:rPr>
  </w:style>
  <w:style w:type="paragraph" w:styleId="21">
    <w:name w:val="Normal (Web)"/>
    <w:basedOn w:val="1"/>
    <w:semiHidden/>
    <w:unhideWhenUsed/>
    <w:qFormat/>
    <w:uiPriority w:val="99"/>
    <w:pPr>
      <w:spacing w:before="100" w:beforeAutospacing="1" w:after="100" w:afterAutospacing="1" w:line="240" w:lineRule="auto"/>
      <w:jc w:val="left"/>
    </w:pPr>
    <w:rPr>
      <w:rFonts w:ascii="Times New Roman" w:hAnsi="Times New Roman" w:eastAsia="Times New Roman" w:cs="Times New Roman"/>
      <w:szCs w:val="24"/>
      <w:lang w:val="en-IN" w:eastAsia="en-IN"/>
    </w:rPr>
  </w:style>
  <w:style w:type="paragraph" w:styleId="22">
    <w:name w:val="Subtitle"/>
    <w:basedOn w:val="1"/>
    <w:next w:val="1"/>
    <w:link w:val="39"/>
    <w:qFormat/>
    <w:uiPriority w:val="11"/>
    <w:pPr>
      <w:ind w:firstLine="227"/>
    </w:pPr>
    <w:rPr>
      <w:rFonts w:asciiTheme="minorHAnsi" w:hAnsiTheme="min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23">
    <w:name w:val="Table Grid"/>
    <w:basedOn w:val="12"/>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4">
    <w:name w:val="Title"/>
    <w:basedOn w:val="1"/>
    <w:next w:val="1"/>
    <w:link w:val="38"/>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25">
    <w:name w:val="toc 1"/>
    <w:basedOn w:val="1"/>
    <w:next w:val="1"/>
    <w:autoRedefine/>
    <w:unhideWhenUsed/>
    <w:qFormat/>
    <w:uiPriority w:val="39"/>
    <w:pPr>
      <w:spacing w:after="100"/>
    </w:pPr>
  </w:style>
  <w:style w:type="paragraph" w:styleId="26">
    <w:name w:val="toc 2"/>
    <w:basedOn w:val="1"/>
    <w:next w:val="1"/>
    <w:autoRedefine/>
    <w:unhideWhenUsed/>
    <w:qFormat/>
    <w:uiPriority w:val="39"/>
    <w:pPr>
      <w:spacing w:after="100"/>
      <w:ind w:left="220"/>
    </w:pPr>
  </w:style>
  <w:style w:type="character" w:customStyle="1" w:styleId="27">
    <w:name w:val="Body Text Char"/>
    <w:basedOn w:val="11"/>
    <w:link w:val="13"/>
    <w:semiHidden/>
    <w:qFormat/>
    <w:uiPriority w:val="99"/>
    <w:rPr>
      <w:rFonts w:ascii="Times New Roman" w:hAnsi="Times New Roman"/>
      <w:kern w:val="0"/>
      <w:sz w:val="24"/>
      <w:lang w:val="en-GB"/>
      <w14:ligatures w14:val="none"/>
    </w:rPr>
  </w:style>
  <w:style w:type="character" w:customStyle="1" w:styleId="28">
    <w:name w:val="Body Text First Indent Char"/>
    <w:basedOn w:val="27"/>
    <w:link w:val="14"/>
    <w:semiHidden/>
    <w:qFormat/>
    <w:uiPriority w:val="99"/>
    <w:rPr>
      <w:rFonts w:ascii="Times New Roman" w:hAnsi="Times New Roman"/>
      <w:kern w:val="0"/>
      <w:sz w:val="24"/>
      <w:lang w:val="en-GB"/>
      <w14:ligatures w14:val="none"/>
    </w:rPr>
  </w:style>
  <w:style w:type="character" w:customStyle="1" w:styleId="29">
    <w:name w:val="Heading 1 Char"/>
    <w:basedOn w:val="11"/>
    <w:link w:val="2"/>
    <w:qFormat/>
    <w:uiPriority w:val="9"/>
    <w:rPr>
      <w:rFonts w:ascii="Arial" w:hAnsi="Arial" w:eastAsiaTheme="majorEastAsia" w:cstheme="majorBidi"/>
      <w:b/>
      <w:kern w:val="0"/>
      <w:sz w:val="28"/>
      <w:szCs w:val="40"/>
      <w:lang w:val="en-GB"/>
      <w14:ligatures w14:val="none"/>
    </w:rPr>
  </w:style>
  <w:style w:type="character" w:customStyle="1" w:styleId="30">
    <w:name w:val="Heading 2 Char"/>
    <w:basedOn w:val="11"/>
    <w:link w:val="3"/>
    <w:qFormat/>
    <w:uiPriority w:val="9"/>
    <w:rPr>
      <w:rFonts w:ascii="Arial" w:hAnsi="Arial" w:eastAsiaTheme="majorEastAsia" w:cstheme="majorBidi"/>
      <w:b/>
      <w:kern w:val="0"/>
      <w:sz w:val="28"/>
      <w:szCs w:val="32"/>
      <w:lang w:val="en-GB"/>
      <w14:ligatures w14:val="none"/>
    </w:rPr>
  </w:style>
  <w:style w:type="character" w:customStyle="1" w:styleId="31">
    <w:name w:val="Heading 3 Char"/>
    <w:basedOn w:val="11"/>
    <w:link w:val="4"/>
    <w:semiHidden/>
    <w:qFormat/>
    <w:uiPriority w:val="9"/>
    <w:rPr>
      <w:rFonts w:eastAsiaTheme="majorEastAsia" w:cstheme="majorBidi"/>
      <w:color w:val="2F5597" w:themeColor="accent1" w:themeShade="BF"/>
      <w:kern w:val="0"/>
      <w:sz w:val="28"/>
      <w:szCs w:val="28"/>
      <w:lang w:val="en-GB"/>
      <w14:ligatures w14:val="none"/>
    </w:rPr>
  </w:style>
  <w:style w:type="character" w:customStyle="1" w:styleId="32">
    <w:name w:val="Heading 4 Char"/>
    <w:basedOn w:val="11"/>
    <w:link w:val="5"/>
    <w:semiHidden/>
    <w:qFormat/>
    <w:uiPriority w:val="9"/>
    <w:rPr>
      <w:rFonts w:eastAsiaTheme="majorEastAsia" w:cstheme="majorBidi"/>
      <w:i/>
      <w:iCs/>
      <w:color w:val="2F5597" w:themeColor="accent1" w:themeShade="BF"/>
      <w:kern w:val="0"/>
      <w:sz w:val="24"/>
      <w:lang w:val="en-GB"/>
      <w14:ligatures w14:val="none"/>
    </w:rPr>
  </w:style>
  <w:style w:type="character" w:customStyle="1" w:styleId="33">
    <w:name w:val="Heading 5 Char"/>
    <w:basedOn w:val="11"/>
    <w:link w:val="6"/>
    <w:semiHidden/>
    <w:qFormat/>
    <w:uiPriority w:val="9"/>
    <w:rPr>
      <w:rFonts w:eastAsiaTheme="majorEastAsia" w:cstheme="majorBidi"/>
      <w:color w:val="2F5597" w:themeColor="accent1" w:themeShade="BF"/>
      <w:kern w:val="0"/>
      <w:sz w:val="24"/>
      <w:lang w:val="en-GB"/>
      <w14:ligatures w14:val="none"/>
    </w:rPr>
  </w:style>
  <w:style w:type="character" w:customStyle="1" w:styleId="34">
    <w:name w:val="Heading 6 Char"/>
    <w:basedOn w:val="11"/>
    <w:link w:val="7"/>
    <w:semiHidden/>
    <w:qFormat/>
    <w:uiPriority w:val="9"/>
    <w:rPr>
      <w:rFonts w:eastAsiaTheme="majorEastAsia" w:cstheme="majorBidi"/>
      <w:i/>
      <w:iCs/>
      <w:color w:val="595959" w:themeColor="text1" w:themeTint="A6"/>
      <w:kern w:val="0"/>
      <w:sz w:val="24"/>
      <w:lang w:val="en-GB"/>
      <w14:textFill>
        <w14:solidFill>
          <w14:schemeClr w14:val="tx1">
            <w14:lumMod w14:val="65000"/>
            <w14:lumOff w14:val="35000"/>
          </w14:schemeClr>
        </w14:solidFill>
      </w14:textFill>
      <w14:ligatures w14:val="none"/>
    </w:rPr>
  </w:style>
  <w:style w:type="character" w:customStyle="1" w:styleId="35">
    <w:name w:val="Heading 7 Char"/>
    <w:basedOn w:val="11"/>
    <w:link w:val="8"/>
    <w:semiHidden/>
    <w:qFormat/>
    <w:uiPriority w:val="9"/>
    <w:rPr>
      <w:rFonts w:eastAsiaTheme="majorEastAsia" w:cstheme="majorBidi"/>
      <w:color w:val="595959" w:themeColor="text1" w:themeTint="A6"/>
      <w:kern w:val="0"/>
      <w:sz w:val="24"/>
      <w:lang w:val="en-GB"/>
      <w14:textFill>
        <w14:solidFill>
          <w14:schemeClr w14:val="tx1">
            <w14:lumMod w14:val="65000"/>
            <w14:lumOff w14:val="35000"/>
          </w14:schemeClr>
        </w14:solidFill>
      </w14:textFill>
      <w14:ligatures w14:val="none"/>
    </w:rPr>
  </w:style>
  <w:style w:type="character" w:customStyle="1" w:styleId="36">
    <w:name w:val="Heading 8 Char"/>
    <w:basedOn w:val="11"/>
    <w:link w:val="9"/>
    <w:semiHidden/>
    <w:qFormat/>
    <w:uiPriority w:val="9"/>
    <w:rPr>
      <w:rFonts w:eastAsiaTheme="majorEastAsia" w:cstheme="majorBidi"/>
      <w:i/>
      <w:iCs/>
      <w:color w:val="262626" w:themeColor="text1" w:themeTint="D9"/>
      <w:kern w:val="0"/>
      <w:sz w:val="24"/>
      <w:lang w:val="en-GB"/>
      <w14:textFill>
        <w14:solidFill>
          <w14:schemeClr w14:val="tx1">
            <w14:lumMod w14:val="85000"/>
            <w14:lumOff w14:val="15000"/>
          </w14:schemeClr>
        </w14:solidFill>
      </w14:textFill>
      <w14:ligatures w14:val="none"/>
    </w:rPr>
  </w:style>
  <w:style w:type="character" w:customStyle="1" w:styleId="37">
    <w:name w:val="Heading 9 Char"/>
    <w:basedOn w:val="11"/>
    <w:link w:val="10"/>
    <w:semiHidden/>
    <w:qFormat/>
    <w:uiPriority w:val="9"/>
    <w:rPr>
      <w:rFonts w:eastAsiaTheme="majorEastAsia" w:cstheme="majorBidi"/>
      <w:color w:val="262626" w:themeColor="text1" w:themeTint="D9"/>
      <w:kern w:val="0"/>
      <w:sz w:val="24"/>
      <w:lang w:val="en-GB"/>
      <w14:textFill>
        <w14:solidFill>
          <w14:schemeClr w14:val="tx1">
            <w14:lumMod w14:val="85000"/>
            <w14:lumOff w14:val="15000"/>
          </w14:schemeClr>
        </w14:solidFill>
      </w14:textFill>
      <w14:ligatures w14:val="none"/>
    </w:rPr>
  </w:style>
  <w:style w:type="character" w:customStyle="1" w:styleId="38">
    <w:name w:val="Title Char"/>
    <w:basedOn w:val="11"/>
    <w:link w:val="24"/>
    <w:qFormat/>
    <w:uiPriority w:val="10"/>
    <w:rPr>
      <w:rFonts w:asciiTheme="majorHAnsi" w:hAnsiTheme="majorHAnsi" w:eastAsiaTheme="majorEastAsia" w:cstheme="majorBidi"/>
      <w:spacing w:val="-10"/>
      <w:kern w:val="28"/>
      <w:sz w:val="56"/>
      <w:szCs w:val="56"/>
      <w:lang w:val="en-GB"/>
      <w14:ligatures w14:val="none"/>
    </w:rPr>
  </w:style>
  <w:style w:type="character" w:customStyle="1" w:styleId="39">
    <w:name w:val="Subtitle Char"/>
    <w:basedOn w:val="11"/>
    <w:link w:val="22"/>
    <w:qFormat/>
    <w:uiPriority w:val="11"/>
    <w:rPr>
      <w:rFonts w:eastAsiaTheme="majorEastAsia" w:cstheme="majorBidi"/>
      <w:color w:val="595959" w:themeColor="text1" w:themeTint="A6"/>
      <w:spacing w:val="15"/>
      <w:kern w:val="0"/>
      <w:sz w:val="28"/>
      <w:szCs w:val="28"/>
      <w:lang w:val="en-GB"/>
      <w14:textFill>
        <w14:solidFill>
          <w14:schemeClr w14:val="tx1">
            <w14:lumMod w14:val="65000"/>
            <w14:lumOff w14:val="35000"/>
          </w14:schemeClr>
        </w14:solidFill>
      </w14:textFill>
      <w14:ligatures w14:val="none"/>
    </w:rPr>
  </w:style>
  <w:style w:type="paragraph" w:styleId="40">
    <w:name w:val="Quote"/>
    <w:basedOn w:val="1"/>
    <w:next w:val="1"/>
    <w:link w:val="41"/>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41">
    <w:name w:val="Quote Char"/>
    <w:basedOn w:val="11"/>
    <w:link w:val="40"/>
    <w:qFormat/>
    <w:uiPriority w:val="29"/>
    <w:rPr>
      <w:rFonts w:ascii="Times New Roman" w:hAnsi="Times New Roman"/>
      <w:i/>
      <w:iCs/>
      <w:color w:val="404040" w:themeColor="text1" w:themeTint="BF"/>
      <w:kern w:val="0"/>
      <w:sz w:val="24"/>
      <w:lang w:val="en-GB"/>
      <w14:textFill>
        <w14:solidFill>
          <w14:schemeClr w14:val="tx1">
            <w14:lumMod w14:val="75000"/>
            <w14:lumOff w14:val="25000"/>
          </w14:schemeClr>
        </w14:solidFill>
      </w14:textFill>
      <w14:ligatures w14:val="none"/>
    </w:rPr>
  </w:style>
  <w:style w:type="paragraph" w:styleId="42">
    <w:name w:val="List Paragraph"/>
    <w:basedOn w:val="1"/>
    <w:qFormat/>
    <w:uiPriority w:val="34"/>
    <w:pPr>
      <w:ind w:left="720"/>
      <w:contextualSpacing/>
    </w:pPr>
  </w:style>
  <w:style w:type="character" w:customStyle="1" w:styleId="43">
    <w:name w:val="Intense Emphasis"/>
    <w:basedOn w:val="11"/>
    <w:qFormat/>
    <w:uiPriority w:val="21"/>
    <w:rPr>
      <w:i/>
      <w:iCs/>
      <w:color w:val="2F5597" w:themeColor="accent1" w:themeShade="BF"/>
    </w:rPr>
  </w:style>
  <w:style w:type="paragraph" w:styleId="44">
    <w:name w:val="Intense Quote"/>
    <w:basedOn w:val="1"/>
    <w:next w:val="1"/>
    <w:link w:val="45"/>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45">
    <w:name w:val="Intense Quote Char"/>
    <w:basedOn w:val="11"/>
    <w:link w:val="44"/>
    <w:qFormat/>
    <w:uiPriority w:val="30"/>
    <w:rPr>
      <w:rFonts w:ascii="Times New Roman" w:hAnsi="Times New Roman"/>
      <w:i/>
      <w:iCs/>
      <w:color w:val="2F5597" w:themeColor="accent1" w:themeShade="BF"/>
      <w:kern w:val="0"/>
      <w:sz w:val="24"/>
      <w:lang w:val="en-GB"/>
      <w14:ligatures w14:val="none"/>
    </w:rPr>
  </w:style>
  <w:style w:type="character" w:customStyle="1" w:styleId="46">
    <w:name w:val="Intense Reference"/>
    <w:basedOn w:val="11"/>
    <w:qFormat/>
    <w:uiPriority w:val="32"/>
    <w:rPr>
      <w:b/>
      <w:bCs/>
      <w:smallCaps/>
      <w:color w:val="2F5597" w:themeColor="accent1" w:themeShade="BF"/>
      <w:spacing w:val="5"/>
    </w:rPr>
  </w:style>
  <w:style w:type="paragraph" w:styleId="47">
    <w:name w:val="No Spacing"/>
    <w:link w:val="48"/>
    <w:qFormat/>
    <w:uiPriority w:val="1"/>
    <w:pPr>
      <w:spacing w:after="0" w:line="240" w:lineRule="auto"/>
    </w:pPr>
    <w:rPr>
      <w:rFonts w:asciiTheme="minorHAnsi" w:hAnsiTheme="minorHAnsi" w:eastAsiaTheme="minorEastAsia" w:cstheme="minorBidi"/>
      <w:kern w:val="0"/>
      <w:sz w:val="22"/>
      <w:szCs w:val="22"/>
      <w:lang w:val="en-US" w:eastAsia="en-US" w:bidi="ar-SA"/>
      <w14:ligatures w14:val="none"/>
    </w:rPr>
  </w:style>
  <w:style w:type="character" w:customStyle="1" w:styleId="48">
    <w:name w:val="No Spacing Char"/>
    <w:basedOn w:val="11"/>
    <w:link w:val="47"/>
    <w:qFormat/>
    <w:uiPriority w:val="1"/>
    <w:rPr>
      <w:rFonts w:eastAsiaTheme="minorEastAsia"/>
      <w:kern w:val="0"/>
      <w:lang w:val="en-US"/>
      <w14:ligatures w14:val="none"/>
    </w:rPr>
  </w:style>
  <w:style w:type="character" w:customStyle="1" w:styleId="49">
    <w:name w:val="Footer Char"/>
    <w:basedOn w:val="11"/>
    <w:link w:val="18"/>
    <w:qFormat/>
    <w:uiPriority w:val="99"/>
    <w:rPr>
      <w:rFonts w:ascii="Times New Roman" w:hAnsi="Times New Roman"/>
      <w:kern w:val="0"/>
      <w:sz w:val="24"/>
      <w:lang w:val="en-GB"/>
      <w14:ligatures w14:val="none"/>
    </w:rPr>
  </w:style>
  <w:style w:type="paragraph" w:customStyle="1" w:styleId="50">
    <w:name w:val="TOC Heading"/>
    <w:basedOn w:val="2"/>
    <w:next w:val="1"/>
    <w:unhideWhenUsed/>
    <w:qFormat/>
    <w:uiPriority w:val="39"/>
    <w:pPr>
      <w:spacing w:before="240" w:after="0"/>
      <w:outlineLvl w:val="9"/>
    </w:pPr>
    <w:rPr>
      <w:rFonts w:ascii="Times New Roman" w:hAnsi="Times New Roman"/>
      <w:b w:val="0"/>
      <w:szCs w:val="32"/>
      <w:lang w:val="en-US"/>
    </w:rPr>
  </w:style>
  <w:style w:type="paragraph" w:customStyle="1" w:styleId="51">
    <w:name w:val="Bibliography"/>
    <w:basedOn w:val="1"/>
    <w:next w:val="1"/>
    <w:unhideWhenUsed/>
    <w:qFormat/>
    <w:uiPriority w:val="37"/>
  </w:style>
  <w:style w:type="character" w:customStyle="1" w:styleId="52">
    <w:name w:val="Unresolved Mention"/>
    <w:basedOn w:val="11"/>
    <w:semiHidden/>
    <w:unhideWhenUsed/>
    <w:qFormat/>
    <w:uiPriority w:val="99"/>
    <w:rPr>
      <w:color w:val="605E5C"/>
      <w:shd w:val="clear" w:color="auto" w:fill="E1DFDD"/>
    </w:rPr>
  </w:style>
  <w:style w:type="character" w:customStyle="1" w:styleId="53">
    <w:name w:val="Comment Text Char"/>
    <w:basedOn w:val="11"/>
    <w:link w:val="16"/>
    <w:qFormat/>
    <w:uiPriority w:val="99"/>
    <w:rPr>
      <w:rFonts w:ascii="Arial" w:hAnsi="Arial"/>
      <w:kern w:val="0"/>
      <w:sz w:val="20"/>
      <w:szCs w:val="20"/>
      <w:lang w:val="en-GB"/>
      <w14:ligatures w14:val="none"/>
    </w:rPr>
  </w:style>
  <w:style w:type="character" w:customStyle="1" w:styleId="54">
    <w:name w:val="Comment Subject Char"/>
    <w:basedOn w:val="53"/>
    <w:link w:val="17"/>
    <w:semiHidden/>
    <w:qFormat/>
    <w:uiPriority w:val="99"/>
    <w:rPr>
      <w:rFonts w:ascii="Arial" w:hAnsi="Arial"/>
      <w:b/>
      <w:bCs/>
      <w:kern w:val="0"/>
      <w:sz w:val="20"/>
      <w:szCs w:val="20"/>
      <w:lang w:val="en-GB"/>
      <w14:ligatures w14:val="none"/>
    </w:rPr>
  </w:style>
  <w:style w:type="paragraph" w:customStyle="1" w:styleId="55">
    <w:name w:val="Revision"/>
    <w:hidden/>
    <w:semiHidden/>
    <w:qFormat/>
    <w:uiPriority w:val="99"/>
    <w:pPr>
      <w:spacing w:after="0" w:line="240" w:lineRule="auto"/>
    </w:pPr>
    <w:rPr>
      <w:rFonts w:ascii="Arial" w:hAnsi="Arial" w:eastAsiaTheme="minorHAnsi" w:cstheme="minorBidi"/>
      <w:kern w:val="0"/>
      <w:sz w:val="24"/>
      <w:szCs w:val="22"/>
      <w:lang w:val="en-GB" w:eastAsia="en-US" w:bidi="ar-SA"/>
      <w14:ligatures w14:val="none"/>
    </w:rPr>
  </w:style>
  <w:style w:type="character" w:customStyle="1" w:styleId="56">
    <w:name w:val="Header Char"/>
    <w:basedOn w:val="11"/>
    <w:link w:val="19"/>
    <w:qFormat/>
    <w:uiPriority w:val="99"/>
    <w:rPr>
      <w:rFonts w:ascii="Arial" w:hAnsi="Arial"/>
      <w:kern w:val="0"/>
      <w:sz w:val="24"/>
      <w:lang w:val="en-GB"/>
      <w14:ligatures w14:val="none"/>
    </w:rPr>
  </w:style>
</w:style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Fue202</b:Tag>
    <b:SourceType>JournalArticle</b:SourceType>
    <b:Guid>{F947C270-4180-4E3D-90D2-CD75AA6D66FF}</b:Guid>
    <b:Title>Conceptual framework for the strategic management: a literature review—descriptive</b:Title>
    <b:Year>2020</b:Year>
    <b:Author>
      <b:Author>
        <b:NameList>
          <b:Person>
            <b:Last>Fuertes</b:Last>
            <b:First>G.</b:First>
          </b:Person>
          <b:Person>
            <b:Last>Alfaro</b:Last>
            <b:First>M.</b:First>
          </b:Person>
          <b:Person>
            <b:Last>Vargas</b:Last>
            <b:First>M.</b:First>
          </b:Person>
          <b:Person>
            <b:Last>Gutierrez</b:Last>
            <b:First>S.</b:First>
          </b:Person>
          <b:Person>
            <b:Last>Ternero</b:Last>
            <b:First>R.</b:First>
          </b:Person>
          <b:Person>
            <b:Last>Sabattin</b:Last>
            <b:First>J.</b:First>
          </b:Person>
        </b:NameList>
      </b:Author>
    </b:Author>
    <b:JournalName>Journal of engineering</b:JournalName>
    <b:Pages>6253013</b:Pages>
    <b:Volume>2020</b:Volume>
    <b:Issue>1</b:Issue>
    <b:RefOrder>1</b:RefOrder>
  </b:Source>
  <b:Source>
    <b:Tag>Sta24104</b:Tag>
    <b:SourceType>InternetSite</b:SourceType>
    <b:Guid>{2852FD77-9560-440E-9F6A-BDE43CEC16B6}</b:Guid>
    <b:Title>The Starbucks Story</b:Title>
    <b:Year>2024</b:Year>
    <b:Author>
      <b:Author>
        <b:Corporate>Starbucks</b:Corporate>
      </b:Author>
    </b:Author>
    <b:YearAccessed>2026</b:YearAccessed>
    <b:MonthAccessed>July</b:MonthAccessed>
    <b:DayAccessed>23</b:DayAccessed>
    <b:URL>https://www.starbucksathome.com/gb/story/about-starbucks</b:URL>
    <b:RefOrder>2</b:RefOrder>
  </b:Source>
  <b:Source>
    <b:Tag>Sta2556</b:Tag>
    <b:SourceType>InternetSite</b:SourceType>
    <b:Guid>{15770AA3-BD2D-446F-B3E6-9B0D51750363}</b:Guid>
    <b:Author>
      <b:Author>
        <b:Corporate>Statista</b:Corporate>
      </b:Author>
    </b:Author>
    <b:Title>Number of Starbucks stores in the United Kingdom from 2005 to 2025</b:Title>
    <b:Year>2025</b:Year>
    <b:YearAccessed>2025</b:YearAccessed>
    <b:MonthAccessed>July</b:MonthAccessed>
    <b:DayAccessed>23</b:DayAccessed>
    <b:URL>https://www.statista.com/statistics/218388/number-of-starbucks-stores-in-the-uk/?srsltid=AfmBOoqkJQRNW4mZDCWo2d1JHQWVSqrMQbdNoS0nW_TU7UFvZfGEjPrn</b:URL>
    <b:RefOrder>3</b:RefOrder>
  </b:Source>
  <b:Source>
    <b:Tag>Sta266</b:Tag>
    <b:SourceType>InternetSite</b:SourceType>
    <b:Guid>{FCF66C10-772E-4D5F-993E-ACCF06875AB8}</b:Guid>
    <b:Author>
      <b:Author>
        <b:Corporate>Starbucks EMEA</b:Corporate>
      </b:Author>
    </b:Author>
    <b:Title>Our Mission</b:Title>
    <b:Year>2026</b:Year>
    <b:YearAccessed>2026</b:YearAccessed>
    <b:MonthAccessed>July</b:MonthAccessed>
    <b:DayAccessed>23</b:DayAccessed>
    <b:URL>https://stories.starbucks.com/emea/</b:URL>
    <b:RefOrder>4</b:RefOrder>
  </b:Source>
  <b:Source>
    <b:Tag>Sta267</b:Tag>
    <b:SourceType>InternetSite</b:SourceType>
    <b:Guid>{468D2166-E406-4943-9E5A-96AECAFE811F}</b:Guid>
    <b:Author>
      <b:Author>
        <b:Corporate>Statista Research Department</b:Corporate>
      </b:Author>
    </b:Author>
    <b:Title>Coffee shops and cafés in the UK - statistics &amp; facts</b:Title>
    <b:Year>2026</b:Year>
    <b:YearAccessed>2026</b:YearAccessed>
    <b:MonthAccessed>July</b:MonthAccessed>
    <b:DayAccessed>23</b:DayAccessed>
    <b:URL>https://www.statista.com/topics/3650/cafes-and-coffee-shops-in-the-united-kingdom-uk/?srsltid=AfmBOorgheJD1RefSmr3rMyNRjIiqAYFNnbnvvTJMb4jVshko2hJKg5V#topicOverview</b:URL>
    <b:RefOrder>5</b:RefOrder>
  </b:Source>
  <b:Source>
    <b:Tag>Lum25</b:Tag>
    <b:SourceType>InternetSite</b:SourceType>
    <b:Guid>{5EEDE4F5-6F88-4A16-B1F9-57892E4B4F93}</b:Guid>
    <b:Author>
      <b:Author>
        <b:Corporate>Lumina Intelligence</b:Corporate>
      </b:Author>
    </b:Author>
    <b:Title>UK Coffee Market: Size, Growth and Share Statistics 2025</b:Title>
    <b:Year>2025</b:Year>
    <b:YearAccessed>2026</b:YearAccessed>
    <b:MonthAccessed>July</b:MonthAccessed>
    <b:DayAccessed>25</b:DayAccessed>
    <b:URL>https://www.lumina-intelligence.com/blog/foodservice/uk-coffee-market-size-growth-share-statistics-2025/</b:URL>
    <b:RefOrder>6</b:RefOrder>
  </b:Source>
  <b:Source>
    <b:Tag>Chr1917</b:Tag>
    <b:SourceType>JournalArticle</b:SourceType>
    <b:Guid>{A2BBD0C0-9C6A-4FBF-86EE-19B4BCE826C8}</b:Guid>
    <b:Title>Identifying the main opportunities and challenges from the implementation of a port energy management system: A SWOT/PESTLE analysis</b:Title>
    <b:Year>2019</b:Year>
    <b:Author>
      <b:Author>
        <b:NameList>
          <b:Person>
            <b:Last>Christodoulou</b:Last>
            <b:First>A.</b:First>
          </b:Person>
          <b:Person>
            <b:Last>Cullinane</b:Last>
            <b:First>K.,</b:First>
          </b:Person>
        </b:NameList>
      </b:Author>
    </b:Author>
    <b:JournalName>Sustainability</b:JournalName>
    <b:Pages>6046</b:Pages>
    <b:Volume>11</b:Volume>
    <b:Issue>21</b:Issue>
    <b:RefOrder>7</b:RefOrder>
  </b:Source>
  <b:Source>
    <b:Tag>Gov21</b:Tag>
    <b:SourceType>InternetSite</b:SourceType>
    <b:Guid>{6DC7F20C-0A45-4E5F-99DC-835C651A8A6A}</b:Guid>
    <b:Title>Brexit’s impact on the UK coffee industry</b:Title>
    <b:Year>2021</b:Year>
    <b:Author>
      <b:Author>
        <b:Corporate>Governmnet of Netherlands</b:Corporate>
      </b:Author>
    </b:Author>
    <b:YearAccessed>2026</b:YearAccessed>
    <b:MonthAccessed>July</b:MonthAccessed>
    <b:DayAccessed>25</b:DayAccessed>
    <b:URL>https://www.cbi.eu/news/brexits-impact-uk-coffee-industry</b:URL>
    <b:RefOrder>8</b:RefOrder>
  </b:Source>
  <b:Source>
    <b:Tag>Mil26</b:Tag>
    <b:SourceType>InternetSite</b:SourceType>
    <b:Guid>{8336A5D0-F557-4741-8F96-6AA6C774FBB3}</b:Guid>
    <b:Author>
      <b:Author>
        <b:NameList>
          <b:Person>
            <b:Last>Davis</b:Last>
            <b:First>Miles</b:First>
          </b:Person>
        </b:NameList>
      </b:Author>
    </b:Author>
    <b:Title>Bars and hotels 'cannot afford to take on staff'</b:Title>
    <b:Year>2026</b:Year>
    <b:YearAccessed>2026</b:YearAccessed>
    <b:MonthAccessed>July</b:MonthAccessed>
    <b:DayAccessed>25</b:DayAccessed>
    <b:URL>https://www.bbc.com/news/articles/c232jgxzykpo</b:URL>
    <b:RefOrder>9</b:RefOrder>
  </b:Source>
  <b:Source>
    <b:Tag>Tom26</b:Tag>
    <b:SourceType>InternetSite</b:SourceType>
    <b:Guid>{63D661A9-66D1-4513-BA07-79FBE13669E3}</b:Guid>
    <b:Author>
      <b:Author>
        <b:NameList>
          <b:Person>
            <b:Last>Knowles</b:Last>
            <b:First>Tom</b:First>
          </b:Person>
        </b:NameList>
      </b:Author>
    </b:Author>
    <b:Title>UK households bracing for new cost of living crisis, report finds</b:Title>
    <b:Year>2026</b:Year>
    <b:YearAccessed>2026</b:YearAccessed>
    <b:MonthAccessed>July</b:MonthAccessed>
    <b:DayAccessed>25</b:DayAccessed>
    <b:URL>https://www.theguardian.com/business/2026/may/11/uk-households-brace-cost-of-living-crisis-pwc-survey-consumer-confidence</b:URL>
    <b:RefOrder>10</b:RefOrder>
  </b:Source>
  <b:Source>
    <b:Tag>Per26</b:Tag>
    <b:SourceType>InternetSite</b:SourceType>
    <b:Guid>{BA9416E9-1F9A-4A20-BF4F-E4A0909445F2}</b:Guid>
    <b:Author>
      <b:Author>
        <b:Corporate>Perfect Daily Grind</b:Corporate>
      </b:Author>
    </b:Author>
    <b:Title>Is the rise of co-working cafés changing what hospitality looks like?</b:Title>
    <b:Year>2026</b:Year>
    <b:YearAccessed>2026</b:YearAccessed>
    <b:MonthAccessed>July</b:MonthAccessed>
    <b:DayAccessed>26</b:DayAccessed>
    <b:URL>https://perfectdailygrind.com/2026/06/co-working-cafes-changing-coffee-hospitality/</b:URL>
    <b:RefOrder>11</b:RefOrder>
  </b:Source>
  <b:Source>
    <b:Tag>Gra211</b:Tag>
    <b:SourceType>InternetSite</b:SourceType>
    <b:Guid>{E68529CD-7144-47F7-BA22-4835789FF3B6}</b:Guid>
    <b:Author>
      <b:Author>
        <b:NameList>
          <b:Person>
            <b:Last>Dean</b:Last>
            <b:First>Grace</b:First>
          </b:Person>
        </b:NameList>
      </b:Author>
    </b:Author>
    <b:Title>Starbucks is finally dropping its surcharge for plant-based milk in the UK — but US customers will still have to pay extra</b:Title>
    <b:Year>2021</b:Year>
    <b:YearAccessed>2026</b:YearAccessed>
    <b:MonthAccessed>July</b:MonthAccessed>
    <b:DayAccessed>26</b:DayAccessed>
    <b:URL>https://www.businessinsider.com/starbucks-drops-almond-oat-coconut-milk-surcharge-non-dairy-uk-2021-12</b:URL>
    <b:RefOrder>12</b:RefOrder>
  </b:Source>
  <b:Source>
    <b:Tag>Sta2610</b:Tag>
    <b:SourceType>InternetSite</b:SourceType>
    <b:Guid>{1C3A19C0-8623-45B8-8825-8265300B71F8}</b:Guid>
    <b:Author>
      <b:Author>
        <b:Corporate>Starbucks</b:Corporate>
      </b:Author>
    </b:Author>
    <b:Title>Starbucks Unveils Reimagined Loyalty Program to Deliver More Meaningful Value, Personalization and Engagement to Members</b:Title>
    <b:Year>2026</b:Year>
    <b:YearAccessed>2026</b:YearAccessed>
    <b:MonthAccessed>July</b:MonthAccessed>
    <b:DayAccessed>26</b:DayAccessed>
    <b:URL>https://about.starbucks.com/press/2026/starbucks-unveils-reimagined-loyalty-program-to-deliver-more-meaningful-value-personalization-and-engagement-to-members/</b:URL>
    <b:RefOrder>13</b:RefOrder>
  </b:Source>
  <b:Source>
    <b:Tag>UKB26</b:Tag>
    <b:SourceType>InternetSite</b:SourceType>
    <b:Guid>{B1F7261E-2893-4229-9E9C-029416BA3027}</b:Guid>
    <b:Author>
      <b:Author>
        <b:Corporate>UK Business Climate Hub</b:Corporate>
      </b:Author>
    </b:Author>
    <b:Title>Find out about carbon emissions and the law</b:Title>
    <b:Year>2026</b:Year>
    <b:YearAccessed>2026</b:YearAccessed>
    <b:MonthAccessed>July</b:MonthAccessed>
    <b:DayAccessed>26</b:DayAccessed>
    <b:URL>https://businessclimatehub.uk/carbon-emissions-and-the-law/?gad_source=1&amp;gad_campaignid=20921309754&amp;gbraid=0AAAAAqZf9lGIg4ZgJFkbdjr-m9S3Y1D6O&amp;gclid=Cj0KCQjw4JbTBhCoARIsALWUaBuEU_fYE4QkAGyQa0MvQ4pPoeVw_Fs0pNMmhRXc0Ncjy5nLZX6PZo4aAszPEALw_wcB</b:URL>
    <b:RefOrder>14</b:RefOrder>
  </b:Source>
  <b:Source>
    <b:Tag>Pac18</b:Tag>
    <b:SourceType>InternetSite</b:SourceType>
    <b:Guid>{1B26EC22-BFAB-44A1-B6D9-E4130C3DEC50}</b:Guid>
    <b:Title>Starbucks UK Reports 150% Increase in Reusable Cup Use</b:Title>
    <b:Year>2018</b:Year>
    <b:Author>
      <b:Author>
        <b:Corporate>Packaging Europe</b:Corporate>
      </b:Author>
    </b:Author>
    <b:YearAccessed>2026</b:YearAccessed>
    <b:MonthAccessed>July</b:MonthAccessed>
    <b:DayAccessed>27</b:DayAccessed>
    <b:URL>https://packagingeurope.com/starbucks-uk-reports-150-increase-in-reusable-cup-use/3765.article</b:URL>
    <b:RefOrder>15</b:RefOrder>
  </b:Source>
  <b:Source>
    <b:Tag>Nor26</b:Tag>
    <b:SourceType>InternetSite</b:SourceType>
    <b:Guid>{2B41161D-E32C-428C-8D2F-785EE071E0A8}</b:Guid>
    <b:Author>
      <b:Author>
        <b:NameList>
          <b:Person>
            <b:Last>Neus</b:Last>
            <b:First>Nora</b:First>
          </b:Person>
        </b:NameList>
      </b:Author>
    </b:Author>
    <b:Title>Starbucks does not recycle plastic cups it claims are ‘widely recyclable’, report says</b:Title>
    <b:Year>2026</b:Year>
    <b:YearAccessed>2026</b:YearAccessed>
    <b:MonthAccessed>July</b:MonthAccessed>
    <b:DayAccessed>27</b:DayAccessed>
    <b:URL>https://www.theguardian.com/business/2026/may/20/starbucks-plastic-cups-recycling-report</b:URL>
    <b:RefOrder>16</b:RefOrder>
  </b:Source>
  <b:Source>
    <b:Tag>Joh26</b:Tag>
    <b:SourceType>InternetSite</b:SourceType>
    <b:Guid>{C325CE56-0643-4C9C-8CDA-840EE40073B4}</b:Guid>
    <b:Author>
      <b:Author>
        <b:NameList>
          <b:Person>
            <b:Last>John</b:Last>
            <b:First>Campbell</b:First>
          </b:Person>
          <b:Person>
            <b:Last>Jayne</b:Last>
            <b:First>McCormack</b:First>
          </b:Person>
        </b:NameList>
      </b:Author>
    </b:Author>
    <b:Title>Good jobs or bad law?: The row over workers' rights</b:Title>
    <b:Year>2026</b:Year>
    <b:YearAccessed>2026</b:YearAccessed>
    <b:MonthAccessed>July</b:MonthAccessed>
    <b:DayAccessed>27</b:DayAccessed>
    <b:URL>https://www.bbc.com/news/articles/cq6pq5jye9lo</b:URL>
    <b:RefOrder>17</b:RefOrder>
  </b:Source>
  <b:Source>
    <b:Tag>Lar241</b:Tag>
    <b:SourceType>JournalArticle</b:SourceType>
    <b:Guid>{3B947043-7916-47C1-9EEE-D4EBD04B159F}</b:Guid>
    <b:Author>
      <b:Author>
        <b:NameList>
          <b:Person>
            <b:Last>Larbi</b:Last>
            <b:First>A.O.</b:First>
          </b:Person>
          <b:Person>
            <b:Last>Asare-Danquah</b:Last>
            <b:First>G.A.</b:First>
          </b:Person>
          <b:Person>
            <b:Last>Ackah</b:Last>
            <b:First>A.A.F.,</b:First>
          </b:Person>
        </b:NameList>
      </b:Author>
    </b:Author>
    <b:Title>Utilization of internal analysis with the VRIO framework and development of scale for resource and capabilities of fashion and design organization</b:Title>
    <b:JournalName>International Journal of Research and Scientific Innovation</b:JournalName>
    <b:Year>2024</b:Year>
    <b:Pages>63-70</b:Pages>
    <b:Volume>11</b:Volume>
    <b:Issue>6</b:Issue>
    <b:RefOrder>18</b:RefOrder>
  </b:Source>
  <b:Source>
    <b:Tag>ElN25</b:Tag>
    <b:SourceType>JournalArticle</b:SourceType>
    <b:Guid>{716A28E4-43F3-4FB4-A0D3-1B8490DF507A}</b:Guid>
    <b:Author>
      <b:Author>
        <b:NameList>
          <b:Person>
            <b:Last>El Nemar</b:Last>
            <b:First>S.</b:First>
          </b:Person>
          <b:Person>
            <b:Last>El-Chaarani</b:Last>
            <b:First>H.</b:First>
          </b:Person>
          <b:Person>
            <b:Last>Dandachi</b:Last>
            <b:First>I.</b:First>
          </b:Person>
          <b:Person>
            <b:Last>Castellano</b:Last>
            <b:First>S.,</b:First>
          </b:Person>
        </b:NameList>
      </b:Author>
    </b:Author>
    <b:Title>Resource-based view and sustainable advantage: a framework for SMEs</b:Title>
    <b:JournalName>Journal of Strategic Marketing</b:JournalName>
    <b:Year>2025</b:Year>
    <b:Pages>798-821</b:Pages>
    <b:Volume>33</b:Volume>
    <b:Issue>6</b:Issue>
    <b:RefOrder>19</b:RefOrder>
  </b:Source>
  <b:Source>
    <b:Tag>Nis26</b:Tag>
    <b:SourceType>JournalArticle</b:SourceType>
    <b:Guid>{824A563E-A902-481A-907D-C6DEA89EEBB7}</b:Guid>
    <b:Author>
      <b:Author>
        <b:NameList>
          <b:Person>
            <b:Last>Nissa</b:Last>
            <b:First>S.F.</b:First>
          </b:Person>
          <b:Person>
            <b:Last>Amalia</b:Last>
            <b:First>N.D.</b:First>
          </b:Person>
          <b:Person>
            <b:Last>Muzallifah</b:Last>
            <b:First>N.,</b:First>
          </b:Person>
        </b:NameList>
      </b:Author>
    </b:Author>
    <b:Title>Global Marketing Strategy and Competitive Advantage: Starbucks International Expansion Performance</b:Title>
    <b:JournalName>Journal of Economic Studies</b:JournalName>
    <b:Year>2026</b:Year>
    <b:Pages>373-380</b:Pages>
    <b:Volume>1</b:Volume>
    <b:Issue>4</b:Issue>
    <b:RefOrder>20</b:RefOrder>
  </b:Source>
  <b:Source>
    <b:Tag>Gür171</b:Tag>
    <b:SourceType>JournalArticle</b:SourceType>
    <b:Guid>{A3841B50-81D5-46CC-A7E5-71BDCA7DDDF4}</b:Guid>
    <b:Author>
      <b:Author>
        <b:NameList>
          <b:Person>
            <b:Last>Gürel</b:Last>
            <b:First>E.</b:First>
          </b:Person>
          <b:Person>
            <b:Last>Tat</b:Last>
            <b:First>M.,</b:First>
          </b:Person>
        </b:NameList>
      </b:Author>
    </b:Author>
    <b:Title>SWOT analysis: A theoretical review</b:Title>
    <b:JournalName>Journal of International Social Research</b:JournalName>
    <b:Year>2017</b:Year>
    <b:Volume>10</b:Volume>
    <b:Issue>51</b:Issue>
    <b:RefOrder>21</b:RefOrder>
  </b:Source>
  <b:Source>
    <b:Tag>Ros25</b:Tag>
    <b:SourceType>JournalArticle</b:SourceType>
    <b:Guid>{279DD52D-5C9B-49AD-A106-992B0356AF33}</b:Guid>
    <b:Author>
      <b:Author>
        <b:NameList>
          <b:Person>
            <b:Last>Rosenbaum</b:Last>
            <b:First>M.S.</b:First>
          </b:Person>
          <b:Person>
            <b:Last>Dickens</b:Last>
            <b:First>J.M.,</b:First>
          </b:Person>
        </b:NameList>
      </b:Author>
    </b:Author>
    <b:Title>Commentary: the social impact of third places on business, communities and well-being</b:Title>
    <b:JournalName>Journal of Social Impact in Business Research</b:JournalName>
    <b:Year>2025</b:Year>
    <b:Pages>72-80</b:Pages>
    <b:Volume>1</b:Volume>
    <b:Issue>2</b:Issue>
    <b:RefOrder>22</b:RefOrder>
  </b:Source>
  <b:Source>
    <b:Tag>Sta2213</b:Tag>
    <b:SourceType>InternetSite</b:SourceType>
    <b:Guid>{0AE1CEDA-1FEE-4DEB-949D-92EC3F32BC41}</b:Guid>
    <b:Title>Starbucks brand awareness, usage, popularity, loyalty, and buzz among restaurant chain customers in the UK in 2022</b:Title>
    <b:Year>2022</b:Year>
    <b:Author>
      <b:Author>
        <b:Corporate>Statista</b:Corporate>
      </b:Author>
    </b:Author>
    <b:YearAccessed>2026</b:YearAccessed>
    <b:MonthAccessed>July</b:MonthAccessed>
    <b:DayAccessed>27</b:DayAccessed>
    <b:URL>https://www.statista.com/forecasts/1335711/starbucks-restaurant-chains-brand-profile-in-the-uk/?srsltid=AfmBOoogGsNd0Mb1574-nuLfSzl2zJBAuYC3yAM88GRe1q-c0s9BtOsQ</b:URL>
    <b:RefOrder>23</b:RefOrder>
  </b:Source>
  <b:Source>
    <b:Tag>Scr26</b:Tag>
    <b:SourceType>InternetSite</b:SourceType>
    <b:Guid>{9FBCF060-D7E3-44FB-994F-84140073B440}</b:Guid>
    <b:Author>
      <b:Author>
        <b:Corporate>ScrapeHero</b:Corporate>
      </b:Author>
    </b:Author>
    <b:Title>Number of Starbucks stores in the United Kingdom in 2026</b:Title>
    <b:Year>2026</b:Year>
    <b:YearAccessed>2026</b:YearAccessed>
    <b:MonthAccessed>July</b:MonthAccessed>
    <b:DayAccessed>27</b:DayAccessed>
    <b:URL>https://www.scrapehero.com/location-reports/Starbucks-UK/</b:URL>
    <b:RefOrder>24</b:RefOrder>
  </b:Source>
  <b:Source>
    <b:Tag>Reu247</b:Tag>
    <b:SourceType>InternetSite</b:SourceType>
    <b:Guid>{C291B600-C87C-40BF-B3E9-AF22E6532EB1}</b:Guid>
    <b:Author>
      <b:Author>
        <b:Corporate>Reuters</b:Corporate>
      </b:Author>
    </b:Author>
    <b:Title>Starbucks faces disruptions following ransomware attack on software supplier</b:Title>
    <b:Year>2024</b:Year>
    <b:YearAccessed>2026</b:YearAccessed>
    <b:MonthAccessed>July</b:MonthAccessed>
    <b:DayAccessed>27</b:DayAccessed>
    <b:URL>https://www.reuters.com/business/retail-consumer/starbucks-faces-disruptions-following-ransomware-attack-software-supplier-2024-11-25/</b:URL>
    <b:RefOrder>25</b:RefOrder>
  </b:Source>
  <b:Source>
    <b:Tag>Sta2611</b:Tag>
    <b:SourceType>InternetSite</b:SourceType>
    <b:Guid>{CDD283DC-21FB-4A57-8FF6-67B69D6E3064}</b:Guid>
    <b:Author>
      <b:Author>
        <b:Corporate>Starbucks UK</b:Corporate>
      </b:Author>
    </b:Author>
    <b:Title>Ingredient Sourcing</b:Title>
    <b:Year>2026</b:Year>
    <b:YearAccessed>2026</b:YearAccessed>
    <b:MonthAccessed>July</b:MonthAccessed>
    <b:DayAccessed>27</b:DayAccessed>
    <b:URL>https://www.starbucks.co.uk/responsibility-ingredient-sourcing</b:URL>
    <b:RefOrder>26</b:RefOrder>
  </b:Source>
  <b:Source>
    <b:Tag>Cam161</b:Tag>
    <b:SourceType>JournalArticle</b:SourceType>
    <b:Guid>{047F3250-8852-4851-90A4-801C655B1A41}</b:Guid>
    <b:Title>Starbucks: Social responsibility and tax avoidance</b:Title>
    <b:Year>2016</b:Year>
    <b:Author>
      <b:Author>
        <b:NameList>
          <b:Person>
            <b:Last>Campbell</b:Last>
            <b:First>K.</b:First>
          </b:Person>
          <b:Person>
            <b:Last>Helleloid</b:Last>
            <b:First>D.,</b:First>
          </b:Person>
        </b:NameList>
      </b:Author>
    </b:Author>
    <b:JournalName>Journal of Accounting Education</b:JournalName>
    <b:Pages>38-60</b:Pages>
    <b:Volume>37</b:Volume>
    <b:RefOrder>27</b:RefOrder>
  </b:Source>
  <b:Source>
    <b:Tag>Gre26</b:Tag>
    <b:SourceType>InternetSite</b:SourceType>
    <b:Guid>{1DB4B89E-78A8-47A3-9B43-D8DCDA61F853}</b:Guid>
    <b:Title>About us</b:Title>
    <b:Year>2026</b:Year>
    <b:Issue>https://corporate.greggs.co.uk/about-us</b:Issue>
    <b:Author>
      <b:Author>
        <b:Corporate>Greggs</b:Corporate>
      </b:Author>
    </b:Author>
    <b:YearAccessed>2026</b:YearAccessed>
    <b:MonthAccessed>July</b:MonthAccessed>
    <b:DayAccessed>27</b:DayAccessed>
    <b:URL>https://corporate.greggs.co.uk/about-us</b:URL>
    <b:RefOrder>28</b:RefOrder>
  </b:Source>
  <b:Source>
    <b:Tag>Sta2612</b:Tag>
    <b:SourceType>InternetSite</b:SourceType>
    <b:Guid>{51565EF5-314E-47C6-A780-879FFB08C788}</b:Guid>
    <b:Author>
      <b:Author>
        <b:Corporate>Starbucks UK</b:Corporate>
      </b:Author>
    </b:Author>
    <b:Title>Protien Cold Foam</b:Title>
    <b:Year>2026</b:Year>
    <b:YearAccessed>2026</b:YearAccessed>
    <b:MonthAccessed>July</b:MonthAccessed>
    <b:DayAccessed>27</b:DayAccessed>
    <b:URL>https://www.starbucks.co.uk/protein</b:URL>
    <b:RefOrder>29</b:RefOrder>
  </b:Source>
  <b:Source>
    <b:Tag>Ste26</b:Tag>
    <b:SourceType>InternetSite</b:SourceType>
    <b:Guid>{01370459-0464-469A-8B65-27A3CCC1D79D}</b:Guid>
    <b:Author>
      <b:Author>
        <b:NameList>
          <b:Person>
            <b:Last>Stacey</b:Last>
            <b:First>Stephanie</b:First>
          </b:Person>
        </b:NameList>
      </b:Author>
    </b:Author>
    <b:Title>Upmarket tastes leave UK high street coffee chains out in the cold</b:Title>
    <b:Year>2026</b:Year>
    <b:YearAccessed>2026</b:YearAccessed>
    <b:MonthAccessed>July</b:MonthAccessed>
    <b:DayAccessed>27</b:DayAccessed>
    <b:URL>https://www.afr.com/world/europe/upmarket-tastes-leave-uk-high-street-coffee-chains-out-in-the-cold-20260118-p5nuwf</b:URL>
    <b:RefOrder>30</b:RefOrder>
  </b:Source>
  <b:Source>
    <b:Tag>Sta24105</b:Tag>
    <b:SourceType>InternetSite</b:SourceType>
    <b:Guid>{84645B20-AEDD-4D21-B17F-2EBF76DA7C50}</b:Guid>
    <b:Author>
      <b:Author>
        <b:Corporate>Starbucks</b:Corporate>
      </b:Author>
    </b:Author>
    <b:Title>Starbucks files UK and EMEA accounts for the fiscal year ended October 2023</b:Title>
    <b:Year>2024</b:Year>
    <b:YearAccessed>2026</b:YearAccessed>
    <b:MonthAccessed>July</b:MonthAccessed>
    <b:DayAccessed>27</b:DayAccessed>
    <b:URL>https://stories.starbucks.com/emea/stories/2024/starbucks-files-uk-and-emea-accounts-for-the-fiscal-year-ended-october-2023/</b:URL>
    <b:RefOrder>31</b:RefOrder>
  </b:Source>
  <b:Source>
    <b:Tag>Zho22</b:Tag>
    <b:SourceType>JournalArticle</b:SourceType>
    <b:Guid>{2975E309-E1CC-49B3-B6AF-7A9E24C0A1AE}</b:Guid>
    <b:Title>Coffee supply chain planning under climate change</b:Title>
    <b:Year>2022</b:Year>
    <b:Author>
      <b:Author>
        <b:NameList>
          <b:Person>
            <b:Last>Zhou</b:Last>
            <b:First>R.</b:First>
          </b:Person>
          <b:Person>
            <b:Last>Wang</b:Last>
            <b:First>Y.</b:First>
          </b:Person>
          <b:Person>
            <b:Last>Jin</b:Last>
            <b:First>M.</b:First>
          </b:Person>
          <b:Person>
            <b:Last>Mao</b:Last>
            <b:First>J.</b:First>
          </b:Person>
          <b:Person>
            <b:Last>Zheng</b:Last>
            <b:First>X.,</b:First>
          </b:Person>
        </b:NameList>
      </b:Author>
    </b:Author>
    <b:JournalName>Journal of Integrative Environmental Sciences</b:JournalName>
    <b:Pages>1-15</b:Pages>
    <b:Volume>19</b:Volume>
    <b:Issue>1</b:Issue>
    <b:RefOrder>32</b:RefOrder>
  </b:Source>
  <b:Source>
    <b:Tag>Goz19</b:Tag>
    <b:SourceType>JournalArticle</b:SourceType>
    <b:Guid>{ED1B9226-69C2-4FD0-949E-4EC69690A701}</b:Guid>
    <b:Author>
      <b:Author>
        <b:NameList>
          <b:Person>
            <b:Last>Gozdan</b:Last>
            <b:First>E.</b:First>
          </b:Person>
          <b:Person>
            <b:Last>Sudolska</b:Last>
            <b:First>A.,</b:First>
          </b:Person>
        </b:NameList>
      </b:Author>
    </b:Author>
    <b:Title>Exploring company’s activities in the field of CSR: The case of Starbucks</b:Title>
    <b:JournalName>Journal of Corporate Responsibility and Leadership</b:JournalName>
    <b:Year>2019</b:Year>
    <b:Pages>29-47</b:Pages>
    <b:Volume>6</b:Volume>
    <b:Issue>2</b:Issue>
    <b:RefOrder>33</b:RefOrder>
  </b:Source>
  <b:Source>
    <b:Tag>Car1615</b:Tag>
    <b:SourceType>JournalArticle</b:SourceType>
    <b:Guid>{1CEB526D-B611-492A-9DD5-3EF24083037A}</b:Guid>
    <b:Author>
      <b:Author>
        <b:NameList>
          <b:Person>
            <b:Last>Carroll</b:Last>
            <b:First>A.B.,</b:First>
          </b:Person>
        </b:NameList>
      </b:Author>
    </b:Author>
    <b:Title>Carroll’s pyramid of CSR: taking another look</b:Title>
    <b:JournalName>International journal of corporate social responsibility</b:JournalName>
    <b:Year>2016</b:Year>
    <b:Pages>3</b:Pages>
    <b:Volume>1</b:Volume>
    <b:Issue>1</b:Issue>
    <b:RefOrder>34</b:RefOrder>
  </b:Source>
  <b:Source>
    <b:Tag>Sta2613</b:Tag>
    <b:SourceType>InternetSite</b:SourceType>
    <b:Guid>{73C5BDBC-58FD-4BC1-B7E5-6EEEA6540207}</b:Guid>
    <b:Title>OUR COMMITMENT TO ETHICAL SOURCING</b:Title>
    <b:Year>2026</b:Year>
    <b:Author>
      <b:Author>
        <b:Corporate>Starbucks</b:Corporate>
      </b:Author>
    </b:Author>
    <b:YearAccessed>2026</b:YearAccessed>
    <b:MonthAccessed>July</b:MonthAccessed>
    <b:DayAccessed>27</b:DayAccessed>
    <b:URL>https://www.starbucks.de/en/ethical-sourcing</b:URL>
    <b:RefOrder>35</b:RefOrder>
  </b:Source>
  <b:Source>
    <b:Tag>Sta24106</b:Tag>
    <b:SourceType>InternetSite</b:SourceType>
    <b:Guid>{7E727F17-C7C3-45A0-BD82-A9B8D51AD6C5}</b:Guid>
    <b:Author>
      <b:Author>
        <b:Corporate>Starbucks </b:Corporate>
      </b:Author>
    </b:Author>
    <b:Title>Meet the Starbucks EMEA Greener Store of the Year for 2023</b:Title>
    <b:Year>2024</b:Year>
    <b:YearAccessed>2026</b:YearAccessed>
    <b:MonthAccessed>July</b:MonthAccessed>
    <b:DayAccessed>27</b:DayAccessed>
    <b:URL>https://stories.starbucks.com/emea/stories/2024/meet-the-starbucks-emea-greener-store-of-the-year-for-2023/</b:URL>
    <b:RefOrder>36</b:RefOrder>
  </b:Source>
  <b:Source>
    <b:Tag>Que182</b:Tag>
    <b:SourceType>JournalArticle</b:SourceType>
    <b:Guid>{EDE16BE9-4F70-41ED-9C33-7EBC49401A61}</b:Guid>
    <b:Title>Advantages and contributions in the balanced scorecard implementation</b:Title>
    <b:Year>2018</b:Year>
    <b:Author>
      <b:Author>
        <b:NameList>
          <b:Person>
            <b:Last>Quesado</b:Last>
            <b:First>P.</b:First>
          </b:Person>
          <b:Person>
            <b:Last>Guzmán</b:Last>
            <b:First>B.A.</b:First>
          </b:Person>
          <b:Person>
            <b:Last>Rodrigues</b:Last>
            <b:First>L.L.,</b:First>
          </b:Person>
        </b:NameList>
      </b:Author>
    </b:Author>
    <b:JournalName>Intangible Capital</b:JournalName>
    <b:Pages>186-201</b:Pages>
    <b:Volume>14</b:Volume>
    <b:Issue>1</b:Issue>
    <b:RefOrder>37</b:RefOrder>
  </b:Source>
  <b:Source>
    <b:Tag>Isl208</b:Tag>
    <b:SourceType>JournalArticle</b:SourceType>
    <b:Guid>{C0437643-6B0D-4824-A640-EB3F89763D1B}</b:Guid>
    <b:Author>
      <b:Author>
        <b:NameList>
          <b:Person>
            <b:Last>Islami</b:Last>
            <b:First>X.</b:First>
          </b:Person>
          <b:Person>
            <b:Last>Mustafa</b:Last>
            <b:First>N.</b:First>
          </b:Person>
          <b:Person>
            <b:Last>Topuzovska Latkovikj</b:Last>
            <b:First>M.,</b:First>
          </b:Person>
        </b:NameList>
      </b:Author>
    </b:Author>
    <b:Title>Linking Porter’s generic strategies to firm performance</b:Title>
    <b:JournalName>Future Business Journal</b:JournalName>
    <b:Year>2020</b:Year>
    <b:Pages>3</b:Pages>
    <b:Volume>6</b:Volume>
    <b:Issue>1</b:Issue>
    <b:RefOrder>38</b:RefOrder>
  </b:Source>
  <b:Source>
    <b:Tag>Mar257</b:Tag>
    <b:SourceType>JournalArticle</b:SourceType>
    <b:Guid>{578C83A9-B50E-4CF5-BF9B-BE8EDA5AF2F4}</b:Guid>
    <b:Author>
      <b:Author>
        <b:NameList>
          <b:Person>
            <b:Last>Marfo-Yiadom</b:Last>
            <b:First>E.</b:First>
          </b:Person>
          <b:Person>
            <b:Last>Kusi</b:Last>
            <b:First>L.Y.</b:First>
          </b:Person>
          <b:Person>
            <b:Last>Nketsiah</b:Last>
            <b:First>I.,</b:First>
          </b:Person>
        </b:NameList>
      </b:Author>
    </b:Author>
    <b:Title>Efficacy of the Porter’s generic strategies in achieving competitive advantage: The mediating roles of market ambidexterity and firm performance</b:Title>
    <b:JournalName>Journal of Business and Enterprise Development (JOBED)</b:JournalName>
    <b:Year>2025</b:Year>
    <b:Pages>1-30</b:Pages>
    <b:Volume>13</b:Volume>
    <b:Issue>2</b:Issue>
    <b:RefOrder>39</b:RefOrder>
  </b:Source>
  <b:Source>
    <b:Tag>Pan246</b:Tag>
    <b:SourceType>JournalArticle</b:SourceType>
    <b:Guid>{7B04B4FE-8A6A-4276-BFAB-8350DEC26883}</b:Guid>
    <b:Author>
      <b:Author>
        <b:NameList>
          <b:Person>
            <b:Last>Pangarkar</b:Last>
            <b:First>N.</b:First>
          </b:Person>
          <b:Person>
            <b:Last>Prabhudesai</b:Last>
            <b:First>R.,</b:First>
          </b:Person>
        </b:NameList>
      </b:Author>
    </b:Author>
    <b:Title>Using Porter's Five Forces analysis to drive strategy</b:Title>
    <b:JournalName>Global Business and Organizational Excellence</b:JournalName>
    <b:Year>2024</b:Year>
    <b:Pages>24-34</b:Pages>
    <b:Volume>43</b:Volume>
    <b:Issue>5</b:Issue>
    <b:RefOrder>40</b:RefOrder>
  </b:Source>
  <b:Source>
    <b:Tag>Sar25</b:Tag>
    <b:SourceType>InternetSite</b:SourceType>
    <b:Guid>{AC23ADDC-F5E9-490F-825B-2E69D986D084}</b:Guid>
    <b:Title>The VC‑funded playbook for coffee brands</b:Title>
    <b:Year>2025</b:Year>
    <b:Author>
      <b:Author>
        <b:NameList>
          <b:Person>
            <b:Last>Charles</b:Last>
            <b:First>Sarah</b:First>
          </b:Person>
        </b:NameList>
      </b:Author>
    </b:Author>
    <b:YearAccessed>2026</b:YearAccessed>
    <b:MonthAccessed>July</b:MonthAccessed>
    <b:DayAccessed>28</b:DayAccessed>
    <b:URL>https://intelligence.coffee/2025/08/the-vc%E2%80%91funded-playbook-for-coffee/</b:URL>
    <b:RefOrder>41</b:RefOrder>
  </b:Source>
  <b:Source>
    <b:Tag>Sta2614</b:Tag>
    <b:SourceType>InternetSite</b:SourceType>
    <b:Guid>{66AE1FB5-6CAC-43BD-A280-6DB4F0443F43}</b:Guid>
    <b:Author>
      <b:Author>
        <b:Corporate>Starbucks EMEA</b:Corporate>
      </b:Author>
    </b:Author>
    <b:Title>Back to Starbucks: A new licensee model for UK growth</b:Title>
    <b:Year>2026</b:Year>
    <b:YearAccessed>2026</b:YearAccessed>
    <b:MonthAccessed>July</b:MonthAccessed>
    <b:DayAccessed>28</b:DayAccessed>
    <b:URL>https://stories.starbucks.com/emea/stories/2026/back-to-starbucks-a-new-licensee-model-for-uk-growth/</b:URL>
    <b:RefOrder>42</b:RefOrder>
  </b:Source>
  <b:Source>
    <b:Tag>Toj23</b:Tag>
    <b:SourceType>JournalArticle</b:SourceType>
    <b:Guid>{92D5B96A-A060-430C-B2CD-80329A55FE41}</b:Guid>
    <b:Title>Product differentiation strategy for organizational financial profitability: Enchancing market share and profitability-A comprehensive literature review</b:Title>
    <b:Year>2023</b:Year>
    <b:Author>
      <b:Author>
        <b:NameList>
          <b:Person>
            <b:Last>Tojiri</b:Last>
            <b:First>Y.,</b:First>
          </b:Person>
        </b:NameList>
      </b:Author>
    </b:Author>
    <b:JournalName>Atestasi: Jurnal Ilmiah Akuntansi</b:JournalName>
    <b:Pages>856-876</b:Pages>
    <b:Volume>6</b:Volume>
    <b:Issue>2</b:Issue>
    <b:RefOrder>43</b:RefOrder>
  </b:Source>
  <b:Source>
    <b:Tag>Mba24</b:Tag>
    <b:SourceType>JournalArticle</b:SourceType>
    <b:Guid>{BEA58CD5-039F-450E-A085-48B4002BA66B}</b:Guid>
    <b:Author>
      <b:Author>
        <b:NameList>
          <b:Person>
            <b:Last>Mbarek</b:Last>
            <b:First>I.,</b:First>
          </b:Person>
        </b:NameList>
      </b:Author>
    </b:Author>
    <b:Title>How organizations address resistance: Understanding change management</b:Title>
    <b:JournalName>International Journal of Applied Business and Management Studies</b:JournalName>
    <b:Year>2024</b:Year>
    <b:Pages>52-70</b:Pages>
    <b:Volume>9</b:Volume>
    <b:Issue>2</b:Issue>
    <b:RefOrder>44</b:RefOrder>
  </b:Source>
  <b:Source>
    <b:Tag>Oca253</b:Tag>
    <b:SourceType>JournalArticle</b:SourceType>
    <b:Guid>{7315F880-EE96-4649-A3CB-2483ACE56B1E}</b:Guid>
    <b:Author>
      <b:Author>
        <b:NameList>
          <b:Person>
            <b:Last>Ocampo</b:Last>
            <b:First>F.A.</b:First>
          </b:Person>
          <b:Person>
            <b:Last>McIntyre</b:Last>
            <b:First>B.G.</b:First>
          </b:Person>
          <b:Person>
            <b:Last>Massey</b:Last>
            <b:First>D.</b:First>
          </b:Person>
          <b:Person>
            <b:Last>Saunders</b:Last>
            <b:First>R.,</b:First>
          </b:Person>
        </b:NameList>
      </b:Author>
    </b:Author>
    <b:Title>Nursing student reflections on a research internship: A reflective discussion following the Gibbs' reflective cycle</b:Title>
    <b:JournalName>Nurse education today</b:JournalName>
    <b:Year>2025</b:Year>
    <b:Pages>106481</b:Pages>
    <b:Volume>145</b:Volume>
    <b:RefOrder>45</b:RefOrder>
  </b:Source>
  <b:Source>
    <b:Tag>Whi193</b:Tag>
    <b:SourceType>Book</b:SourceType>
    <b:Guid>{54D77D9C-1593-4BD7-902E-67E75B0A6C3C}</b:Guid>
    <b:Author>
      <b:Author>
        <b:NameList>
          <b:Person>
            <b:Last>Whittington</b:Last>
            <b:First>R.</b:First>
          </b:Person>
          <b:Person>
            <b:Last>Regnér</b:Last>
            <b:First>P.</b:First>
          </b:Person>
          <b:Person>
            <b:Last>Johnson</b:Last>
            <b:First>G.</b:First>
          </b:Person>
          <b:Person>
            <b:Last>Angwin</b:Last>
            <b:First>D.</b:First>
          </b:Person>
          <b:Person>
            <b:Last>Scholes</b:Last>
            <b:First>K.,</b:First>
          </b:Person>
        </b:NameList>
      </b:Author>
    </b:Author>
    <b:Title>Exploring strategy</b:Title>
    <b:Year>2019</b:Year>
    <b:City>Harlow</b:City>
    <b:Publisher>Pearson UK</b:Publisher>
    <b:RefOrder>46</b:RefOrder>
  </b:Source>
</b:Sources>
</file>

<file path=customXml/itemProps1.xml><?xml version="1.0" encoding="utf-8"?>
<ds:datastoreItem xmlns:ds="http://schemas.openxmlformats.org/officeDocument/2006/customXml" ds:itemID="{51F9C30F-ADFA-4339-8E24-0A19D279CA67}">
  <ds:schemaRefs/>
</ds:datastoreItem>
</file>

<file path=docProps/app.xml><?xml version="1.0" encoding="utf-8"?>
<Properties xmlns="http://schemas.openxmlformats.org/officeDocument/2006/extended-properties" xmlns:vt="http://schemas.openxmlformats.org/officeDocument/2006/docPropsVTypes">
  <Template>Normal</Template>
  <Pages>29</Pages>
  <Words>6291</Words>
  <Characters>41223</Characters>
  <Lines>3541</Lines>
  <Paragraphs>768</Paragraphs>
  <TotalTime>0</TotalTime>
  <ScaleCrop>false</ScaleCrop>
  <LinksUpToDate>false</LinksUpToDate>
  <CharactersWithSpaces>47291</CharactersWithSpaces>
  <Application>WPS Office_12.1.0.28032_F1E327BC-269C-435d-A152-05C5408002CA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2026-07-28T10:13:00Z</dcterms:created>
  <dc:creator>ADMIN</dc:creator>
  <cp:lastModifiedBy>Roshan Shah</cp:lastModifiedBy>
  <dcterms:modified xsi:type="dcterms:W3CDTF">2026-08-11T06:49:36Z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eyJoZGlkIjoiYTA5NjFmZjdmYzRhZDY1NTA1Njc4MTdmM2ZlMmQ0YmMiLCJ1c2VySWQiOiI1NjczODgwNjU3NTEifQ==</vt:lpwstr>
  </property>
  <property fmtid="{D5CDD505-2E9C-101B-9397-08002B2CF9AE}" pid="3" name="KSOProductBuildVer">
    <vt:lpwstr>1033-12.1.0.28032</vt:lpwstr>
  </property>
  <property fmtid="{D5CDD505-2E9C-101B-9397-08002B2CF9AE}" pid="4" name="ICV">
    <vt:lpwstr>3612046D11A84A68964C6C7249FBCAB8_12</vt:lpwstr>
  </property>
</Properties>
</file>