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8712D" w14:textId="77777777" w:rsidR="009003DA" w:rsidRDefault="009003DA" w:rsidP="00AC2BCA"/>
    <w:p w14:paraId="690AE6A8" w14:textId="77777777" w:rsidR="009003DA" w:rsidRDefault="009003DA" w:rsidP="00AC2BCA"/>
    <w:p w14:paraId="40F08AA0" w14:textId="77777777" w:rsidR="009003DA" w:rsidRDefault="009003DA" w:rsidP="00AC2BCA"/>
    <w:p w14:paraId="782150B5" w14:textId="77777777" w:rsidR="009003DA" w:rsidRDefault="009003DA" w:rsidP="00AC2BCA"/>
    <w:p w14:paraId="0917CA6D" w14:textId="77777777" w:rsidR="009003DA" w:rsidRDefault="009003DA" w:rsidP="00AC2BCA"/>
    <w:p w14:paraId="2C76F873" w14:textId="59E086AB" w:rsidR="009003DA" w:rsidRDefault="004307D5" w:rsidP="00AC2BCA">
      <w:r>
        <w:rPr>
          <w:noProof/>
        </w:rPr>
        <mc:AlternateContent>
          <mc:Choice Requires="wps">
            <w:drawing>
              <wp:anchor distT="0" distB="0" distL="114300" distR="114300" simplePos="0" relativeHeight="251660288" behindDoc="0" locked="0" layoutInCell="1" allowOverlap="1" wp14:anchorId="159B2291" wp14:editId="76FC7E3D">
                <wp:simplePos x="0" y="0"/>
                <wp:positionH relativeFrom="column">
                  <wp:posOffset>837282</wp:posOffset>
                </wp:positionH>
                <wp:positionV relativeFrom="paragraph">
                  <wp:posOffset>72260</wp:posOffset>
                </wp:positionV>
                <wp:extent cx="4131325" cy="4990641"/>
                <wp:effectExtent l="0" t="0" r="8890" b="13335"/>
                <wp:wrapNone/>
                <wp:docPr id="1960587566" name="Text Box 2"/>
                <wp:cNvGraphicFramePr/>
                <a:graphic xmlns:a="http://schemas.openxmlformats.org/drawingml/2006/main">
                  <a:graphicData uri="http://schemas.microsoft.com/office/word/2010/wordprocessingShape">
                    <wps:wsp>
                      <wps:cNvSpPr txBox="1"/>
                      <wps:spPr>
                        <a:xfrm>
                          <a:off x="0" y="0"/>
                          <a:ext cx="4131325" cy="4990641"/>
                        </a:xfrm>
                        <a:prstGeom prst="rect">
                          <a:avLst/>
                        </a:prstGeom>
                        <a:solidFill>
                          <a:schemeClr val="lt1"/>
                        </a:solidFill>
                        <a:ln w="6350">
                          <a:solidFill>
                            <a:prstClr val="black"/>
                          </a:solidFill>
                        </a:ln>
                      </wps:spPr>
                      <wps:txbx>
                        <w:txbxContent>
                          <w:p w14:paraId="7CBF2DC8" w14:textId="7D137A4A" w:rsidR="00572C7E" w:rsidRPr="00572C7E" w:rsidRDefault="00572C7E" w:rsidP="00572C7E">
                            <w:pPr>
                              <w:jc w:val="center"/>
                              <w:rPr>
                                <w:sz w:val="40"/>
                                <w:szCs w:val="40"/>
                              </w:rPr>
                            </w:pPr>
                            <w:r w:rsidRPr="00572C7E">
                              <w:rPr>
                                <w:sz w:val="40"/>
                                <w:szCs w:val="40"/>
                              </w:rPr>
                              <w:t>Criminal law</w:t>
                            </w:r>
                          </w:p>
                          <w:p w14:paraId="6049F769" w14:textId="77777777" w:rsidR="00572C7E" w:rsidRPr="00572C7E" w:rsidRDefault="00572C7E" w:rsidP="00572C7E">
                            <w:pPr>
                              <w:spacing w:before="120" w:after="120"/>
                              <w:jc w:val="center"/>
                              <w:rPr>
                                <w:rFonts w:ascii="Arial" w:hAnsi="Arial" w:cs="Arial"/>
                                <w:b/>
                                <w:sz w:val="36"/>
                                <w:szCs w:val="36"/>
                              </w:rPr>
                            </w:pPr>
                            <w:r w:rsidRPr="00572C7E">
                              <w:rPr>
                                <w:rFonts w:ascii="Arial" w:hAnsi="Arial" w:cs="Arial"/>
                                <w:b/>
                                <w:sz w:val="36"/>
                                <w:szCs w:val="36"/>
                              </w:rPr>
                              <w:t>L.KNIGHT</w:t>
                            </w:r>
                          </w:p>
                          <w:p w14:paraId="03B8A4E2" w14:textId="16CD628A" w:rsidR="004307D5" w:rsidRPr="00572C7E" w:rsidRDefault="004307D5" w:rsidP="00572C7E">
                            <w:pPr>
                              <w:spacing w:before="120" w:after="120"/>
                              <w:jc w:val="center"/>
                              <w:rPr>
                                <w:rFonts w:ascii="Arial" w:hAnsi="Arial" w:cs="Arial"/>
                                <w:b/>
                                <w:sz w:val="36"/>
                                <w:szCs w:val="36"/>
                              </w:rPr>
                            </w:pPr>
                            <w:r w:rsidRPr="00572C7E">
                              <w:rPr>
                                <w:sz w:val="40"/>
                                <w:szCs w:val="40"/>
                              </w:rPr>
                              <w:t>B</w:t>
                            </w:r>
                            <w:r w:rsidR="00376F15" w:rsidRPr="00572C7E">
                              <w:rPr>
                                <w:sz w:val="40"/>
                                <w:szCs w:val="40"/>
                              </w:rPr>
                              <w:t xml:space="preserve">MPL </w:t>
                            </w:r>
                            <w:r w:rsidRPr="00572C7E">
                              <w:rPr>
                                <w:sz w:val="40"/>
                                <w:szCs w:val="40"/>
                              </w:rPr>
                              <w:t>400</w:t>
                            </w:r>
                            <w:r w:rsidR="00376F15" w:rsidRPr="00572C7E">
                              <w:rPr>
                                <w:sz w:val="40"/>
                                <w:szCs w:val="4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59B2291" id="_x0000_t202" coordsize="21600,21600" o:spt="202" path="m,l,21600r21600,l21600,xe">
                <v:stroke joinstyle="miter"/>
                <v:path gradientshapeok="t" o:connecttype="rect"/>
              </v:shapetype>
              <v:shape id="Text Box 2" o:spid="_x0000_s1026" type="#_x0000_t202" style="position:absolute;margin-left:65.95pt;margin-top:5.7pt;width:325.3pt;height:392.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" fillcolor="white [3201]" strokeweight=".5pt">
                <v:textbox>
                  <w:txbxContent>
                    <w:p w14:paraId="7CBF2DC8" w14:textId="7D137A4A" w:rsidR="00572C7E" w:rsidRPr="00572C7E" w:rsidRDefault="00572C7E" w:rsidP="00572C7E">
                      <w:pPr>
                        <w:jc w:val="center"/>
                        <w:rPr>
                          <w:sz w:val="40"/>
                          <w:szCs w:val="40"/>
                        </w:rPr>
                      </w:pPr>
                      <w:r w:rsidRPr="00572C7E">
                        <w:rPr>
                          <w:sz w:val="40"/>
                          <w:szCs w:val="40"/>
                        </w:rPr>
                        <w:t>Criminal law</w:t>
                      </w:r>
                    </w:p>
                    <w:p w14:paraId="6049F769" w14:textId="77777777" w:rsidR="00572C7E" w:rsidRPr="00572C7E" w:rsidRDefault="00572C7E" w:rsidP="00572C7E">
                      <w:pPr>
                        <w:spacing w:before="120" w:after="120"/>
                        <w:jc w:val="center"/>
                        <w:rPr>
                          <w:rFonts w:ascii="Arial" w:hAnsi="Arial" w:cs="Arial"/>
                          <w:b/>
                          <w:sz w:val="36"/>
                          <w:szCs w:val="36"/>
                        </w:rPr>
                      </w:pPr>
                      <w:r w:rsidRPr="00572C7E">
                        <w:rPr>
                          <w:rFonts w:ascii="Arial" w:hAnsi="Arial" w:cs="Arial"/>
                          <w:b/>
                          <w:sz w:val="36"/>
                          <w:szCs w:val="36"/>
                        </w:rPr>
                        <w:t>L.KNIGHT</w:t>
                      </w:r>
                    </w:p>
                    <w:p w14:paraId="03B8A4E2" w14:textId="16CD628A" w:rsidR="004307D5" w:rsidRPr="00572C7E" w:rsidRDefault="004307D5" w:rsidP="00572C7E">
                      <w:pPr>
                        <w:spacing w:before="120" w:after="120"/>
                        <w:jc w:val="center"/>
                        <w:rPr>
                          <w:rFonts w:ascii="Arial" w:hAnsi="Arial" w:cs="Arial"/>
                          <w:b/>
                          <w:sz w:val="36"/>
                          <w:szCs w:val="36"/>
                        </w:rPr>
                      </w:pPr>
                      <w:r w:rsidRPr="00572C7E">
                        <w:rPr>
                          <w:sz w:val="40"/>
                          <w:szCs w:val="40"/>
                        </w:rPr>
                        <w:t>B</w:t>
                      </w:r>
                      <w:r w:rsidR="00376F15" w:rsidRPr="00572C7E">
                        <w:rPr>
                          <w:sz w:val="40"/>
                          <w:szCs w:val="40"/>
                        </w:rPr>
                        <w:t xml:space="preserve">MPL </w:t>
                      </w:r>
                      <w:r w:rsidRPr="00572C7E">
                        <w:rPr>
                          <w:sz w:val="40"/>
                          <w:szCs w:val="40"/>
                        </w:rPr>
                        <w:t>400</w:t>
                      </w:r>
                      <w:r w:rsidR="00376F15" w:rsidRPr="00572C7E">
                        <w:rPr>
                          <w:sz w:val="40"/>
                          <w:szCs w:val="40"/>
                        </w:rPr>
                        <w:t>9</w:t>
                      </w:r>
                    </w:p>
                  </w:txbxContent>
                </v:textbox>
              </v:shape>
            </w:pict>
          </mc:Fallback>
        </mc:AlternateContent>
      </w:r>
    </w:p>
    <w:p w14:paraId="2EEB0386" w14:textId="77777777" w:rsidR="009003DA" w:rsidRDefault="009003DA" w:rsidP="00AC2BCA"/>
    <w:p w14:paraId="6EA04B8E" w14:textId="77777777" w:rsidR="009003DA" w:rsidRDefault="009003DA" w:rsidP="00AC2BCA"/>
    <w:p w14:paraId="326067CA" w14:textId="77777777" w:rsidR="009003DA" w:rsidRDefault="009003DA" w:rsidP="00AC2BCA"/>
    <w:p w14:paraId="72D92118" w14:textId="77777777" w:rsidR="009003DA" w:rsidRDefault="009003DA" w:rsidP="00AC2BCA"/>
    <w:p w14:paraId="7B46E274" w14:textId="77777777" w:rsidR="009003DA" w:rsidRDefault="009003DA" w:rsidP="00AC2BCA"/>
    <w:p w14:paraId="32AA4ABD" w14:textId="77777777" w:rsidR="009003DA" w:rsidRDefault="009003DA" w:rsidP="00AC2BCA"/>
    <w:p w14:paraId="4CDBEBB2" w14:textId="77777777" w:rsidR="009003DA" w:rsidRDefault="009003DA" w:rsidP="00AC2BCA"/>
    <w:p w14:paraId="6230E486" w14:textId="77777777" w:rsidR="009003DA" w:rsidRDefault="009003DA" w:rsidP="00AC2BCA"/>
    <w:p w14:paraId="27448CEE" w14:textId="77777777" w:rsidR="009003DA" w:rsidRDefault="009003DA" w:rsidP="00AC2BCA"/>
    <w:p w14:paraId="0E8A94AE" w14:textId="77777777" w:rsidR="009003DA" w:rsidRDefault="009003DA" w:rsidP="00AC2BCA"/>
    <w:p w14:paraId="61C71BAF" w14:textId="77777777" w:rsidR="009003DA" w:rsidRDefault="009003DA" w:rsidP="00AC2BCA"/>
    <w:p w14:paraId="2F10466C" w14:textId="77777777" w:rsidR="009003DA" w:rsidRDefault="009003DA" w:rsidP="00AC2BCA"/>
    <w:p w14:paraId="72C643D5" w14:textId="77777777" w:rsidR="009003DA" w:rsidRDefault="009003DA" w:rsidP="00AC2BCA"/>
    <w:p w14:paraId="2030179A" w14:textId="77777777" w:rsidR="009003DA" w:rsidRDefault="009003DA" w:rsidP="00AC2BCA"/>
    <w:p w14:paraId="38156761" w14:textId="77777777" w:rsidR="009003DA" w:rsidRDefault="009003DA" w:rsidP="00AC2BCA"/>
    <w:p w14:paraId="323A7633" w14:textId="77777777" w:rsidR="009003DA" w:rsidRDefault="009003DA" w:rsidP="00AC2BCA"/>
    <w:p w14:paraId="1D56EA11" w14:textId="77777777" w:rsidR="009003DA" w:rsidRDefault="009003DA" w:rsidP="00AC2BCA"/>
    <w:p w14:paraId="7FB5968F" w14:textId="77777777" w:rsidR="009003DA" w:rsidRDefault="009003DA" w:rsidP="00AC2BCA"/>
    <w:p w14:paraId="4EE68C32" w14:textId="77777777" w:rsidR="009003DA" w:rsidRDefault="009003DA" w:rsidP="00AC2BCA"/>
    <w:p w14:paraId="12B2DE1C" w14:textId="77777777" w:rsidR="009003DA" w:rsidRDefault="009003DA" w:rsidP="00AC2BCA"/>
    <w:p w14:paraId="4EEE0460" w14:textId="77777777" w:rsidR="009003DA" w:rsidRDefault="009003DA" w:rsidP="00AC2BCA"/>
    <w:p w14:paraId="2D5FA76E" w14:textId="77777777" w:rsidR="009003DA" w:rsidRDefault="009003DA" w:rsidP="00AC2BCA"/>
    <w:p w14:paraId="2366F1B8" w14:textId="77777777" w:rsidR="009003DA" w:rsidRDefault="009003DA" w:rsidP="00AC2BCA"/>
    <w:p w14:paraId="12CF8990" w14:textId="77777777" w:rsidR="009003DA" w:rsidRDefault="009003DA" w:rsidP="00AC2BCA"/>
    <w:p w14:paraId="3FA8456B" w14:textId="77777777" w:rsidR="009003DA" w:rsidRDefault="009003DA" w:rsidP="00AC2BCA"/>
    <w:p w14:paraId="70A5CEC0" w14:textId="77777777" w:rsidR="009003DA" w:rsidRDefault="009003DA" w:rsidP="00AC2BCA"/>
    <w:p w14:paraId="37F80760" w14:textId="77777777" w:rsidR="009003DA" w:rsidRDefault="009003DA" w:rsidP="00AC2BCA"/>
    <w:p w14:paraId="43990EC9" w14:textId="77777777" w:rsidR="009003DA" w:rsidRDefault="009003DA" w:rsidP="00AC2BCA"/>
    <w:p w14:paraId="6088EF2B" w14:textId="77777777" w:rsidR="009003DA" w:rsidRDefault="009003DA" w:rsidP="00AC2BCA"/>
    <w:p w14:paraId="05362FA7" w14:textId="77777777" w:rsidR="009003DA" w:rsidRDefault="009003DA" w:rsidP="00AC2BCA"/>
    <w:p w14:paraId="3A7B862B" w14:textId="77777777" w:rsidR="009003DA" w:rsidRDefault="009003DA" w:rsidP="00AC2BCA"/>
    <w:p w14:paraId="633D77D2" w14:textId="77777777" w:rsidR="009003DA" w:rsidRDefault="009003DA" w:rsidP="00AC2BCA"/>
    <w:p w14:paraId="263AFCB8" w14:textId="77777777" w:rsidR="009003DA" w:rsidRDefault="009003DA" w:rsidP="00AC2BCA"/>
    <w:p w14:paraId="0A182755" w14:textId="77777777" w:rsidR="009003DA" w:rsidRDefault="009003DA" w:rsidP="00AC2BCA"/>
    <w:p w14:paraId="147D6673" w14:textId="77777777" w:rsidR="009003DA" w:rsidRDefault="009003DA" w:rsidP="00AC2BCA"/>
    <w:p w14:paraId="2C9AC81F" w14:textId="77777777" w:rsidR="009003DA" w:rsidRDefault="009003DA" w:rsidP="00AC2BCA"/>
    <w:p w14:paraId="09EE1F38" w14:textId="77777777" w:rsidR="009003DA" w:rsidRDefault="009003DA" w:rsidP="00AC2BCA"/>
    <w:p w14:paraId="4E01D17C" w14:textId="77777777" w:rsidR="009003DA" w:rsidRDefault="009003DA" w:rsidP="00AC2BCA"/>
    <w:p w14:paraId="274E7221" w14:textId="77777777" w:rsidR="009003DA" w:rsidRDefault="009003DA" w:rsidP="00AC2BCA"/>
    <w:p w14:paraId="64E96CD7" w14:textId="23C418FE" w:rsidR="009003DA" w:rsidRDefault="00AC3853" w:rsidP="00AC2BCA">
      <w:r>
        <w:rPr>
          <w:noProof/>
        </w:rPr>
        <mc:AlternateContent>
          <mc:Choice Requires="wps">
            <w:drawing>
              <wp:anchor distT="0" distB="0" distL="114300" distR="114300" simplePos="0" relativeHeight="251659264" behindDoc="0" locked="0" layoutInCell="1" allowOverlap="1" wp14:anchorId="34FF7DA0" wp14:editId="7F5CC8B4">
                <wp:simplePos x="0" y="0"/>
                <wp:positionH relativeFrom="column">
                  <wp:posOffset>1806690</wp:posOffset>
                </wp:positionH>
                <wp:positionV relativeFrom="paragraph">
                  <wp:posOffset>497893</wp:posOffset>
                </wp:positionV>
                <wp:extent cx="2423710" cy="561860"/>
                <wp:effectExtent l="0" t="0" r="15240" b="10160"/>
                <wp:wrapNone/>
                <wp:docPr id="983388122" name="Text Box 1"/>
                <wp:cNvGraphicFramePr/>
                <a:graphic xmlns:a="http://schemas.openxmlformats.org/drawingml/2006/main">
                  <a:graphicData uri="http://schemas.microsoft.com/office/word/2010/wordprocessingShape">
                    <wps:wsp>
                      <wps:cNvSpPr txBox="1"/>
                      <wps:spPr>
                        <a:xfrm>
                          <a:off x="0" y="0"/>
                          <a:ext cx="2423710" cy="561860"/>
                        </a:xfrm>
                        <a:prstGeom prst="rect">
                          <a:avLst/>
                        </a:prstGeom>
                        <a:solidFill>
                          <a:schemeClr val="lt1"/>
                        </a:solidFill>
                        <a:ln w="6350">
                          <a:solidFill>
                            <a:prstClr val="black"/>
                          </a:solidFill>
                        </a:ln>
                      </wps:spPr>
                      <wps:txbx>
                        <w:txbxContent>
                          <w:p w14:paraId="2D679EAD" w14:textId="026F0EA1" w:rsidR="00AC3853" w:rsidRDefault="00AC3853">
                            <w:r>
                              <w:t xml:space="preserve">                 Saffron Simon</w:t>
                            </w:r>
                          </w:p>
                          <w:p w14:paraId="0F355BE5" w14:textId="349E4466" w:rsidR="00AC3853" w:rsidRDefault="00AC3853" w:rsidP="00AC3853">
                            <w:r>
                              <w:t xml:space="preserve">                       </w:t>
                            </w:r>
                            <w:r>
                              <w:t xml:space="preserve">2204730 </w:t>
                            </w:r>
                          </w:p>
                          <w:p w14:paraId="453ED37E" w14:textId="0D130BBA" w:rsidR="00AC3853" w:rsidRDefault="00AC38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FF7DA0" id="Text Box 1" o:spid="_x0000_s1027" type="#_x0000_t202" style="position:absolute;margin-left:142.25pt;margin-top:39.2pt;width:190.85pt;height:44.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" fillcolor="white [3201]" strokeweight=".5pt">
                <v:textbox>
                  <w:txbxContent>
                    <w:p w14:paraId="2D679EAD" w14:textId="026F0EA1" w:rsidR="00AC3853" w:rsidRDefault="00AC3853">
                      <w:r>
                        <w:t xml:space="preserve">                 Saffron Simon</w:t>
                      </w:r>
                    </w:p>
                    <w:p w14:paraId="0F355BE5" w14:textId="349E4466" w:rsidR="00AC3853" w:rsidRDefault="00AC3853" w:rsidP="00AC3853">
                      <w:r>
                        <w:t xml:space="preserve">                       </w:t>
                      </w:r>
                      <w:r>
                        <w:t xml:space="preserve">2204730 </w:t>
                      </w:r>
                    </w:p>
                    <w:p w14:paraId="453ED37E" w14:textId="0D130BBA" w:rsidR="00AC3853" w:rsidRDefault="00AC3853"/>
                  </w:txbxContent>
                </v:textbox>
              </v:shape>
            </w:pict>
          </mc:Fallback>
        </mc:AlternateContent>
      </w:r>
    </w:p>
    <w:p w14:paraId="6A35B392" w14:textId="077D1709" w:rsidR="00AC2BCA" w:rsidRPr="009003DA" w:rsidRDefault="00AC2BCA" w:rsidP="00AC2BCA">
      <w:r w:rsidRPr="009003DA">
        <w:t>Firstly, Polly's act of severing the brake cables of Roxanne's moped using a broken glass</w:t>
      </w:r>
      <w:r w:rsidRPr="00021AF2">
        <w:t xml:space="preserve"> </w:t>
      </w:r>
      <w:r w:rsidRPr="009003DA">
        <w:t>constitutes the offence of criminal damage under S.1(1) Criminal Damage Act</w:t>
      </w:r>
    </w:p>
    <w:p w14:paraId="2936DDC1" w14:textId="77777777" w:rsidR="00AC2BCA" w:rsidRPr="00021AF2" w:rsidRDefault="00AC2BCA" w:rsidP="00AC2BCA">
      <w:r w:rsidRPr="009003DA">
        <w:t>[1971}. The act of destroying or damaging property belonging to another person without lawful excuse and with intent or recklessness to cause such damage is a criminal offence. The actus reus element suggests that if an individual unlawfully destroys or damages another person's property, they can be held accountable for the actus reus component of the criminal damage offence. Polly causes damage and destruction to the moped and severs the brake cables using broken glass. This is reinforced in the case of Hardman (1986) under S.10(1) [1971] property in this incident is defined as the tangible item which can be real or personal which is Roxanne's moped. Under the Criminal Damage Act [1971], it is possible</w:t>
      </w:r>
      <w:r w:rsidRPr="00021AF2">
        <w:t xml:space="preserve"> that Polly will be held responsible for the offence of S.1(2) Aggravated Criminal Damage. The requirements for actus reus are the same as those found in Section 1(1) of the Criminal Damage Act (1971), and each one of those requirements has been satisfied.</w:t>
      </w:r>
    </w:p>
    <w:p w14:paraId="38E5F64D" w14:textId="2D7EF0DC" w:rsidR="00AC2BCA" w:rsidRPr="00021AF2" w:rsidRDefault="00AC2BCA" w:rsidP="00AC2BCA">
      <w:r w:rsidRPr="00021AF2">
        <w:t xml:space="preserve">Regarding the </w:t>
      </w:r>
      <w:proofErr w:type="spellStart"/>
      <w:r w:rsidRPr="00021AF2">
        <w:t>mens</w:t>
      </w:r>
      <w:proofErr w:type="spellEnd"/>
      <w:r w:rsidRPr="00021AF2">
        <w:t xml:space="preserve"> rea element, the focus lies on whether there was direct intention. Direct intention indicates that Polly's goal or purpose was to create damage that would put Roxanne's life in danger, or that she acted recklessly </w:t>
      </w:r>
      <w:proofErr w:type="gramStart"/>
      <w:r w:rsidRPr="00021AF2">
        <w:t>in order to</w:t>
      </w:r>
      <w:proofErr w:type="gramEnd"/>
      <w:r w:rsidRPr="00021AF2">
        <w:t xml:space="preserve"> accomplish this goal. In this </w:t>
      </w:r>
      <w:proofErr w:type="gramStart"/>
      <w:r w:rsidRPr="00021AF2">
        <w:t>particular case</w:t>
      </w:r>
      <w:proofErr w:type="gramEnd"/>
      <w:r w:rsidRPr="00021AF2">
        <w:t xml:space="preserve">, Roxanne may have been hurt if the cables had been broken while she was driving. the essential part of the act is that it is not necessary for actual life to have been put in danger, neither is it required for the damage to have necessarily posed a threat to the existence of life. This principle is supported by the </w:t>
      </w:r>
      <w:r w:rsidRPr="009003DA">
        <w:t>cases of Dudley (1989</w:t>
      </w:r>
      <w:proofErr w:type="gramStart"/>
      <w:r w:rsidR="00327842" w:rsidRPr="009003DA">
        <w:t>).</w:t>
      </w:r>
      <w:r w:rsidRPr="009003DA">
        <w:t>The</w:t>
      </w:r>
      <w:proofErr w:type="gramEnd"/>
      <w:r w:rsidRPr="00021AF2">
        <w:t xml:space="preserve"> state that </w:t>
      </w:r>
      <w:r w:rsidRPr="009003DA">
        <w:t xml:space="preserve">Roxanne's moped was in was the source of the risk that she faced to her life. The decision in the case of R v. </w:t>
      </w:r>
      <w:proofErr w:type="spellStart"/>
      <w:r w:rsidRPr="009003DA">
        <w:t>Wenton</w:t>
      </w:r>
      <w:proofErr w:type="spellEnd"/>
      <w:r w:rsidRPr="009003DA">
        <w:t xml:space="preserve"> (2010) provides extra backing for the existence of direct intention on</w:t>
      </w:r>
      <w:r w:rsidRPr="00021AF2">
        <w:t xml:space="preserve"> Polly's side, which is in line </w:t>
      </w:r>
      <w:r w:rsidRPr="009003DA">
        <w:t xml:space="preserve">with the </w:t>
      </w:r>
      <w:proofErr w:type="spellStart"/>
      <w:r w:rsidRPr="009003DA">
        <w:t>Woollin</w:t>
      </w:r>
      <w:proofErr w:type="spellEnd"/>
      <w:r w:rsidRPr="009003DA">
        <w:t xml:space="preserve"> test (1998).</w:t>
      </w:r>
    </w:p>
    <w:p w14:paraId="6926C2DC" w14:textId="77777777" w:rsidR="00AC2BCA" w:rsidRDefault="00AC2BCA" w:rsidP="00AC2BCA">
      <w:r w:rsidRPr="00021AF2">
        <w:t xml:space="preserve">As a direct consequence of this, every one of the necessary elements of </w:t>
      </w:r>
      <w:proofErr w:type="spellStart"/>
      <w:r w:rsidRPr="00021AF2">
        <w:t>mens</w:t>
      </w:r>
      <w:proofErr w:type="spellEnd"/>
      <w:r w:rsidRPr="00021AF2">
        <w:t xml:space="preserve"> rea for serious criminal damage has been satisfied. The defence of insanity, which is applicable when a defendant's mental condition is impacted by an internal factor, such as Polly's schizophrenia in this case, may be used by the defendant. As it affected Polly's legal duty at the time of the offence, this defence could exempt her from blame. Polly must provide proof from her doctor proving her illness </w:t>
      </w:r>
      <w:proofErr w:type="gramStart"/>
      <w:r w:rsidRPr="00021AF2">
        <w:t>in order to</w:t>
      </w:r>
      <w:proofErr w:type="gramEnd"/>
      <w:r w:rsidRPr="00021AF2">
        <w:t xml:space="preserve"> support the insanity defence. The requirements that follow must be established </w:t>
      </w:r>
      <w:proofErr w:type="gramStart"/>
      <w:r w:rsidRPr="00021AF2">
        <w:t xml:space="preserve">in order </w:t>
      </w:r>
      <w:r w:rsidRPr="009003DA">
        <w:t>to</w:t>
      </w:r>
      <w:proofErr w:type="gramEnd"/>
      <w:r w:rsidRPr="009003DA">
        <w:t xml:space="preserve"> pass the </w:t>
      </w:r>
      <w:proofErr w:type="spellStart"/>
      <w:r w:rsidRPr="009003DA">
        <w:t>M'Naghten's</w:t>
      </w:r>
      <w:proofErr w:type="spellEnd"/>
      <w:r w:rsidRPr="009003DA">
        <w:t xml:space="preserve"> rule, or test for</w:t>
      </w:r>
      <w:r w:rsidRPr="00021AF2">
        <w:t xml:space="preserve"> insanity, which is named after the </w:t>
      </w:r>
      <w:proofErr w:type="spellStart"/>
      <w:r w:rsidRPr="00021AF2">
        <w:t>M'Naghten</w:t>
      </w:r>
      <w:proofErr w:type="spellEnd"/>
      <w:r w:rsidRPr="00021AF2">
        <w:t xml:space="preserve"> case from 1843 The defendant must first suffer from a mental disease that results in a rea deficiency. Second, </w:t>
      </w:r>
      <w:proofErr w:type="gramStart"/>
      <w:r w:rsidRPr="00021AF2">
        <w:t>as a result of</w:t>
      </w:r>
      <w:proofErr w:type="gramEnd"/>
      <w:r w:rsidRPr="00021AF2">
        <w:t xml:space="preserve"> this circumstance, the defendant is either unaware of the nature and quality of their actions or, if they are, are unaware that it was wrong. In conclusion, Polly can claim the defence of insanity</w:t>
      </w:r>
      <w:r>
        <w:t>, which may lessen her whole culpability for the offences, even if she may be liable for the offences of basic CD under section 1(2) CDA (1971) and aggravated CD under section 1(2) CDA [1971].</w:t>
      </w:r>
    </w:p>
    <w:p w14:paraId="0F0E586D" w14:textId="77777777" w:rsidR="00AC2BCA" w:rsidRDefault="00AC2BCA" w:rsidP="00AC2BCA"/>
    <w:p w14:paraId="346313A8" w14:textId="77777777" w:rsidR="00AC2BCA" w:rsidRDefault="00AC2BCA" w:rsidP="00AC2BCA">
      <w:r>
        <w:t xml:space="preserve">However, </w:t>
      </w:r>
      <w:r w:rsidRPr="00F276C2">
        <w:t xml:space="preserve">Polly commits her second offence when she approaches Roxanne, a person whose presence upsets her, and insults her verbally while also making a rude gesture towards her. Polly could be held accountable for her actions in accordance with the Criminal Justice Act of 1988 if the circumstances remain the same. </w:t>
      </w:r>
      <w:proofErr w:type="gramStart"/>
      <w:r w:rsidRPr="00F276C2">
        <w:t>In order to</w:t>
      </w:r>
      <w:proofErr w:type="gramEnd"/>
      <w:r w:rsidRPr="00F276C2">
        <w:t xml:space="preserve"> prove the existence of the actus reus, it must be shown that the behaviour of the defendant was the source of the victim's reasonable fear of an immediate threat of unlawful bodily harm. This legal theory is further supported by the </w:t>
      </w:r>
      <w:r w:rsidRPr="009003DA">
        <w:t xml:space="preserve">case of Fagan v. Metropolitan Police Commissioner (1968), which was decided in 1968. </w:t>
      </w:r>
      <w:proofErr w:type="gramStart"/>
      <w:r w:rsidRPr="009003DA">
        <w:t>However</w:t>
      </w:r>
      <w:proofErr w:type="gramEnd"/>
      <w:r w:rsidRPr="009003DA">
        <w:t xml:space="preserve"> Polly is not liable of Section 2 of Criminal Justice Act 1988 because</w:t>
      </w:r>
      <w:r w:rsidRPr="00F276C2">
        <w:t xml:space="preserve"> not all the actus reus elements have been satisfied.</w:t>
      </w:r>
      <w:r>
        <w:t xml:space="preserve">    </w:t>
      </w:r>
    </w:p>
    <w:p w14:paraId="57F5E780" w14:textId="77777777" w:rsidR="00AC2BCA" w:rsidRDefault="00AC2BCA" w:rsidP="00AC2BCA"/>
    <w:p w14:paraId="0FBF00AE" w14:textId="6F1BFC70" w:rsidR="00AC2BCA" w:rsidRDefault="00AC2BCA" w:rsidP="00AC2BCA">
      <w:r>
        <w:t xml:space="preserve">Polly commits her third offence when, overtaken with emotion, she suddenly bursts into tears, looks away, and then notices a glass ashtray in the room. In a fit of anger, she grabs the ashtray and slams it over Mohammad's head, causing him to pass out from a head injury and die instantly. </w:t>
      </w:r>
      <w:proofErr w:type="gramStart"/>
      <w:r>
        <w:t>In order to</w:t>
      </w:r>
      <w:proofErr w:type="gramEnd"/>
      <w:r>
        <w:t xml:space="preserve"> establish actus reus, it must be demonstrated that the defendant unlawfully caused the death of another person during the time that the King's peace was in effect, and that the victim was a person. Polly uses the glass ashtray to inflict a fatal head injury on Mohammad in this case, which satisfies these conditions. This contention is supported by the precedent that was established in the </w:t>
      </w:r>
      <w:r w:rsidRPr="009003DA">
        <w:t xml:space="preserve">case of Gibbins and Proctor [1918], which demonstrates that </w:t>
      </w:r>
      <w:proofErr w:type="gramStart"/>
      <w:r w:rsidRPr="009003DA">
        <w:t>all of</w:t>
      </w:r>
      <w:proofErr w:type="gramEnd"/>
      <w:r w:rsidRPr="009003DA">
        <w:t xml:space="preserve"> the elements for actus reus have been met.</w:t>
      </w:r>
      <w:r>
        <w:t xml:space="preserve"> Malice, defined as the intention to kill or do grievous bodily harm (GBH), is one of the necessary elements of </w:t>
      </w:r>
      <w:proofErr w:type="spellStart"/>
      <w:r>
        <w:t>mens</w:t>
      </w:r>
      <w:proofErr w:type="spellEnd"/>
      <w:r>
        <w:t xml:space="preserve"> rea, which must be proven to secure a conviction. Polly's goal was to harm Mohammad and let out her rage, and she had no direct intention of killing anyone or causing any GBH. Polly </w:t>
      </w:r>
      <w:proofErr w:type="gramStart"/>
      <w:r>
        <w:t>was well aware that</w:t>
      </w:r>
      <w:proofErr w:type="gramEnd"/>
      <w:r>
        <w:t xml:space="preserve"> her acts could result in Mohammad's </w:t>
      </w:r>
      <w:r w:rsidRPr="009003DA">
        <w:t xml:space="preserve">death or serious injury, so there is a case to be made for indirect intention. The facts of the </w:t>
      </w:r>
      <w:proofErr w:type="spellStart"/>
      <w:r w:rsidRPr="009003DA">
        <w:t>Woollin</w:t>
      </w:r>
      <w:proofErr w:type="spellEnd"/>
      <w:r w:rsidRPr="009003DA">
        <w:t xml:space="preserve"> [1998] case supports this perspective. </w:t>
      </w:r>
      <w:r w:rsidR="00D372E5" w:rsidRPr="009003DA">
        <w:t>Polly may be eligible for the defence of</w:t>
      </w:r>
      <w:r w:rsidR="00D372E5" w:rsidRPr="00D372E5">
        <w:t xml:space="preserve"> diminished responsibility under section </w:t>
      </w:r>
      <w:r w:rsidR="00D372E5" w:rsidRPr="009003DA">
        <w:t>2 of the Homicide Act of 1957 if she can provide</w:t>
      </w:r>
      <w:r w:rsidR="00D372E5" w:rsidRPr="00D372E5">
        <w:t xml:space="preserve"> evidence that her mental illness seriously impaired her capacity to exercise self-control during the commission of the crime. Although the diminished responsibility defence may be used if the accused is being charged with murder, it cannot be used if the accused is being charged with criminal damage.</w:t>
      </w:r>
      <w:r w:rsidR="00D372E5">
        <w:t xml:space="preserve"> </w:t>
      </w:r>
    </w:p>
    <w:p w14:paraId="2D89CB42" w14:textId="77777777" w:rsidR="00AC2BCA" w:rsidRDefault="00AC2BCA" w:rsidP="00AC2BCA"/>
    <w:p w14:paraId="2FD0173D" w14:textId="22DC6E77" w:rsidR="00AC2BCA" w:rsidRDefault="00AC2BCA" w:rsidP="00AC2BCA">
      <w:r>
        <w:t>A</w:t>
      </w:r>
      <w:r w:rsidR="00F218B4">
        <w:t xml:space="preserve">nother </w:t>
      </w:r>
      <w:r w:rsidRPr="00F7248D">
        <w:t xml:space="preserve">defence that Polly may be liable for is loss of control </w:t>
      </w:r>
      <w:r>
        <w:t xml:space="preserve">section </w:t>
      </w:r>
      <w:r w:rsidRPr="00F7248D">
        <w:t xml:space="preserve">54 (1) and </w:t>
      </w:r>
      <w:r>
        <w:t xml:space="preserve">Section </w:t>
      </w:r>
      <w:r w:rsidRPr="00F7248D">
        <w:t>55 (4)</w:t>
      </w:r>
      <w:r w:rsidR="00F218B4">
        <w:t xml:space="preserve"> </w:t>
      </w:r>
      <w:r w:rsidRPr="00F7248D">
        <w:t>Coroners and Justice Act 2009</w:t>
      </w:r>
      <w:r>
        <w:t>, if the defendant satisfies all the elements the defendant might not be convicted of murder. The elements that the defendant would need to satisfy are “</w:t>
      </w:r>
      <w:r w:rsidRPr="00F7248D">
        <w:t xml:space="preserve">loss of self-control, the loss of self-control had a qualifying trigger and a person of </w:t>
      </w:r>
      <w:r>
        <w:t xml:space="preserve">the </w:t>
      </w:r>
      <w:r w:rsidRPr="00F7248D">
        <w:t xml:space="preserve">defendant's sex and age, with a normal degree of tolerance and self-restraint and in the circumstances of </w:t>
      </w:r>
      <w:r>
        <w:t xml:space="preserve">the </w:t>
      </w:r>
      <w:r w:rsidRPr="00F7248D">
        <w:t>defendant, might have reacted in the same or in a similar way to the defendant</w:t>
      </w:r>
      <w:r>
        <w:t>”</w:t>
      </w:r>
      <w:sdt>
        <w:sdtPr>
          <w:id w:val="1319608051"/>
          <w:citation/>
        </w:sdtPr>
        <w:sdtContent>
          <w:r>
            <w:fldChar w:fldCharType="begin"/>
          </w:r>
          <w:r>
            <w:instrText xml:space="preserve"> CITATION leg23 \l 2057 </w:instrText>
          </w:r>
          <w:r>
            <w:fldChar w:fldCharType="separate"/>
          </w:r>
          <w:r>
            <w:rPr>
              <w:noProof/>
            </w:rPr>
            <w:t xml:space="preserve"> </w:t>
          </w:r>
          <w:r w:rsidRPr="00DA0C40">
            <w:rPr>
              <w:noProof/>
            </w:rPr>
            <w:t>(legislation.gov.uk, 2023)</w:t>
          </w:r>
          <w:r>
            <w:fldChar w:fldCharType="end"/>
          </w:r>
        </w:sdtContent>
      </w:sdt>
      <w:r>
        <w:t>.</w:t>
      </w:r>
      <w:r w:rsidRPr="00516730">
        <w:t xml:space="preserve"> The news that Mohammed had been having an affair with Roxanne caused Polly to go into a state of great emotional distress, which in response caused her to lose control of her emotions, which led to Polly's loss of control. This mental breakdown was of </w:t>
      </w:r>
      <w:r w:rsidR="001A6149">
        <w:t xml:space="preserve">out of </w:t>
      </w:r>
      <w:r w:rsidRPr="00516730">
        <w:t xml:space="preserve">character, as proven by the </w:t>
      </w:r>
      <w:r w:rsidRPr="009003DA">
        <w:t>case of Dawes, Hatter, and Bowyer [2013], and it left Polly with a valid sense of being deeply wronged. As a consequence of this,</w:t>
      </w:r>
      <w:r w:rsidRPr="00516730">
        <w:t xml:space="preserve"> Polly's loss of control satisfies the required elements stated in section 54(</w:t>
      </w:r>
      <w:proofErr w:type="gramStart"/>
      <w:r w:rsidRPr="00516730">
        <w:t>1)b.</w:t>
      </w:r>
      <w:proofErr w:type="gramEnd"/>
    </w:p>
    <w:p w14:paraId="5B6B3681" w14:textId="77777777" w:rsidR="00646E1A" w:rsidRDefault="00646E1A" w:rsidP="00AC2BCA"/>
    <w:p w14:paraId="21F1D1E5" w14:textId="77777777" w:rsidR="009F66DA" w:rsidRDefault="009F66DA" w:rsidP="009F66DA">
      <w:r>
        <w:t xml:space="preserve">In conclusion, it can be established that Polly is responsible for two charges. The first charge is basic criminal damage (CD), which is in </w:t>
      </w:r>
      <w:proofErr w:type="gramStart"/>
      <w:r>
        <w:t>line  with</w:t>
      </w:r>
      <w:proofErr w:type="gramEnd"/>
      <w:r>
        <w:t xml:space="preserve"> Section 1(1) of the CDA (1971). The second charge is aggravated CD, as stated in Section 1(2) of the CDA (1971). However, it can be argued that Polly shows a valid defence of insanity, which could possibly </w:t>
      </w:r>
      <w:proofErr w:type="gramStart"/>
      <w:r>
        <w:t>lessens</w:t>
      </w:r>
      <w:proofErr w:type="gramEnd"/>
      <w:r>
        <w:t xml:space="preserve"> her overall responsibility for the offences. In addition, it can be argued that Polly cannot be deemed responsible for the offence as per Section 39 of the Criminal Justice Act 1988. This is because the necessary Actus Reus (AR) elements have not been fully met in the scenario.</w:t>
      </w:r>
    </w:p>
    <w:p w14:paraId="550DF82F" w14:textId="77777777" w:rsidR="009F66DA" w:rsidRDefault="009F66DA" w:rsidP="009F66DA"/>
    <w:p w14:paraId="13F7138B" w14:textId="77777777" w:rsidR="009F66DA" w:rsidRDefault="009F66DA" w:rsidP="009F66DA">
      <w:r>
        <w:t>In addition, it should be stated that Polly's liability can be linked to voluntary manslaughter as stated in Section 6 of the Criminal Law Act 1967. The reason for this is because she was found responsible for the defence of diminished responsibility under Section 2 of the Homicide Act 1957. As a result, her charge was changed from murder to manslaughter.</w:t>
      </w:r>
    </w:p>
    <w:p w14:paraId="7F10AC04" w14:textId="08B587A0" w:rsidR="00700D57" w:rsidRDefault="009F66DA" w:rsidP="009F66DA">
      <w:r>
        <w:t>To summarise, Polly can be held partially responsible for both basic and aggravated CD, but her level of responsibility is reduced due to the defence of insanity. However, it can be argued that she cannot be held responsible for the offence as stated in Section 39 of the Criminal Justice Act 1988. Finally, it can be concluded that she has complete responsibility for voluntary manslaughter due to diminished responsibility, resulting in a change of her initial charge of murder.</w:t>
      </w:r>
    </w:p>
    <w:p w14:paraId="6924887E" w14:textId="77777777" w:rsidR="00FF65A2" w:rsidRDefault="00FF65A2" w:rsidP="009F66DA"/>
    <w:p w14:paraId="2DCE1E4E" w14:textId="07C50B3E" w:rsidR="00FF65A2" w:rsidRPr="00E74ABB" w:rsidRDefault="00991950" w:rsidP="009F66DA">
      <w:pPr>
        <w:rPr>
          <w:sz w:val="16"/>
          <w:szCs w:val="16"/>
        </w:rPr>
      </w:pPr>
      <w:r w:rsidRPr="00E74ABB">
        <w:rPr>
          <w:sz w:val="16"/>
          <w:szCs w:val="16"/>
        </w:rPr>
        <w:t>Word count</w:t>
      </w:r>
      <w:r w:rsidR="00E74ABB" w:rsidRPr="00E74ABB">
        <w:rPr>
          <w:sz w:val="16"/>
          <w:szCs w:val="16"/>
        </w:rPr>
        <w:t>= 1529</w:t>
      </w:r>
    </w:p>
    <w:p w14:paraId="1C304320" w14:textId="77777777" w:rsidR="00FF65A2" w:rsidRDefault="00FF65A2" w:rsidP="009F66DA"/>
    <w:p w14:paraId="4CE30F9D" w14:textId="0EAEA4C8" w:rsidR="00FF65A2" w:rsidRPr="009F25AC" w:rsidRDefault="009F25AC" w:rsidP="009F66DA">
      <w:pPr>
        <w:rPr>
          <w:u w:val="single"/>
        </w:rPr>
      </w:pPr>
      <w:r w:rsidRPr="009F25AC">
        <w:rPr>
          <w:u w:val="single"/>
        </w:rPr>
        <w:t>Reference list</w:t>
      </w:r>
    </w:p>
    <w:p w14:paraId="0E0DABEB" w14:textId="77777777" w:rsidR="00FF65A2" w:rsidRDefault="00FF65A2" w:rsidP="009F66DA"/>
    <w:p w14:paraId="4C010A60" w14:textId="77777777" w:rsidR="00FF65A2" w:rsidRDefault="00FF65A2" w:rsidP="009F66DA"/>
    <w:p w14:paraId="681EED85" w14:textId="1626E671" w:rsidR="00FF65A2" w:rsidRDefault="009F25AC" w:rsidP="009F66DA">
      <w:pPr>
        <w:rPr>
          <w:u w:val="single"/>
        </w:rPr>
      </w:pPr>
      <w:r w:rsidRPr="009F25AC">
        <w:rPr>
          <w:u w:val="single"/>
        </w:rPr>
        <w:t xml:space="preserve">Case law </w:t>
      </w:r>
    </w:p>
    <w:p w14:paraId="3099CCF6" w14:textId="77777777" w:rsidR="007E1160" w:rsidRDefault="007E1160" w:rsidP="009F66DA">
      <w:pPr>
        <w:rPr>
          <w:u w:val="single"/>
        </w:rPr>
      </w:pPr>
    </w:p>
    <w:p w14:paraId="43E53E5C" w14:textId="37804399" w:rsidR="007E1160" w:rsidRDefault="007E1160" w:rsidP="009F66DA">
      <w:pPr>
        <w:rPr>
          <w:rFonts w:ascii="Helvetica" w:hAnsi="Helvetica" w:cs="Helvetica"/>
          <w:kern w:val="0"/>
          <w:sz w:val="18"/>
          <w:szCs w:val="18"/>
        </w:rPr>
      </w:pPr>
      <w:r>
        <w:rPr>
          <w:rFonts w:ascii="Helvetica" w:hAnsi="Helvetica" w:cs="Helvetica"/>
          <w:kern w:val="0"/>
          <w:sz w:val="18"/>
          <w:szCs w:val="18"/>
        </w:rPr>
        <w:t>Dawes, Hatter, and Bowyer [2013] WLR(D) 130 Court of Appeal.</w:t>
      </w:r>
    </w:p>
    <w:p w14:paraId="7565C012" w14:textId="4D12959E" w:rsidR="00023082" w:rsidRDefault="00023082" w:rsidP="009F66DA">
      <w:pPr>
        <w:rPr>
          <w:rFonts w:ascii="Helvetica" w:hAnsi="Helvetica" w:cs="Helvetica"/>
          <w:kern w:val="0"/>
          <w:sz w:val="18"/>
          <w:szCs w:val="18"/>
        </w:rPr>
      </w:pPr>
      <w:r>
        <w:rPr>
          <w:rFonts w:ascii="Helvetica" w:hAnsi="Helvetica" w:cs="Helvetica"/>
          <w:kern w:val="0"/>
          <w:sz w:val="18"/>
          <w:szCs w:val="18"/>
        </w:rPr>
        <w:t>Dudley [1989]</w:t>
      </w:r>
    </w:p>
    <w:p w14:paraId="4C9ABFB3" w14:textId="01D7307F" w:rsidR="00023082" w:rsidRDefault="00E7735A" w:rsidP="009F66DA">
      <w:pPr>
        <w:rPr>
          <w:rFonts w:ascii="Helvetica" w:hAnsi="Helvetica" w:cs="Helvetica"/>
          <w:kern w:val="0"/>
          <w:sz w:val="18"/>
          <w:szCs w:val="18"/>
        </w:rPr>
      </w:pPr>
      <w:r>
        <w:rPr>
          <w:rFonts w:ascii="Helvetica" w:hAnsi="Helvetica" w:cs="Helvetica"/>
          <w:kern w:val="0"/>
          <w:sz w:val="18"/>
          <w:szCs w:val="18"/>
        </w:rPr>
        <w:t>Fagan v Metropolitan Police Commissioner [1968] 1 Q. B 439.</w:t>
      </w:r>
    </w:p>
    <w:p w14:paraId="4CBDAD1B" w14:textId="186CD442" w:rsidR="00E7735A" w:rsidRDefault="00821CEB" w:rsidP="009F66DA">
      <w:pPr>
        <w:rPr>
          <w:rFonts w:ascii="Helvetica" w:hAnsi="Helvetica" w:cs="Helvetica"/>
          <w:kern w:val="0"/>
          <w:sz w:val="18"/>
          <w:szCs w:val="18"/>
        </w:rPr>
      </w:pPr>
      <w:r>
        <w:rPr>
          <w:rFonts w:ascii="Helvetica" w:hAnsi="Helvetica" w:cs="Helvetica"/>
          <w:kern w:val="0"/>
          <w:sz w:val="18"/>
          <w:szCs w:val="18"/>
        </w:rPr>
        <w:t>Gibbins and Proctor [1918]</w:t>
      </w:r>
    </w:p>
    <w:p w14:paraId="0287B6B7" w14:textId="6758BA02" w:rsidR="00821CEB" w:rsidRDefault="00821CEB" w:rsidP="009F66DA">
      <w:pPr>
        <w:rPr>
          <w:rFonts w:ascii="Helvetica" w:hAnsi="Helvetica" w:cs="Helvetica"/>
          <w:kern w:val="0"/>
          <w:sz w:val="18"/>
          <w:szCs w:val="18"/>
        </w:rPr>
      </w:pPr>
      <w:r>
        <w:rPr>
          <w:rFonts w:ascii="Helvetica" w:hAnsi="Helvetica" w:cs="Helvetica"/>
          <w:kern w:val="0"/>
          <w:sz w:val="18"/>
          <w:szCs w:val="18"/>
        </w:rPr>
        <w:t>Hardman [1986]</w:t>
      </w:r>
    </w:p>
    <w:p w14:paraId="0757B6B6" w14:textId="394D97B3" w:rsidR="00C82D3D" w:rsidRDefault="00C82D3D" w:rsidP="009F66DA">
      <w:pPr>
        <w:rPr>
          <w:rFonts w:ascii="Helvetica" w:hAnsi="Helvetica" w:cs="Helvetica"/>
          <w:kern w:val="0"/>
          <w:sz w:val="18"/>
          <w:szCs w:val="18"/>
        </w:rPr>
      </w:pPr>
      <w:proofErr w:type="spellStart"/>
      <w:r>
        <w:rPr>
          <w:rFonts w:ascii="Helvetica" w:hAnsi="Helvetica" w:cs="Helvetica"/>
          <w:kern w:val="0"/>
          <w:sz w:val="18"/>
          <w:szCs w:val="18"/>
        </w:rPr>
        <w:t>M'Naghten</w:t>
      </w:r>
      <w:proofErr w:type="spellEnd"/>
      <w:r>
        <w:rPr>
          <w:rFonts w:ascii="Helvetica" w:hAnsi="Helvetica" w:cs="Helvetica"/>
          <w:kern w:val="0"/>
          <w:sz w:val="18"/>
          <w:szCs w:val="18"/>
        </w:rPr>
        <w:t xml:space="preserve"> [1843]</w:t>
      </w:r>
    </w:p>
    <w:p w14:paraId="5F50461C" w14:textId="11FBCB8D" w:rsidR="00354A7E" w:rsidRDefault="00354A7E" w:rsidP="009F66DA">
      <w:pPr>
        <w:rPr>
          <w:rFonts w:ascii="Helvetica" w:hAnsi="Helvetica" w:cs="Helvetica"/>
          <w:kern w:val="0"/>
          <w:sz w:val="18"/>
          <w:szCs w:val="18"/>
        </w:rPr>
      </w:pPr>
      <w:r>
        <w:rPr>
          <w:rFonts w:ascii="Helvetica" w:hAnsi="Helvetica" w:cs="Helvetica"/>
          <w:kern w:val="0"/>
          <w:sz w:val="18"/>
          <w:szCs w:val="18"/>
        </w:rPr>
        <w:t>Moyle [2008</w:t>
      </w:r>
      <w:r w:rsidR="00AA2DFD">
        <w:rPr>
          <w:rFonts w:ascii="Helvetica" w:hAnsi="Helvetica" w:cs="Helvetica"/>
          <w:kern w:val="0"/>
          <w:sz w:val="18"/>
          <w:szCs w:val="18"/>
        </w:rPr>
        <w:t>]</w:t>
      </w:r>
    </w:p>
    <w:p w14:paraId="06370F0A" w14:textId="424A5B28" w:rsidR="00AA2DFD" w:rsidRDefault="00AA2DFD" w:rsidP="009F66DA">
      <w:pPr>
        <w:rPr>
          <w:rFonts w:ascii="Helvetica" w:hAnsi="Helvetica" w:cs="Helvetica"/>
          <w:kern w:val="0"/>
          <w:sz w:val="18"/>
          <w:szCs w:val="18"/>
        </w:rPr>
      </w:pPr>
      <w:r>
        <w:rPr>
          <w:rFonts w:ascii="Helvetica" w:hAnsi="Helvetica" w:cs="Helvetica"/>
          <w:kern w:val="0"/>
          <w:sz w:val="18"/>
          <w:szCs w:val="18"/>
        </w:rPr>
        <w:t xml:space="preserve">R v </w:t>
      </w:r>
      <w:proofErr w:type="spellStart"/>
      <w:r>
        <w:rPr>
          <w:rFonts w:ascii="Helvetica" w:hAnsi="Helvetica" w:cs="Helvetica"/>
          <w:kern w:val="0"/>
          <w:sz w:val="18"/>
          <w:szCs w:val="18"/>
        </w:rPr>
        <w:t>Wenton</w:t>
      </w:r>
      <w:proofErr w:type="spellEnd"/>
      <w:r>
        <w:rPr>
          <w:rFonts w:ascii="Helvetica" w:hAnsi="Helvetica" w:cs="Helvetica"/>
          <w:kern w:val="0"/>
          <w:sz w:val="18"/>
          <w:szCs w:val="18"/>
        </w:rPr>
        <w:t xml:space="preserve"> [2010]</w:t>
      </w:r>
    </w:p>
    <w:p w14:paraId="75DF7BA9" w14:textId="77777777" w:rsidR="00AA2DFD" w:rsidRDefault="00AA2DFD" w:rsidP="009F66DA">
      <w:pPr>
        <w:rPr>
          <w:rFonts w:ascii="Helvetica" w:hAnsi="Helvetica" w:cs="Helvetica"/>
          <w:kern w:val="0"/>
          <w:sz w:val="18"/>
          <w:szCs w:val="18"/>
        </w:rPr>
      </w:pPr>
    </w:p>
    <w:p w14:paraId="40B521EC" w14:textId="77777777" w:rsidR="008025E0" w:rsidRDefault="008025E0" w:rsidP="009F66DA">
      <w:pPr>
        <w:rPr>
          <w:rFonts w:ascii="Helvetica" w:hAnsi="Helvetica" w:cs="Helvetica"/>
          <w:kern w:val="0"/>
          <w:sz w:val="18"/>
          <w:szCs w:val="18"/>
        </w:rPr>
      </w:pPr>
    </w:p>
    <w:p w14:paraId="4C61862F" w14:textId="182295C9" w:rsidR="008025E0" w:rsidRDefault="008025E0" w:rsidP="009F66DA">
      <w:pPr>
        <w:rPr>
          <w:rFonts w:ascii="Helvetica" w:hAnsi="Helvetica" w:cs="Helvetica"/>
          <w:kern w:val="0"/>
          <w:sz w:val="18"/>
          <w:szCs w:val="18"/>
          <w:u w:val="single"/>
        </w:rPr>
      </w:pPr>
      <w:r w:rsidRPr="008025E0">
        <w:rPr>
          <w:rFonts w:ascii="Helvetica" w:hAnsi="Helvetica" w:cs="Helvetica"/>
          <w:kern w:val="0"/>
          <w:sz w:val="18"/>
          <w:szCs w:val="18"/>
          <w:u w:val="single"/>
        </w:rPr>
        <w:t>Legislation reference list</w:t>
      </w:r>
    </w:p>
    <w:p w14:paraId="71C654D1" w14:textId="77777777" w:rsidR="008025E0" w:rsidRDefault="008025E0" w:rsidP="008025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sz w:val="18"/>
          <w:szCs w:val="18"/>
        </w:rPr>
      </w:pPr>
      <w:r>
        <w:rPr>
          <w:rFonts w:ascii="Helvetica" w:hAnsi="Helvetica" w:cs="Helvetica"/>
          <w:kern w:val="0"/>
          <w:sz w:val="18"/>
          <w:szCs w:val="18"/>
        </w:rPr>
        <w:t>Coroners and Justice Act 2009, c. 25. Available at: https://www.legislation.</w:t>
      </w:r>
    </w:p>
    <w:p w14:paraId="42713F2E" w14:textId="6CB19DB9" w:rsidR="008025E0" w:rsidRDefault="008025E0" w:rsidP="008025E0">
      <w:pPr>
        <w:rPr>
          <w:rFonts w:ascii="Helvetica" w:hAnsi="Helvetica" w:cs="Helvetica"/>
          <w:kern w:val="0"/>
          <w:sz w:val="18"/>
          <w:szCs w:val="18"/>
        </w:rPr>
      </w:pPr>
      <w:r>
        <w:rPr>
          <w:rFonts w:ascii="Helvetica" w:hAnsi="Helvetica" w:cs="Helvetica"/>
          <w:kern w:val="0"/>
          <w:sz w:val="18"/>
          <w:szCs w:val="18"/>
        </w:rPr>
        <w:t>gov.uk/</w:t>
      </w:r>
      <w:proofErr w:type="spellStart"/>
      <w:r>
        <w:rPr>
          <w:rFonts w:ascii="Helvetica" w:hAnsi="Helvetica" w:cs="Helvetica"/>
          <w:kern w:val="0"/>
          <w:sz w:val="18"/>
          <w:szCs w:val="18"/>
        </w:rPr>
        <w:t>ukpga</w:t>
      </w:r>
      <w:proofErr w:type="spellEnd"/>
      <w:r>
        <w:rPr>
          <w:rFonts w:ascii="Helvetica" w:hAnsi="Helvetica" w:cs="Helvetica"/>
          <w:kern w:val="0"/>
          <w:sz w:val="18"/>
          <w:szCs w:val="18"/>
        </w:rPr>
        <w:t>/2009/25/section/52 (Accessed:</w:t>
      </w:r>
      <w:r w:rsidR="000366C0">
        <w:rPr>
          <w:rFonts w:ascii="Helvetica" w:hAnsi="Helvetica" w:cs="Helvetica"/>
          <w:kern w:val="0"/>
          <w:sz w:val="18"/>
          <w:szCs w:val="18"/>
        </w:rPr>
        <w:t xml:space="preserve"> 3 July </w:t>
      </w:r>
      <w:r>
        <w:rPr>
          <w:rFonts w:ascii="Helvetica" w:hAnsi="Helvetica" w:cs="Helvetica"/>
          <w:kern w:val="0"/>
          <w:sz w:val="18"/>
          <w:szCs w:val="18"/>
        </w:rPr>
        <w:t>2023).</w:t>
      </w:r>
    </w:p>
    <w:p w14:paraId="54A18C7C" w14:textId="7677CAF2" w:rsidR="00683A09" w:rsidRDefault="0084291D" w:rsidP="008025E0">
      <w:pPr>
        <w:rPr>
          <w:rFonts w:ascii="Helvetica" w:hAnsi="Helvetica" w:cs="Helvetica"/>
          <w:kern w:val="0"/>
          <w:sz w:val="18"/>
          <w:szCs w:val="18"/>
        </w:rPr>
      </w:pPr>
      <w:r>
        <w:rPr>
          <w:rFonts w:ascii="Helvetica" w:hAnsi="Helvetica" w:cs="Helvetica"/>
          <w:kern w:val="0"/>
          <w:sz w:val="18"/>
          <w:szCs w:val="18"/>
        </w:rPr>
        <w:t xml:space="preserve">Criminal Damage Act 1971, c.48. Available at: https://www.legislation.gov.uk/ukpga /1971/48/contents (Accessed: </w:t>
      </w:r>
      <w:r>
        <w:rPr>
          <w:rFonts w:ascii="Helvetica" w:hAnsi="Helvetica" w:cs="Helvetica"/>
          <w:kern w:val="0"/>
          <w:sz w:val="18"/>
          <w:szCs w:val="18"/>
        </w:rPr>
        <w:t>3 July</w:t>
      </w:r>
      <w:r>
        <w:rPr>
          <w:rFonts w:ascii="Helvetica" w:hAnsi="Helvetica" w:cs="Helvetica"/>
          <w:kern w:val="0"/>
          <w:sz w:val="18"/>
          <w:szCs w:val="18"/>
        </w:rPr>
        <w:t xml:space="preserve"> 2023).</w:t>
      </w:r>
    </w:p>
    <w:p w14:paraId="0C42A185" w14:textId="77777777" w:rsidR="00A37D1E" w:rsidRDefault="00A37D1E" w:rsidP="00A37D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sz w:val="18"/>
          <w:szCs w:val="18"/>
        </w:rPr>
      </w:pPr>
      <w:r>
        <w:rPr>
          <w:rFonts w:ascii="Helvetica" w:hAnsi="Helvetica" w:cs="Helvetica"/>
          <w:kern w:val="0"/>
          <w:sz w:val="18"/>
          <w:szCs w:val="18"/>
        </w:rPr>
        <w:t>Criminal Justice Act 1988, c.33. Available at: https://www.legislation.gov.uk/ukpga/1988 33/section/39/enacted</w:t>
      </w:r>
      <w:proofErr w:type="gramStart"/>
      <w:r>
        <w:rPr>
          <w:rFonts w:ascii="Helvetica" w:hAnsi="Helvetica" w:cs="Helvetica"/>
          <w:kern w:val="0"/>
          <w:sz w:val="18"/>
          <w:szCs w:val="18"/>
        </w:rPr>
        <w:t>#:~</w:t>
      </w:r>
      <w:proofErr w:type="gramEnd"/>
      <w:r>
        <w:rPr>
          <w:rFonts w:ascii="Helvetica" w:hAnsi="Helvetica" w:cs="Helvetica"/>
          <w:kern w:val="0"/>
          <w:sz w:val="18"/>
          <w:szCs w:val="18"/>
        </w:rPr>
        <w:t>:text=39Common%20assault%20and%20battery,six%20months%</w:t>
      </w:r>
    </w:p>
    <w:p w14:paraId="7EDE3164" w14:textId="33398F1B" w:rsidR="00A37D1E" w:rsidRDefault="00A37D1E" w:rsidP="00A37D1E">
      <w:pPr>
        <w:rPr>
          <w:rFonts w:ascii="Helvetica" w:hAnsi="Helvetica" w:cs="Helvetica"/>
          <w:kern w:val="0"/>
          <w:sz w:val="18"/>
          <w:szCs w:val="18"/>
        </w:rPr>
      </w:pPr>
      <w:r>
        <w:rPr>
          <w:rFonts w:ascii="Helvetica" w:hAnsi="Helvetica" w:cs="Helvetica"/>
          <w:kern w:val="0"/>
          <w:sz w:val="18"/>
          <w:szCs w:val="18"/>
        </w:rPr>
        <w:t xml:space="preserve">2C%200r%20to%20both (Accessed: </w:t>
      </w:r>
      <w:r>
        <w:rPr>
          <w:rFonts w:ascii="Helvetica" w:hAnsi="Helvetica" w:cs="Helvetica"/>
          <w:kern w:val="0"/>
          <w:sz w:val="18"/>
          <w:szCs w:val="18"/>
        </w:rPr>
        <w:t>3 July</w:t>
      </w:r>
      <w:r>
        <w:rPr>
          <w:rFonts w:ascii="Helvetica" w:hAnsi="Helvetica" w:cs="Helvetica"/>
          <w:kern w:val="0"/>
          <w:sz w:val="18"/>
          <w:szCs w:val="18"/>
        </w:rPr>
        <w:t xml:space="preserve"> 2023).</w:t>
      </w:r>
    </w:p>
    <w:p w14:paraId="51A01EF4" w14:textId="77777777" w:rsidR="00057640" w:rsidRDefault="00057640" w:rsidP="000576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sz w:val="18"/>
          <w:szCs w:val="18"/>
        </w:rPr>
      </w:pPr>
      <w:r>
        <w:rPr>
          <w:rFonts w:ascii="Helvetica" w:hAnsi="Helvetica" w:cs="Helvetica"/>
          <w:kern w:val="0"/>
          <w:sz w:val="18"/>
          <w:szCs w:val="18"/>
        </w:rPr>
        <w:t>Homicide Act 1957, c. 11. Available at: https://www.legislation.gov.uk/ukpga/Eliz2/5:</w:t>
      </w:r>
    </w:p>
    <w:p w14:paraId="1C8AAC9F" w14:textId="401460E3" w:rsidR="0084291D" w:rsidRPr="008025E0" w:rsidRDefault="00057640" w:rsidP="00057640">
      <w:pPr>
        <w:rPr>
          <w:u w:val="single"/>
        </w:rPr>
      </w:pPr>
      <w:r>
        <w:rPr>
          <w:rFonts w:ascii="Helvetica" w:hAnsi="Helvetica" w:cs="Helvetica"/>
          <w:kern w:val="0"/>
          <w:sz w:val="18"/>
          <w:szCs w:val="18"/>
        </w:rPr>
        <w:t xml:space="preserve">6/11/section/2 (Accessed: </w:t>
      </w:r>
      <w:r w:rsidR="003100B3">
        <w:rPr>
          <w:rFonts w:ascii="Helvetica" w:hAnsi="Helvetica" w:cs="Helvetica"/>
          <w:kern w:val="0"/>
          <w:sz w:val="18"/>
          <w:szCs w:val="18"/>
        </w:rPr>
        <w:t>3 July</w:t>
      </w:r>
      <w:r>
        <w:rPr>
          <w:rFonts w:ascii="Helvetica" w:hAnsi="Helvetica" w:cs="Helvetica"/>
          <w:kern w:val="0"/>
          <w:sz w:val="18"/>
          <w:szCs w:val="18"/>
        </w:rPr>
        <w:t xml:space="preserve"> 2023).</w:t>
      </w:r>
    </w:p>
    <w:sectPr w:rsidR="0084291D" w:rsidRPr="008025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225"/>
    <w:rsid w:val="00021AF2"/>
    <w:rsid w:val="00023082"/>
    <w:rsid w:val="000366C0"/>
    <w:rsid w:val="00057640"/>
    <w:rsid w:val="00124C98"/>
    <w:rsid w:val="001A6149"/>
    <w:rsid w:val="003100B3"/>
    <w:rsid w:val="00327842"/>
    <w:rsid w:val="00354A7E"/>
    <w:rsid w:val="00376F15"/>
    <w:rsid w:val="004307D5"/>
    <w:rsid w:val="00572C7E"/>
    <w:rsid w:val="00586925"/>
    <w:rsid w:val="00646E1A"/>
    <w:rsid w:val="00683A09"/>
    <w:rsid w:val="00700D57"/>
    <w:rsid w:val="00704225"/>
    <w:rsid w:val="007E1160"/>
    <w:rsid w:val="008025E0"/>
    <w:rsid w:val="00821CEB"/>
    <w:rsid w:val="0084291D"/>
    <w:rsid w:val="009003DA"/>
    <w:rsid w:val="00991950"/>
    <w:rsid w:val="009F1914"/>
    <w:rsid w:val="009F25AC"/>
    <w:rsid w:val="009F66DA"/>
    <w:rsid w:val="00A37D1E"/>
    <w:rsid w:val="00A46E34"/>
    <w:rsid w:val="00AA2DFD"/>
    <w:rsid w:val="00AC2BCA"/>
    <w:rsid w:val="00AC3853"/>
    <w:rsid w:val="00C81C4E"/>
    <w:rsid w:val="00C82D3D"/>
    <w:rsid w:val="00D372E5"/>
    <w:rsid w:val="00DD575E"/>
    <w:rsid w:val="00E74ABB"/>
    <w:rsid w:val="00E7735A"/>
    <w:rsid w:val="00F218B4"/>
    <w:rsid w:val="00FF6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316FC"/>
  <w15:chartTrackingRefBased/>
  <w15:docId w15:val="{068BBBD2-FA76-E546-A108-D7C93CB75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B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leg23</b:Tag>
    <b:SourceType>DocumentFromInternetSite</b:SourceType>
    <b:Guid>{C69406C6-C92D-FB4F-B8B5-DD67DD7E754B}</b:Guid>
    <b:Author>
      <b:Author>
        <b:Corporate>legislation.gov.uk</b:Corporate>
      </b:Author>
    </b:Author>
    <b:Title>corones and justice act 2009</b:Title>
    <b:URL>https://www.legislation.gov.uk/ukpga/2009/25/part/2/chapter/1/crossheading/partial-defence-to-murder-loss-of-control</b:URL>
    <b:Year>2023</b:Year>
    <b:YearAccessed>2023</b:YearAccessed>
    <b:MonthAccessed>28</b:MonthAccessed>
    <b:DayAccessed>06</b:DayAccessed>
    <b:RefOrder>1</b:RefOrder>
  </b:Source>
</b:Sources>
</file>

<file path=customXml/itemProps1.xml><?xml version="1.0" encoding="utf-8"?>
<ds:datastoreItem xmlns:ds="http://schemas.openxmlformats.org/officeDocument/2006/customXml" ds:itemID="{ABFDA333-EF24-6848-B478-0A44FA158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1385</Words>
  <Characters>7901</Characters>
  <Application>Microsoft Office Word</Application>
  <DocSecurity>0</DocSecurity>
  <Lines>65</Lines>
  <Paragraphs>18</Paragraphs>
  <ScaleCrop>false</ScaleCrop>
  <Company/>
  <LinksUpToDate>false</LinksUpToDate>
  <CharactersWithSpaces>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Simon</dc:creator>
  <cp:keywords/>
  <dc:description/>
  <cp:lastModifiedBy>Saffron Simon</cp:lastModifiedBy>
  <cp:revision>34</cp:revision>
  <dcterms:created xsi:type="dcterms:W3CDTF">2023-06-29T18:40:00Z</dcterms:created>
  <dcterms:modified xsi:type="dcterms:W3CDTF">2023-07-20T10:49:00Z</dcterms:modified>
</cp:coreProperties>
</file>