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241E9" w14:textId="77777777" w:rsidR="00A45C9F" w:rsidRPr="00F14E27" w:rsidRDefault="00A45C9F" w:rsidP="00A45C9F">
      <w:pPr>
        <w:spacing w:line="360" w:lineRule="auto"/>
        <w:rPr>
          <w:rFonts w:ascii="Times New Roman" w:hAnsi="Times New Roman" w:cs="Times New Roman"/>
          <w:sz w:val="40"/>
          <w:szCs w:val="40"/>
          <w:lang w:val="en-GB" w:eastAsia="en-GB"/>
        </w:rPr>
      </w:pPr>
      <w:r>
        <w:rPr>
          <w:rFonts w:ascii="Times New Roman" w:hAnsi="Times New Roman" w:cs="Times New Roman"/>
          <w:sz w:val="40"/>
          <w:szCs w:val="40"/>
          <w:lang w:val="en-GB" w:eastAsia="en-GB"/>
        </w:rPr>
        <w:t xml:space="preserve">Mental health and the Ageing Population </w:t>
      </w:r>
    </w:p>
    <w:p w14:paraId="4B877843" w14:textId="77777777" w:rsidR="00A45C9F" w:rsidRPr="00CC5F4F" w:rsidRDefault="00A45C9F" w:rsidP="00A45C9F">
      <w:pPr>
        <w:spacing w:line="360" w:lineRule="auto"/>
        <w:rPr>
          <w:rFonts w:ascii="Times New Roman" w:hAnsi="Times New Roman" w:cs="Times New Roman"/>
          <w:sz w:val="28"/>
          <w:szCs w:val="28"/>
          <w:lang w:val="en-GB" w:eastAsia="en-GB"/>
        </w:rPr>
      </w:pPr>
      <w:r>
        <w:rPr>
          <w:rFonts w:ascii="Times New Roman" w:hAnsi="Times New Roman" w:cs="Times New Roman"/>
          <w:sz w:val="28"/>
          <w:szCs w:val="28"/>
          <w:lang w:val="en-GB" w:eastAsia="en-GB"/>
        </w:rPr>
        <w:t xml:space="preserve">This essay is </w:t>
      </w:r>
      <w:r w:rsidRPr="00CC5F4F">
        <w:rPr>
          <w:rFonts w:ascii="Times New Roman" w:hAnsi="Times New Roman" w:cs="Times New Roman"/>
          <w:sz w:val="28"/>
          <w:szCs w:val="28"/>
          <w:lang w:val="en-GB" w:eastAsia="en-GB"/>
        </w:rPr>
        <w:t xml:space="preserve">looking at different studies to find evidence of the ageing population’s cognitive deterioration. To find a way to help older people with different aspects of neurological </w:t>
      </w:r>
      <w:r>
        <w:rPr>
          <w:rFonts w:ascii="Times New Roman" w:hAnsi="Times New Roman" w:cs="Times New Roman"/>
          <w:sz w:val="28"/>
          <w:szCs w:val="28"/>
          <w:lang w:val="en-GB" w:eastAsia="en-GB"/>
        </w:rPr>
        <w:t xml:space="preserve">and physical </w:t>
      </w:r>
      <w:r w:rsidRPr="00CC5F4F">
        <w:rPr>
          <w:rFonts w:ascii="Times New Roman" w:hAnsi="Times New Roman" w:cs="Times New Roman"/>
          <w:sz w:val="28"/>
          <w:szCs w:val="28"/>
          <w:lang w:val="en-GB" w:eastAsia="en-GB"/>
        </w:rPr>
        <w:t xml:space="preserve">deterioration. The aim is to find a way of slowing down the ageing process by looking for evidence-based studies on mind games, exercise, and the environment. </w:t>
      </w:r>
    </w:p>
    <w:p w14:paraId="271D7C68" w14:textId="77777777" w:rsidR="00A45C9F" w:rsidRDefault="00A45C9F" w:rsidP="00A45C9F">
      <w:pPr>
        <w:spacing w:line="360" w:lineRule="auto"/>
        <w:rPr>
          <w:rFonts w:ascii="Times New Roman" w:hAnsi="Times New Roman" w:cs="Times New Roman"/>
          <w:sz w:val="28"/>
          <w:szCs w:val="28"/>
          <w:lang w:val="en-GB" w:eastAsia="en-GB"/>
        </w:rPr>
      </w:pPr>
      <w:r w:rsidRPr="002F3043">
        <w:rPr>
          <w:rFonts w:ascii="Times New Roman" w:hAnsi="Times New Roman" w:cs="Times New Roman"/>
          <w:sz w:val="28"/>
          <w:szCs w:val="28"/>
          <w:lang w:val="en-GB" w:eastAsia="en-GB"/>
        </w:rPr>
        <w:t>Health in Wales by NHS Wales states that the strategy for older people in Wales 2013-2023 is to ensure that the older generation in Wales has the resources required to support them in the opportunities that they may face</w:t>
      </w:r>
      <w:r>
        <w:rPr>
          <w:rFonts w:ascii="Times New Roman" w:hAnsi="Times New Roman" w:cs="Times New Roman"/>
          <w:sz w:val="28"/>
          <w:szCs w:val="28"/>
          <w:lang w:val="en-GB" w:eastAsia="en-GB"/>
        </w:rPr>
        <w:t xml:space="preserve"> (NHS Wales, 2013-2023)</w:t>
      </w:r>
      <w:r w:rsidRPr="002F3043">
        <w:rPr>
          <w:rFonts w:ascii="Times New Roman" w:hAnsi="Times New Roman" w:cs="Times New Roman"/>
          <w:sz w:val="28"/>
          <w:szCs w:val="28"/>
          <w:lang w:val="en-GB" w:eastAsia="en-GB"/>
        </w:rPr>
        <w:t>. Older people in Wales should be able to participate in anything that they wish to do, be it voluntary work or contributing to family life and the ageing population should expect to have their needs met</w:t>
      </w:r>
      <w:r>
        <w:rPr>
          <w:rFonts w:ascii="Times New Roman" w:hAnsi="Times New Roman" w:cs="Times New Roman"/>
          <w:sz w:val="28"/>
          <w:szCs w:val="28"/>
          <w:lang w:val="en-GB" w:eastAsia="en-GB"/>
        </w:rPr>
        <w:t xml:space="preserve"> (NHS Wales, 2013-2023)</w:t>
      </w:r>
      <w:r w:rsidRPr="002F3043">
        <w:rPr>
          <w:rFonts w:ascii="Times New Roman" w:hAnsi="Times New Roman" w:cs="Times New Roman"/>
          <w:sz w:val="28"/>
          <w:szCs w:val="28"/>
          <w:lang w:val="en-GB" w:eastAsia="en-GB"/>
        </w:rPr>
        <w:t>. The support should include economic and environmental factors that influence the health of an older person. This includes plans to maintain health, well-being, and independence for as long as the elderly person can manage. Support and quality treatment should be prompt when required</w:t>
      </w:r>
      <w:r>
        <w:rPr>
          <w:rFonts w:ascii="Times New Roman" w:hAnsi="Times New Roman" w:cs="Times New Roman"/>
          <w:sz w:val="28"/>
          <w:szCs w:val="28"/>
          <w:lang w:val="en-GB" w:eastAsia="en-GB"/>
        </w:rPr>
        <w:t xml:space="preserve"> (NHS Wales, 2013-2023)</w:t>
      </w:r>
      <w:r w:rsidRPr="002F3043">
        <w:rPr>
          <w:rFonts w:ascii="Times New Roman" w:hAnsi="Times New Roman" w:cs="Times New Roman"/>
          <w:sz w:val="28"/>
          <w:szCs w:val="28"/>
          <w:lang w:val="en-GB" w:eastAsia="en-GB"/>
        </w:rPr>
        <w:t xml:space="preserve">. </w:t>
      </w:r>
    </w:p>
    <w:p w14:paraId="313A61FF" w14:textId="77777777" w:rsidR="00A45C9F" w:rsidRPr="006A40B6" w:rsidRDefault="00A45C9F" w:rsidP="00A45C9F">
      <w:pPr>
        <w:spacing w:line="360" w:lineRule="auto"/>
        <w:rPr>
          <w:rFonts w:ascii="Times New Roman" w:hAnsi="Times New Roman" w:cs="Times New Roman"/>
          <w:sz w:val="28"/>
          <w:szCs w:val="28"/>
          <w:lang w:val="en-GB" w:eastAsia="en-GB"/>
        </w:rPr>
      </w:pPr>
      <w:r w:rsidRPr="006A40B6">
        <w:rPr>
          <w:rFonts w:ascii="Times New Roman" w:hAnsi="Times New Roman" w:cs="Times New Roman"/>
          <w:sz w:val="28"/>
          <w:szCs w:val="28"/>
          <w:lang w:val="en-GB" w:eastAsia="en-GB"/>
        </w:rPr>
        <w:t xml:space="preserve">The National Service Framework for older People in Wales </w:t>
      </w:r>
      <w:r>
        <w:rPr>
          <w:rFonts w:ascii="Times New Roman" w:hAnsi="Times New Roman" w:cs="Times New Roman"/>
          <w:sz w:val="28"/>
          <w:szCs w:val="28"/>
          <w:lang w:val="en-GB" w:eastAsia="en-GB"/>
        </w:rPr>
        <w:t>(NFS, 2014) aims to improve health and social care by setting standards to ensure that as we grow older, we can maintain our health, well-being, and independence (NHS Wales, 2014). Life expectancy in men has increased, men are expected to live until they are 84, and women are expected to live until they are 87. This is due in part to an improvement in preventative health measures, advances in medical care and well-being in the population (NSF, 2014).</w:t>
      </w:r>
    </w:p>
    <w:p w14:paraId="27CE40AA" w14:textId="77777777" w:rsidR="00A45C9F" w:rsidRDefault="00A45C9F" w:rsidP="00A45C9F">
      <w:pPr>
        <w:spacing w:line="360" w:lineRule="auto"/>
        <w:rPr>
          <w:rFonts w:ascii="Times New Roman" w:hAnsi="Times New Roman" w:cs="Times New Roman"/>
          <w:sz w:val="28"/>
          <w:szCs w:val="28"/>
          <w:lang w:val="en-GB" w:eastAsia="en-GB"/>
        </w:rPr>
      </w:pPr>
      <w:r w:rsidRPr="006A40B6">
        <w:rPr>
          <w:rFonts w:ascii="Times New Roman" w:hAnsi="Times New Roman" w:cs="Times New Roman"/>
          <w:sz w:val="28"/>
          <w:szCs w:val="28"/>
          <w:lang w:val="en-GB" w:eastAsia="en-GB"/>
        </w:rPr>
        <w:t>The Welsh Government’s</w:t>
      </w:r>
      <w:r>
        <w:rPr>
          <w:rFonts w:ascii="Times New Roman" w:hAnsi="Times New Roman" w:cs="Times New Roman"/>
          <w:sz w:val="28"/>
          <w:szCs w:val="28"/>
          <w:lang w:val="en-GB" w:eastAsia="en-GB"/>
        </w:rPr>
        <w:t xml:space="preserve"> (2021)</w:t>
      </w:r>
      <w:r w:rsidRPr="006A40B6">
        <w:rPr>
          <w:rFonts w:ascii="Times New Roman" w:hAnsi="Times New Roman" w:cs="Times New Roman"/>
          <w:sz w:val="28"/>
          <w:szCs w:val="28"/>
          <w:lang w:val="en-GB" w:eastAsia="en-GB"/>
        </w:rPr>
        <w:t xml:space="preserve"> aim is to promote the health of older adults, which includes 50-year-olds and over, as the ageing process begins around this age. </w:t>
      </w:r>
      <w:r>
        <w:rPr>
          <w:rFonts w:ascii="Times New Roman" w:hAnsi="Times New Roman" w:cs="Times New Roman"/>
          <w:sz w:val="28"/>
          <w:szCs w:val="28"/>
          <w:lang w:val="en-GB" w:eastAsia="en-GB"/>
        </w:rPr>
        <w:t xml:space="preserve">Physical exercise is important for ageing healthily. It is important for both </w:t>
      </w:r>
      <w:r>
        <w:rPr>
          <w:rFonts w:ascii="Times New Roman" w:hAnsi="Times New Roman" w:cs="Times New Roman"/>
          <w:sz w:val="28"/>
          <w:szCs w:val="28"/>
          <w:lang w:val="en-GB" w:eastAsia="en-GB"/>
        </w:rPr>
        <w:lastRenderedPageBreak/>
        <w:t xml:space="preserve">physical and mental function (WHO, 1998). Exercise also offers a chance for social interaction. Evidence shows that increasing physical exercise reduces loneliness and social isolation (Robins et al., 2016)(Shvedko et al., 2018) and may delay the onset of heart problems, (WHO, 1998) depression, Parkinson’s disease, and dementia. However, due to their age, (Strain et al., 2016), a small increase in daily physical exercise can help with important health and functional benefits. Activity can help improve muscle strength, balance, and flexibility (Strain et al., 2016). </w:t>
      </w:r>
    </w:p>
    <w:p w14:paraId="2E93891C" w14:textId="77777777" w:rsidR="00A45C9F" w:rsidRDefault="00A45C9F" w:rsidP="00A45C9F">
      <w:pPr>
        <w:spacing w:line="360" w:lineRule="auto"/>
        <w:rPr>
          <w:rFonts w:ascii="Times New Roman" w:hAnsi="Times New Roman" w:cs="Times New Roman"/>
          <w:sz w:val="28"/>
          <w:szCs w:val="28"/>
        </w:rPr>
      </w:pPr>
      <w:r w:rsidRPr="0024680A">
        <w:rPr>
          <w:rFonts w:ascii="Times New Roman" w:hAnsi="Times New Roman" w:cs="Times New Roman"/>
          <w:sz w:val="28"/>
          <w:szCs w:val="28"/>
        </w:rPr>
        <w:t xml:space="preserve">In 2021- 22, </w:t>
      </w:r>
      <w:r>
        <w:rPr>
          <w:rFonts w:ascii="Times New Roman" w:hAnsi="Times New Roman" w:cs="Times New Roman"/>
          <w:sz w:val="28"/>
          <w:szCs w:val="28"/>
        </w:rPr>
        <w:t xml:space="preserve">there was an attempt to </w:t>
      </w:r>
      <w:r w:rsidRPr="0024680A">
        <w:rPr>
          <w:rFonts w:ascii="Times New Roman" w:hAnsi="Times New Roman" w:cs="Times New Roman"/>
          <w:sz w:val="28"/>
          <w:szCs w:val="28"/>
        </w:rPr>
        <w:t>promote older people’s rights</w:t>
      </w:r>
      <w:r>
        <w:rPr>
          <w:rFonts w:ascii="Times New Roman" w:hAnsi="Times New Roman" w:cs="Times New Roman"/>
          <w:sz w:val="28"/>
          <w:szCs w:val="28"/>
        </w:rPr>
        <w:t>.</w:t>
      </w:r>
      <w:r w:rsidRPr="0024680A">
        <w:rPr>
          <w:rFonts w:ascii="Times New Roman" w:hAnsi="Times New Roman" w:cs="Times New Roman"/>
          <w:sz w:val="28"/>
          <w:szCs w:val="28"/>
        </w:rPr>
        <w:t xml:space="preserve"> </w:t>
      </w:r>
      <w:r w:rsidRPr="008949C0">
        <w:rPr>
          <w:rFonts w:ascii="Times New Roman" w:hAnsi="Times New Roman" w:cs="Times New Roman"/>
          <w:sz w:val="28"/>
          <w:szCs w:val="28"/>
        </w:rPr>
        <w:t>By building communities, homes</w:t>
      </w:r>
      <w:r>
        <w:rPr>
          <w:rFonts w:ascii="Times New Roman" w:hAnsi="Times New Roman" w:cs="Times New Roman"/>
          <w:sz w:val="28"/>
          <w:szCs w:val="28"/>
        </w:rPr>
        <w:t>,</w:t>
      </w:r>
      <w:r w:rsidRPr="008949C0">
        <w:rPr>
          <w:rFonts w:ascii="Times New Roman" w:hAnsi="Times New Roman" w:cs="Times New Roman"/>
          <w:sz w:val="28"/>
          <w:szCs w:val="28"/>
        </w:rPr>
        <w:t xml:space="preserve"> </w:t>
      </w:r>
      <w:r>
        <w:rPr>
          <w:rFonts w:ascii="Times New Roman" w:hAnsi="Times New Roman" w:cs="Times New Roman"/>
          <w:sz w:val="28"/>
          <w:szCs w:val="28"/>
        </w:rPr>
        <w:t xml:space="preserve">and </w:t>
      </w:r>
      <w:r w:rsidRPr="008949C0">
        <w:rPr>
          <w:rFonts w:ascii="Times New Roman" w:hAnsi="Times New Roman" w:cs="Times New Roman"/>
          <w:sz w:val="28"/>
          <w:szCs w:val="28"/>
        </w:rPr>
        <w:t xml:space="preserve">outdoor spaces </w:t>
      </w:r>
      <w:r>
        <w:rPr>
          <w:rFonts w:ascii="Times New Roman" w:hAnsi="Times New Roman" w:cs="Times New Roman"/>
          <w:sz w:val="28"/>
          <w:szCs w:val="28"/>
        </w:rPr>
        <w:t>and supplying transport (Welsh Government, 2012). The Government`s</w:t>
      </w:r>
      <w:r w:rsidRPr="008949C0">
        <w:rPr>
          <w:rFonts w:ascii="Times New Roman" w:hAnsi="Times New Roman" w:cs="Times New Roman"/>
          <w:sz w:val="28"/>
          <w:szCs w:val="28"/>
        </w:rPr>
        <w:t xml:space="preserve"> aim</w:t>
      </w:r>
      <w:r>
        <w:rPr>
          <w:rFonts w:ascii="Times New Roman" w:hAnsi="Times New Roman" w:cs="Times New Roman"/>
          <w:sz w:val="28"/>
          <w:szCs w:val="28"/>
        </w:rPr>
        <w:t>s were</w:t>
      </w:r>
      <w:r w:rsidRPr="008949C0">
        <w:rPr>
          <w:rFonts w:ascii="Times New Roman" w:hAnsi="Times New Roman" w:cs="Times New Roman"/>
          <w:sz w:val="28"/>
          <w:szCs w:val="28"/>
        </w:rPr>
        <w:t xml:space="preserve"> to support the population of Wales to live healthy and fulfilled lives</w:t>
      </w:r>
      <w:r>
        <w:rPr>
          <w:rFonts w:ascii="Times New Roman" w:hAnsi="Times New Roman" w:cs="Times New Roman"/>
          <w:sz w:val="28"/>
          <w:szCs w:val="28"/>
        </w:rPr>
        <w:t xml:space="preserve">. </w:t>
      </w:r>
      <w:r w:rsidRPr="008949C0">
        <w:rPr>
          <w:rFonts w:ascii="Times New Roman" w:hAnsi="Times New Roman" w:cs="Times New Roman"/>
          <w:sz w:val="28"/>
          <w:szCs w:val="28"/>
        </w:rPr>
        <w:t xml:space="preserve">Prevention and early intervention can also </w:t>
      </w:r>
      <w:r>
        <w:rPr>
          <w:rFonts w:ascii="Times New Roman" w:hAnsi="Times New Roman" w:cs="Times New Roman"/>
          <w:sz w:val="28"/>
          <w:szCs w:val="28"/>
        </w:rPr>
        <w:t>equip</w:t>
      </w:r>
      <w:r w:rsidRPr="008949C0">
        <w:rPr>
          <w:rFonts w:ascii="Times New Roman" w:hAnsi="Times New Roman" w:cs="Times New Roman"/>
          <w:sz w:val="28"/>
          <w:szCs w:val="28"/>
        </w:rPr>
        <w:t xml:space="preserve"> people with the skills and knowledge to take responsibility for their own health and well-being</w:t>
      </w:r>
      <w:r>
        <w:rPr>
          <w:rFonts w:ascii="Times New Roman" w:hAnsi="Times New Roman" w:cs="Times New Roman"/>
          <w:sz w:val="28"/>
          <w:szCs w:val="28"/>
        </w:rPr>
        <w:t xml:space="preserve"> (Welsh Government, 2021). Their</w:t>
      </w:r>
      <w:r w:rsidRPr="00347453">
        <w:rPr>
          <w:rFonts w:ascii="Times New Roman" w:hAnsi="Times New Roman" w:cs="Times New Roman"/>
          <w:sz w:val="28"/>
          <w:szCs w:val="28"/>
        </w:rPr>
        <w:t xml:space="preserve"> aim is for an age-friendly Wales. </w:t>
      </w:r>
    </w:p>
    <w:p w14:paraId="6CFFB85B" w14:textId="77777777" w:rsidR="00A45C9F" w:rsidRPr="0013540D" w:rsidRDefault="00A45C9F" w:rsidP="00A45C9F">
      <w:pPr>
        <w:spacing w:line="360" w:lineRule="auto"/>
        <w:rPr>
          <w:rFonts w:ascii="Times New Roman" w:hAnsi="Times New Roman" w:cs="Times New Roman"/>
          <w:sz w:val="28"/>
          <w:szCs w:val="28"/>
        </w:rPr>
      </w:pPr>
      <w:r w:rsidRPr="00347453">
        <w:rPr>
          <w:rFonts w:ascii="Times New Roman" w:hAnsi="Times New Roman" w:cs="Times New Roman"/>
          <w:sz w:val="28"/>
          <w:szCs w:val="28"/>
        </w:rPr>
        <w:t xml:space="preserve">The Welsh Government </w:t>
      </w:r>
      <w:r>
        <w:rPr>
          <w:rFonts w:ascii="Times New Roman" w:hAnsi="Times New Roman" w:cs="Times New Roman"/>
          <w:sz w:val="28"/>
          <w:szCs w:val="28"/>
        </w:rPr>
        <w:t xml:space="preserve">(2021) </w:t>
      </w:r>
      <w:r w:rsidRPr="00347453">
        <w:rPr>
          <w:rFonts w:ascii="Times New Roman" w:hAnsi="Times New Roman" w:cs="Times New Roman"/>
          <w:sz w:val="28"/>
          <w:szCs w:val="28"/>
        </w:rPr>
        <w:t>wants to build on the relationship between people and</w:t>
      </w:r>
      <w:r>
        <w:rPr>
          <w:rFonts w:ascii="Times New Roman" w:hAnsi="Times New Roman" w:cs="Times New Roman"/>
          <w:sz w:val="28"/>
          <w:szCs w:val="28"/>
        </w:rPr>
        <w:t xml:space="preserve"> GPs</w:t>
      </w:r>
      <w:r w:rsidRPr="00347453">
        <w:rPr>
          <w:rFonts w:ascii="Times New Roman" w:hAnsi="Times New Roman" w:cs="Times New Roman"/>
          <w:sz w:val="28"/>
          <w:szCs w:val="28"/>
        </w:rPr>
        <w:t>; early intervention and prevention will transform the way people’s need for care and support are met</w:t>
      </w:r>
      <w:r>
        <w:rPr>
          <w:rFonts w:ascii="Times New Roman" w:hAnsi="Times New Roman" w:cs="Times New Roman"/>
          <w:sz w:val="28"/>
          <w:szCs w:val="28"/>
        </w:rPr>
        <w:t xml:space="preserve">. </w:t>
      </w:r>
      <w:r w:rsidRPr="0013540D">
        <w:rPr>
          <w:rFonts w:ascii="Times New Roman" w:hAnsi="Times New Roman" w:cs="Times New Roman"/>
          <w:sz w:val="28"/>
          <w:szCs w:val="28"/>
        </w:rPr>
        <w:t>The Healthy Ageing Program’s idea is to increase activity in older people, reverse physical decline, and frailty, and help people live independently. It also seeks to educate and empower people with the skills and knowledge to understand the benefits of being active as well as the social element which is important</w:t>
      </w:r>
      <w:r>
        <w:rPr>
          <w:rFonts w:ascii="Times New Roman" w:hAnsi="Times New Roman" w:cs="Times New Roman"/>
          <w:sz w:val="28"/>
          <w:szCs w:val="28"/>
        </w:rPr>
        <w:t xml:space="preserve"> (Welsh Government, 2021).</w:t>
      </w:r>
    </w:p>
    <w:p w14:paraId="29507C50" w14:textId="77777777" w:rsidR="00A45C9F" w:rsidRPr="00141913" w:rsidRDefault="00A45C9F" w:rsidP="00A45C9F">
      <w:pPr>
        <w:spacing w:line="360" w:lineRule="auto"/>
        <w:rPr>
          <w:rFonts w:ascii="Times New Roman" w:hAnsi="Times New Roman" w:cs="Times New Roman"/>
          <w:sz w:val="28"/>
          <w:szCs w:val="28"/>
          <w:lang w:val="en-GB" w:eastAsia="en-GB"/>
        </w:rPr>
      </w:pPr>
      <w:r w:rsidRPr="00141913">
        <w:rPr>
          <w:rFonts w:ascii="Times New Roman" w:hAnsi="Times New Roman" w:cs="Times New Roman"/>
          <w:sz w:val="28"/>
          <w:szCs w:val="28"/>
          <w:lang w:val="en-GB" w:eastAsia="en-GB"/>
        </w:rPr>
        <w:t>The Diagnostic and Statistical Manual of Mental Health Disorders (DSM-5) (American Psychiatric Association, 2013) states that major Neurocognitive Disorder, more commonly known as dementia is the cause of cognitive and functional decline among the elderly worldwide (Mast, et al.</w:t>
      </w:r>
      <w:r>
        <w:rPr>
          <w:rFonts w:ascii="Times New Roman" w:hAnsi="Times New Roman" w:cs="Times New Roman"/>
          <w:sz w:val="28"/>
          <w:szCs w:val="28"/>
          <w:lang w:val="en-GB" w:eastAsia="en-GB"/>
        </w:rPr>
        <w:t>,</w:t>
      </w:r>
      <w:r w:rsidRPr="00141913">
        <w:rPr>
          <w:rFonts w:ascii="Times New Roman" w:hAnsi="Times New Roman" w:cs="Times New Roman"/>
          <w:sz w:val="28"/>
          <w:szCs w:val="28"/>
          <w:lang w:val="en-GB" w:eastAsia="en-GB"/>
        </w:rPr>
        <w:t xml:space="preserve"> 2021). </w:t>
      </w:r>
    </w:p>
    <w:p w14:paraId="0FBDC948" w14:textId="77777777" w:rsidR="00A45C9F" w:rsidRDefault="00A45C9F" w:rsidP="00A45C9F">
      <w:pPr>
        <w:pStyle w:val="lead"/>
        <w:shd w:val="clear" w:color="auto" w:fill="FFFFFF"/>
        <w:spacing w:before="0" w:beforeAutospacing="0" w:after="300" w:afterAutospacing="0" w:line="360" w:lineRule="auto"/>
        <w:rPr>
          <w:color w:val="333333"/>
          <w:sz w:val="28"/>
          <w:szCs w:val="28"/>
        </w:rPr>
      </w:pPr>
      <w:r w:rsidRPr="00141913">
        <w:rPr>
          <w:color w:val="333333"/>
          <w:sz w:val="28"/>
          <w:szCs w:val="28"/>
        </w:rPr>
        <w:lastRenderedPageBreak/>
        <w:t>Older people may be able to boost their working memory with a new approach that couples online therapeutic games with a non-invasive brain stimulation technique</w:t>
      </w:r>
      <w:r>
        <w:rPr>
          <w:color w:val="333333"/>
          <w:sz w:val="28"/>
          <w:szCs w:val="28"/>
        </w:rPr>
        <w:t xml:space="preserve"> (Butcher, 2008).  </w:t>
      </w:r>
      <w:r w:rsidRPr="00141913">
        <w:rPr>
          <w:color w:val="333333"/>
          <w:sz w:val="28"/>
          <w:szCs w:val="28"/>
        </w:rPr>
        <w:t xml:space="preserve"> </w:t>
      </w:r>
    </w:p>
    <w:p w14:paraId="7EDF75D1" w14:textId="77777777" w:rsidR="00A45C9F" w:rsidRPr="00B956AD" w:rsidRDefault="00A45C9F" w:rsidP="00A45C9F">
      <w:pPr>
        <w:pStyle w:val="lead"/>
        <w:shd w:val="clear" w:color="auto" w:fill="FFFFFF"/>
        <w:spacing w:before="0" w:beforeAutospacing="0" w:after="300" w:afterAutospacing="0" w:line="360" w:lineRule="auto"/>
        <w:rPr>
          <w:color w:val="333333"/>
          <w:sz w:val="28"/>
          <w:szCs w:val="28"/>
        </w:rPr>
      </w:pPr>
      <w:r w:rsidRPr="00141913">
        <w:rPr>
          <w:sz w:val="28"/>
          <w:szCs w:val="28"/>
        </w:rPr>
        <w:t xml:space="preserve">Dementia will continue to raise global health importance as populations continue to age. </w:t>
      </w:r>
      <w:r w:rsidRPr="002A675A">
        <w:rPr>
          <w:sz w:val="28"/>
          <w:szCs w:val="28"/>
        </w:rPr>
        <w:t>Until a cure is found this will continue to be the case (Mast, et al.</w:t>
      </w:r>
      <w:r>
        <w:rPr>
          <w:sz w:val="28"/>
          <w:szCs w:val="28"/>
        </w:rPr>
        <w:t>,</w:t>
      </w:r>
      <w:r w:rsidRPr="002A675A">
        <w:rPr>
          <w:sz w:val="28"/>
          <w:szCs w:val="28"/>
        </w:rPr>
        <w:t xml:space="preserve"> </w:t>
      </w:r>
      <w:r w:rsidRPr="002514EE">
        <w:rPr>
          <w:sz w:val="28"/>
          <w:szCs w:val="28"/>
        </w:rPr>
        <w:t xml:space="preserve">2021). A study followed on behalf of the Government highlights that dementia in older people in England could increase by 30% in the next fifteen years (Butcher, 2008). </w:t>
      </w:r>
    </w:p>
    <w:p w14:paraId="5DB7C8A3" w14:textId="77777777" w:rsidR="00A45C9F" w:rsidRDefault="00A45C9F" w:rsidP="00A45C9F">
      <w:pPr>
        <w:spacing w:line="360" w:lineRule="auto"/>
        <w:rPr>
          <w:rFonts w:ascii="Times New Roman" w:hAnsi="Times New Roman" w:cs="Times New Roman"/>
          <w:sz w:val="28"/>
          <w:szCs w:val="28"/>
          <w:lang w:val="en-GB" w:eastAsia="en-GB"/>
        </w:rPr>
      </w:pPr>
      <w:bookmarkStart w:id="0" w:name="_Hlk119176718"/>
      <w:r w:rsidRPr="002514EE">
        <w:rPr>
          <w:rFonts w:ascii="Times New Roman" w:hAnsi="Times New Roman" w:cs="Times New Roman"/>
          <w:sz w:val="28"/>
          <w:szCs w:val="28"/>
          <w:lang w:val="en-GB" w:eastAsia="en-GB"/>
        </w:rPr>
        <w:t xml:space="preserve">A review carried out in 2019, states that </w:t>
      </w:r>
      <w:r>
        <w:rPr>
          <w:rFonts w:ascii="Times New Roman" w:hAnsi="Times New Roman" w:cs="Times New Roman"/>
          <w:sz w:val="28"/>
          <w:szCs w:val="28"/>
          <w:lang w:val="en-GB" w:eastAsia="en-GB"/>
        </w:rPr>
        <w:t>dementia starts at</w:t>
      </w:r>
      <w:r w:rsidRPr="002514EE">
        <w:rPr>
          <w:rFonts w:ascii="Times New Roman" w:hAnsi="Times New Roman" w:cs="Times New Roman"/>
          <w:sz w:val="28"/>
          <w:szCs w:val="28"/>
          <w:lang w:val="en-GB" w:eastAsia="en-GB"/>
        </w:rPr>
        <w:t xml:space="preserve"> </w:t>
      </w:r>
      <w:r>
        <w:rPr>
          <w:rFonts w:ascii="Times New Roman" w:hAnsi="Times New Roman" w:cs="Times New Roman"/>
          <w:sz w:val="28"/>
          <w:szCs w:val="28"/>
          <w:lang w:val="en-GB" w:eastAsia="en-GB"/>
        </w:rPr>
        <w:t xml:space="preserve">the </w:t>
      </w:r>
      <w:r w:rsidRPr="002514EE">
        <w:rPr>
          <w:rFonts w:ascii="Times New Roman" w:hAnsi="Times New Roman" w:cs="Times New Roman"/>
          <w:sz w:val="28"/>
          <w:szCs w:val="28"/>
          <w:lang w:val="en-GB" w:eastAsia="en-GB"/>
        </w:rPr>
        <w:t>age of 60/65 (Tannou et al.</w:t>
      </w:r>
      <w:r>
        <w:rPr>
          <w:rFonts w:ascii="Times New Roman" w:hAnsi="Times New Roman" w:cs="Times New Roman"/>
          <w:sz w:val="28"/>
          <w:szCs w:val="28"/>
          <w:lang w:val="en-GB" w:eastAsia="en-GB"/>
        </w:rPr>
        <w:t>,</w:t>
      </w:r>
      <w:r w:rsidRPr="002514EE">
        <w:rPr>
          <w:rFonts w:ascii="Times New Roman" w:hAnsi="Times New Roman" w:cs="Times New Roman"/>
          <w:sz w:val="28"/>
          <w:szCs w:val="28"/>
          <w:lang w:val="en-GB" w:eastAsia="en-GB"/>
        </w:rPr>
        <w:t xml:space="preserve"> 2019). However, other studies, have shown this is not the case. These studies state that some people show the first signs of dementia at the earlier age of 30s and 40s (Chirico et al.</w:t>
      </w:r>
      <w:r>
        <w:rPr>
          <w:rFonts w:ascii="Times New Roman" w:hAnsi="Times New Roman" w:cs="Times New Roman"/>
          <w:sz w:val="28"/>
          <w:szCs w:val="28"/>
          <w:lang w:val="en-GB" w:eastAsia="en-GB"/>
        </w:rPr>
        <w:t>,</w:t>
      </w:r>
      <w:r w:rsidRPr="002514EE">
        <w:rPr>
          <w:rFonts w:ascii="Times New Roman" w:hAnsi="Times New Roman" w:cs="Times New Roman"/>
          <w:sz w:val="28"/>
          <w:szCs w:val="28"/>
          <w:lang w:val="en-GB" w:eastAsia="en-GB"/>
        </w:rPr>
        <w:t xml:space="preserve"> 2022). </w:t>
      </w:r>
      <w:r w:rsidRPr="00025CF9">
        <w:rPr>
          <w:rFonts w:ascii="Times New Roman" w:hAnsi="Times New Roman" w:cs="Times New Roman"/>
          <w:sz w:val="28"/>
          <w:szCs w:val="28"/>
          <w:lang w:val="en-GB" w:eastAsia="en-GB"/>
        </w:rPr>
        <w:t>This is known as young-onset dementia (YOD)</w:t>
      </w:r>
      <w:r>
        <w:rPr>
          <w:rFonts w:ascii="Times New Roman" w:hAnsi="Times New Roman" w:cs="Times New Roman"/>
          <w:sz w:val="28"/>
          <w:szCs w:val="28"/>
          <w:lang w:val="en-GB" w:eastAsia="en-GB"/>
        </w:rPr>
        <w:t>(Chirico et al., 2022)</w:t>
      </w:r>
      <w:r w:rsidRPr="00025CF9">
        <w:rPr>
          <w:rFonts w:ascii="Times New Roman" w:hAnsi="Times New Roman" w:cs="Times New Roman"/>
          <w:sz w:val="28"/>
          <w:szCs w:val="28"/>
          <w:lang w:val="en-GB" w:eastAsia="en-GB"/>
        </w:rPr>
        <w:t xml:space="preserve">. </w:t>
      </w:r>
      <w:r w:rsidRPr="006A40B6">
        <w:rPr>
          <w:rFonts w:ascii="Times New Roman" w:hAnsi="Times New Roman" w:cs="Times New Roman"/>
          <w:sz w:val="28"/>
          <w:szCs w:val="28"/>
          <w:lang w:val="en-GB" w:eastAsia="en-GB"/>
        </w:rPr>
        <w:t>The Welsh Government’s</w:t>
      </w:r>
      <w:r>
        <w:rPr>
          <w:rFonts w:ascii="Times New Roman" w:hAnsi="Times New Roman" w:cs="Times New Roman"/>
          <w:sz w:val="28"/>
          <w:szCs w:val="28"/>
          <w:lang w:val="en-GB" w:eastAsia="en-GB"/>
        </w:rPr>
        <w:t xml:space="preserve"> (2021)</w:t>
      </w:r>
      <w:r w:rsidRPr="006A40B6">
        <w:rPr>
          <w:rFonts w:ascii="Times New Roman" w:hAnsi="Times New Roman" w:cs="Times New Roman"/>
          <w:sz w:val="28"/>
          <w:szCs w:val="28"/>
          <w:lang w:val="en-GB" w:eastAsia="en-GB"/>
        </w:rPr>
        <w:t xml:space="preserve"> aim is to promote the health of older adults, which includes 50-year-olds and over, as the ageing process begins around this age. </w:t>
      </w:r>
    </w:p>
    <w:p w14:paraId="6E98FCD7" w14:textId="77777777" w:rsidR="00A45C9F" w:rsidRDefault="00A45C9F" w:rsidP="00A45C9F">
      <w:pPr>
        <w:spacing w:line="360" w:lineRule="auto"/>
        <w:rPr>
          <w:rFonts w:ascii="Times New Roman" w:hAnsi="Times New Roman" w:cs="Times New Roman"/>
          <w:sz w:val="28"/>
          <w:szCs w:val="28"/>
          <w:lang w:val="en-GB" w:eastAsia="en-GB"/>
        </w:rPr>
      </w:pPr>
      <w:r w:rsidRPr="00527752">
        <w:rPr>
          <w:rFonts w:ascii="Times New Roman" w:hAnsi="Times New Roman" w:cs="Times New Roman"/>
          <w:sz w:val="28"/>
          <w:szCs w:val="28"/>
          <w:lang w:val="en-GB" w:eastAsia="en-GB"/>
        </w:rPr>
        <w:t>Although when these patients approach their GPs, they are often misdiagnosed. Their GPs often treat them for depression at first and it may be</w:t>
      </w:r>
      <w:r>
        <w:rPr>
          <w:rFonts w:ascii="Times New Roman" w:hAnsi="Times New Roman" w:cs="Times New Roman"/>
          <w:sz w:val="28"/>
          <w:szCs w:val="28"/>
          <w:lang w:val="en-GB" w:eastAsia="en-GB"/>
        </w:rPr>
        <w:t xml:space="preserve"> </w:t>
      </w:r>
      <w:r w:rsidRPr="00527752">
        <w:rPr>
          <w:rFonts w:ascii="Times New Roman" w:hAnsi="Times New Roman" w:cs="Times New Roman"/>
          <w:sz w:val="28"/>
          <w:szCs w:val="28"/>
          <w:lang w:val="en-GB" w:eastAsia="en-GB"/>
        </w:rPr>
        <w:t xml:space="preserve">years before they </w:t>
      </w:r>
      <w:r>
        <w:rPr>
          <w:rFonts w:ascii="Times New Roman" w:hAnsi="Times New Roman" w:cs="Times New Roman"/>
          <w:sz w:val="28"/>
          <w:szCs w:val="28"/>
          <w:lang w:val="en-GB" w:eastAsia="en-GB"/>
        </w:rPr>
        <w:t xml:space="preserve">are </w:t>
      </w:r>
      <w:r w:rsidRPr="00527752">
        <w:rPr>
          <w:rFonts w:ascii="Times New Roman" w:hAnsi="Times New Roman" w:cs="Times New Roman"/>
          <w:sz w:val="28"/>
          <w:szCs w:val="28"/>
          <w:lang w:val="en-GB" w:eastAsia="en-GB"/>
        </w:rPr>
        <w:t>correct</w:t>
      </w:r>
      <w:r>
        <w:rPr>
          <w:rFonts w:ascii="Times New Roman" w:hAnsi="Times New Roman" w:cs="Times New Roman"/>
          <w:sz w:val="28"/>
          <w:szCs w:val="28"/>
          <w:lang w:val="en-GB" w:eastAsia="en-GB"/>
        </w:rPr>
        <w:t>ly</w:t>
      </w:r>
      <w:r w:rsidRPr="00527752">
        <w:rPr>
          <w:rFonts w:ascii="Times New Roman" w:hAnsi="Times New Roman" w:cs="Times New Roman"/>
          <w:sz w:val="28"/>
          <w:szCs w:val="28"/>
          <w:lang w:val="en-GB" w:eastAsia="en-GB"/>
        </w:rPr>
        <w:t xml:space="preserve"> diagnos</w:t>
      </w:r>
      <w:r>
        <w:rPr>
          <w:rFonts w:ascii="Times New Roman" w:hAnsi="Times New Roman" w:cs="Times New Roman"/>
          <w:sz w:val="28"/>
          <w:szCs w:val="28"/>
          <w:lang w:val="en-GB" w:eastAsia="en-GB"/>
        </w:rPr>
        <w:t xml:space="preserve">ed </w:t>
      </w:r>
      <w:r w:rsidRPr="00527752">
        <w:rPr>
          <w:rFonts w:ascii="Times New Roman" w:hAnsi="Times New Roman" w:cs="Times New Roman"/>
          <w:sz w:val="28"/>
          <w:szCs w:val="28"/>
          <w:lang w:val="en-GB" w:eastAsia="en-GB"/>
        </w:rPr>
        <w:t>as dementia is usually a diagnosis for a much older patient (Chirico et al.</w:t>
      </w:r>
      <w:r>
        <w:rPr>
          <w:rFonts w:ascii="Times New Roman" w:hAnsi="Times New Roman" w:cs="Times New Roman"/>
          <w:sz w:val="28"/>
          <w:szCs w:val="28"/>
          <w:lang w:val="en-GB" w:eastAsia="en-GB"/>
        </w:rPr>
        <w:t>,</w:t>
      </w:r>
      <w:r w:rsidRPr="00527752">
        <w:rPr>
          <w:rFonts w:ascii="Times New Roman" w:hAnsi="Times New Roman" w:cs="Times New Roman"/>
          <w:sz w:val="28"/>
          <w:szCs w:val="28"/>
          <w:lang w:val="en-GB" w:eastAsia="en-GB"/>
        </w:rPr>
        <w:t xml:space="preserve"> 2022</w:t>
      </w:r>
      <w:r>
        <w:rPr>
          <w:rFonts w:ascii="Times New Roman" w:hAnsi="Times New Roman" w:cs="Times New Roman"/>
          <w:sz w:val="28"/>
          <w:szCs w:val="28"/>
          <w:lang w:val="en-GB" w:eastAsia="en-GB"/>
        </w:rPr>
        <w:t>) (</w:t>
      </w:r>
      <w:r w:rsidRPr="00527752">
        <w:rPr>
          <w:rFonts w:ascii="Times New Roman" w:hAnsi="Times New Roman" w:cs="Times New Roman"/>
          <w:sz w:val="28"/>
          <w:szCs w:val="28"/>
          <w:lang w:val="en-GB" w:eastAsia="en-GB"/>
        </w:rPr>
        <w:t>Tannou et al.</w:t>
      </w:r>
      <w:r>
        <w:rPr>
          <w:rFonts w:ascii="Times New Roman" w:hAnsi="Times New Roman" w:cs="Times New Roman"/>
          <w:sz w:val="28"/>
          <w:szCs w:val="28"/>
          <w:lang w:val="en-GB" w:eastAsia="en-GB"/>
        </w:rPr>
        <w:t>,</w:t>
      </w:r>
      <w:r w:rsidRPr="00527752">
        <w:rPr>
          <w:rFonts w:ascii="Times New Roman" w:hAnsi="Times New Roman" w:cs="Times New Roman"/>
          <w:sz w:val="28"/>
          <w:szCs w:val="28"/>
          <w:lang w:val="en-GB" w:eastAsia="en-GB"/>
        </w:rPr>
        <w:t xml:space="preserve"> </w:t>
      </w:r>
      <w:r w:rsidRPr="0043027C">
        <w:rPr>
          <w:rFonts w:ascii="Times New Roman" w:hAnsi="Times New Roman" w:cs="Times New Roman"/>
          <w:sz w:val="28"/>
          <w:szCs w:val="28"/>
          <w:lang w:val="en-GB" w:eastAsia="en-GB"/>
        </w:rPr>
        <w:t>2019).</w:t>
      </w:r>
      <w:bookmarkEnd w:id="0"/>
      <w:r>
        <w:rPr>
          <w:rFonts w:ascii="Times New Roman" w:hAnsi="Times New Roman" w:cs="Times New Roman"/>
          <w:sz w:val="28"/>
          <w:szCs w:val="28"/>
          <w:lang w:val="en-GB" w:eastAsia="en-GB"/>
        </w:rPr>
        <w:t xml:space="preserve"> </w:t>
      </w:r>
      <w:r w:rsidRPr="00025CF9">
        <w:rPr>
          <w:rFonts w:ascii="Times New Roman" w:hAnsi="Times New Roman" w:cs="Times New Roman"/>
          <w:sz w:val="28"/>
          <w:szCs w:val="28"/>
          <w:lang w:val="en-GB" w:eastAsia="en-GB"/>
        </w:rPr>
        <w:t xml:space="preserve">Cognitive decline is a slow deterioration of the cognitive process. Many neurological functions are involved in decision-making, which is made difficult by cognitive ageing. </w:t>
      </w:r>
    </w:p>
    <w:p w14:paraId="7E28A5F5" w14:textId="77777777" w:rsidR="00A45C9F" w:rsidRPr="00025CF9" w:rsidRDefault="00A45C9F" w:rsidP="00A45C9F">
      <w:pPr>
        <w:pStyle w:val="lead"/>
        <w:shd w:val="clear" w:color="auto" w:fill="FFFFFF"/>
        <w:spacing w:before="0" w:beforeAutospacing="0" w:after="300" w:afterAutospacing="0" w:line="360" w:lineRule="auto"/>
        <w:rPr>
          <w:color w:val="333333"/>
          <w:sz w:val="28"/>
          <w:szCs w:val="28"/>
        </w:rPr>
      </w:pPr>
      <w:r w:rsidRPr="00025CF9">
        <w:rPr>
          <w:color w:val="333333"/>
          <w:sz w:val="28"/>
          <w:szCs w:val="28"/>
        </w:rPr>
        <w:t>A study in Wales looked at the number of people with dementia</w:t>
      </w:r>
      <w:r>
        <w:rPr>
          <w:color w:val="333333"/>
          <w:sz w:val="28"/>
          <w:szCs w:val="28"/>
        </w:rPr>
        <w:t>,</w:t>
      </w:r>
      <w:r w:rsidRPr="00025CF9">
        <w:rPr>
          <w:color w:val="333333"/>
          <w:sz w:val="28"/>
          <w:szCs w:val="28"/>
        </w:rPr>
        <w:t xml:space="preserve"> they predict that number to rise to 55,000 by 2021. They then estimate that the numbers could go up even higher up to 100,000 </w:t>
      </w:r>
      <w:r>
        <w:rPr>
          <w:color w:val="333333"/>
          <w:sz w:val="28"/>
          <w:szCs w:val="28"/>
        </w:rPr>
        <w:t>by</w:t>
      </w:r>
      <w:r w:rsidRPr="00025CF9">
        <w:rPr>
          <w:color w:val="333333"/>
          <w:sz w:val="28"/>
          <w:szCs w:val="28"/>
        </w:rPr>
        <w:t xml:space="preserve"> 2055. This is an increase of 44%. 944,000 people in the UK have some form of dementia</w:t>
      </w:r>
      <w:r>
        <w:rPr>
          <w:color w:val="333333"/>
          <w:sz w:val="28"/>
          <w:szCs w:val="28"/>
        </w:rPr>
        <w:t>.</w:t>
      </w:r>
    </w:p>
    <w:p w14:paraId="7873B0E5" w14:textId="77777777" w:rsidR="00A45C9F" w:rsidRPr="00130489" w:rsidRDefault="00A45C9F" w:rsidP="00A45C9F">
      <w:pPr>
        <w:pStyle w:val="lead"/>
        <w:shd w:val="clear" w:color="auto" w:fill="FFFFFF"/>
        <w:spacing w:before="0" w:beforeAutospacing="0" w:after="300" w:afterAutospacing="0" w:line="360" w:lineRule="auto"/>
        <w:rPr>
          <w:color w:val="333333"/>
          <w:sz w:val="28"/>
          <w:szCs w:val="28"/>
        </w:rPr>
      </w:pPr>
      <w:r w:rsidRPr="00130489">
        <w:rPr>
          <w:color w:val="333333"/>
          <w:sz w:val="28"/>
          <w:szCs w:val="28"/>
        </w:rPr>
        <w:lastRenderedPageBreak/>
        <w:t xml:space="preserve">As </w:t>
      </w:r>
      <w:r>
        <w:rPr>
          <w:color w:val="333333"/>
          <w:sz w:val="28"/>
          <w:szCs w:val="28"/>
        </w:rPr>
        <w:t>individual`s</w:t>
      </w:r>
      <w:r w:rsidRPr="00130489">
        <w:rPr>
          <w:color w:val="333333"/>
          <w:sz w:val="28"/>
          <w:szCs w:val="28"/>
        </w:rPr>
        <w:t xml:space="preserve"> age</w:t>
      </w:r>
      <w:r>
        <w:rPr>
          <w:color w:val="333333"/>
          <w:sz w:val="28"/>
          <w:szCs w:val="28"/>
        </w:rPr>
        <w:t>,</w:t>
      </w:r>
      <w:r w:rsidRPr="00130489">
        <w:rPr>
          <w:color w:val="333333"/>
          <w:sz w:val="28"/>
          <w:szCs w:val="28"/>
        </w:rPr>
        <w:t xml:space="preserve"> brain function declines, </w:t>
      </w:r>
      <w:r>
        <w:rPr>
          <w:color w:val="333333"/>
          <w:sz w:val="28"/>
          <w:szCs w:val="28"/>
        </w:rPr>
        <w:t xml:space="preserve">although </w:t>
      </w:r>
      <w:r w:rsidRPr="00130489">
        <w:rPr>
          <w:color w:val="333333"/>
          <w:sz w:val="28"/>
          <w:szCs w:val="28"/>
        </w:rPr>
        <w:t>this varies from person to person (</w:t>
      </w:r>
      <w:r>
        <w:rPr>
          <w:color w:val="333333"/>
          <w:sz w:val="28"/>
          <w:szCs w:val="28"/>
        </w:rPr>
        <w:t>NHS Wales, 2022)</w:t>
      </w:r>
      <w:r w:rsidRPr="00130489">
        <w:rPr>
          <w:color w:val="333333"/>
          <w:sz w:val="28"/>
          <w:szCs w:val="28"/>
        </w:rPr>
        <w:t>. The brain’s size, vasculature, and cognition change.</w:t>
      </w:r>
      <w:r>
        <w:rPr>
          <w:color w:val="333333"/>
          <w:sz w:val="28"/>
          <w:szCs w:val="28"/>
        </w:rPr>
        <w:t xml:space="preserve"> Dementia is the progressive loss of brain cells; the brain cannot work as well as it once did</w:t>
      </w:r>
      <w:r w:rsidRPr="00130489">
        <w:rPr>
          <w:color w:val="333333"/>
          <w:sz w:val="28"/>
          <w:szCs w:val="28"/>
        </w:rPr>
        <w:t xml:space="preserve">. The risk of strokes, </w:t>
      </w:r>
      <w:r>
        <w:rPr>
          <w:color w:val="333333"/>
          <w:sz w:val="28"/>
          <w:szCs w:val="28"/>
        </w:rPr>
        <w:t xml:space="preserve">and </w:t>
      </w:r>
      <w:r w:rsidRPr="00130489">
        <w:rPr>
          <w:color w:val="333333"/>
          <w:sz w:val="28"/>
          <w:szCs w:val="28"/>
        </w:rPr>
        <w:t xml:space="preserve">white matter lesions increases. This can cause memory impairment, and changes to neurotransmitters </w:t>
      </w:r>
      <w:r>
        <w:rPr>
          <w:color w:val="333333"/>
          <w:sz w:val="28"/>
          <w:szCs w:val="28"/>
        </w:rPr>
        <w:t xml:space="preserve">(Francis, 2005) </w:t>
      </w:r>
      <w:r w:rsidRPr="00130489">
        <w:rPr>
          <w:color w:val="333333"/>
          <w:sz w:val="28"/>
          <w:szCs w:val="28"/>
        </w:rPr>
        <w:t>and hormone levels</w:t>
      </w:r>
      <w:r>
        <w:rPr>
          <w:color w:val="333333"/>
          <w:sz w:val="28"/>
          <w:szCs w:val="28"/>
        </w:rPr>
        <w:t>, causing problems with communication and thinking, plus it can cause problems with dressing and handling money (NHS Wales, 2022). Around 42,000 people in Wales are affected by dementia, which usually affects older people. Around one in twenty people over the age of 65 are affected and one in five over the age of 80.</w:t>
      </w:r>
      <w:r w:rsidRPr="00130489">
        <w:rPr>
          <w:color w:val="333333"/>
          <w:sz w:val="28"/>
          <w:szCs w:val="28"/>
        </w:rPr>
        <w:t xml:space="preserve"> The effects of ageing on the brain can be reversed to a certain degree or</w:t>
      </w:r>
      <w:r>
        <w:rPr>
          <w:color w:val="333333"/>
          <w:sz w:val="28"/>
          <w:szCs w:val="28"/>
        </w:rPr>
        <w:t xml:space="preserve"> it can</w:t>
      </w:r>
      <w:r w:rsidRPr="00130489">
        <w:rPr>
          <w:color w:val="333333"/>
          <w:sz w:val="28"/>
          <w:szCs w:val="28"/>
        </w:rPr>
        <w:t xml:space="preserve"> </w:t>
      </w:r>
      <w:r>
        <w:rPr>
          <w:color w:val="333333"/>
          <w:sz w:val="28"/>
          <w:szCs w:val="28"/>
        </w:rPr>
        <w:t>slow</w:t>
      </w:r>
      <w:r w:rsidRPr="00130489">
        <w:rPr>
          <w:color w:val="333333"/>
          <w:sz w:val="28"/>
          <w:szCs w:val="28"/>
        </w:rPr>
        <w:t xml:space="preserve"> down physical and mental health</w:t>
      </w:r>
      <w:r>
        <w:rPr>
          <w:color w:val="333333"/>
          <w:sz w:val="28"/>
          <w:szCs w:val="28"/>
        </w:rPr>
        <w:t xml:space="preserve"> </w:t>
      </w:r>
      <w:r w:rsidRPr="00130489">
        <w:rPr>
          <w:color w:val="333333"/>
          <w:sz w:val="28"/>
          <w:szCs w:val="28"/>
        </w:rPr>
        <w:t>(</w:t>
      </w:r>
      <w:r>
        <w:rPr>
          <w:color w:val="333333"/>
          <w:sz w:val="28"/>
          <w:szCs w:val="28"/>
        </w:rPr>
        <w:t>NHS Wales, 2022</w:t>
      </w:r>
      <w:r w:rsidRPr="00130489">
        <w:rPr>
          <w:color w:val="333333"/>
          <w:sz w:val="28"/>
          <w:szCs w:val="28"/>
        </w:rPr>
        <w:t>)</w:t>
      </w:r>
      <w:r>
        <w:rPr>
          <w:color w:val="333333"/>
          <w:sz w:val="28"/>
          <w:szCs w:val="28"/>
        </w:rPr>
        <w:t>.</w:t>
      </w:r>
    </w:p>
    <w:p w14:paraId="09563C01" w14:textId="77777777" w:rsidR="00A45C9F" w:rsidRDefault="00A45C9F" w:rsidP="00A45C9F">
      <w:pPr>
        <w:pStyle w:val="lead"/>
        <w:shd w:val="clear" w:color="auto" w:fill="FFFFFF"/>
        <w:spacing w:before="0" w:beforeAutospacing="0" w:after="300" w:afterAutospacing="0" w:line="360" w:lineRule="auto"/>
        <w:rPr>
          <w:color w:val="333333"/>
          <w:sz w:val="28"/>
          <w:szCs w:val="28"/>
        </w:rPr>
      </w:pPr>
      <w:r w:rsidRPr="00130489">
        <w:rPr>
          <w:color w:val="333333"/>
          <w:sz w:val="28"/>
          <w:szCs w:val="28"/>
        </w:rPr>
        <w:t xml:space="preserve">Some common changes to the brain include a decrease in size by up to 1% per year. The decrease could be caused by </w:t>
      </w:r>
      <w:r>
        <w:rPr>
          <w:color w:val="333333"/>
          <w:sz w:val="28"/>
          <w:szCs w:val="28"/>
        </w:rPr>
        <w:t xml:space="preserve">changes in </w:t>
      </w:r>
      <w:r w:rsidRPr="00130489">
        <w:rPr>
          <w:color w:val="333333"/>
          <w:sz w:val="28"/>
          <w:szCs w:val="28"/>
        </w:rPr>
        <w:t xml:space="preserve">neurotransmitters, neurones, toxic substances that accumulate over time, and inherited changes. Short-term memory and the ability to learn new material tend to be affected </w:t>
      </w:r>
      <w:r>
        <w:rPr>
          <w:color w:val="333333"/>
          <w:sz w:val="28"/>
          <w:szCs w:val="28"/>
        </w:rPr>
        <w:t xml:space="preserve">in the </w:t>
      </w:r>
      <w:r w:rsidRPr="00130489">
        <w:rPr>
          <w:color w:val="333333"/>
          <w:sz w:val="28"/>
          <w:szCs w:val="28"/>
        </w:rPr>
        <w:t>early stage. Vocabulary and word usage tend to be affected at a later stage. The ability to process information is usually unaffected unless an underlying neurological or vascular disorder is discovered. The volume of the brain occurs at a reduction of 5% of brain weight, per decade, after the age of 40</w:t>
      </w:r>
      <w:r>
        <w:rPr>
          <w:color w:val="333333"/>
          <w:sz w:val="28"/>
          <w:szCs w:val="28"/>
        </w:rPr>
        <w:t xml:space="preserve"> </w:t>
      </w:r>
      <w:r w:rsidRPr="00130489">
        <w:rPr>
          <w:color w:val="333333"/>
          <w:sz w:val="28"/>
          <w:szCs w:val="28"/>
        </w:rPr>
        <w:t>(</w:t>
      </w:r>
      <w:r>
        <w:rPr>
          <w:color w:val="333333"/>
          <w:sz w:val="28"/>
          <w:szCs w:val="28"/>
        </w:rPr>
        <w:t>Peters, 2006</w:t>
      </w:r>
      <w:r w:rsidRPr="00130489">
        <w:rPr>
          <w:color w:val="333333"/>
          <w:sz w:val="28"/>
          <w:szCs w:val="28"/>
        </w:rPr>
        <w:t>). Deposits of lipofuscin or neuromelanin in the brain result in small, discoloured areas due to normal ageing</w:t>
      </w:r>
      <w:r>
        <w:rPr>
          <w:color w:val="333333"/>
          <w:sz w:val="28"/>
          <w:szCs w:val="28"/>
        </w:rPr>
        <w:t xml:space="preserve"> (Double, 2008). </w:t>
      </w:r>
      <w:r w:rsidRPr="00130489">
        <w:rPr>
          <w:color w:val="333333"/>
          <w:sz w:val="28"/>
          <w:szCs w:val="28"/>
        </w:rPr>
        <w:t xml:space="preserve">In the case of </w:t>
      </w:r>
      <w:r>
        <w:rPr>
          <w:color w:val="333333"/>
          <w:sz w:val="28"/>
          <w:szCs w:val="28"/>
        </w:rPr>
        <w:t>Alzheimer’s disease</w:t>
      </w:r>
      <w:r w:rsidRPr="00130489">
        <w:rPr>
          <w:color w:val="333333"/>
          <w:sz w:val="28"/>
          <w:szCs w:val="28"/>
        </w:rPr>
        <w:t xml:space="preserve">, these </w:t>
      </w:r>
      <w:r>
        <w:rPr>
          <w:color w:val="333333"/>
          <w:sz w:val="28"/>
          <w:szCs w:val="28"/>
        </w:rPr>
        <w:t>discoloured areas</w:t>
      </w:r>
      <w:r w:rsidRPr="00130489">
        <w:rPr>
          <w:color w:val="333333"/>
          <w:sz w:val="28"/>
          <w:szCs w:val="28"/>
        </w:rPr>
        <w:t xml:space="preserve"> are more frequently found (</w:t>
      </w:r>
      <w:r>
        <w:rPr>
          <w:color w:val="333333"/>
          <w:sz w:val="28"/>
          <w:szCs w:val="28"/>
        </w:rPr>
        <w:t>Fitzgerald, 2013</w:t>
      </w:r>
      <w:r w:rsidRPr="00130489">
        <w:rPr>
          <w:color w:val="333333"/>
          <w:sz w:val="28"/>
          <w:szCs w:val="28"/>
        </w:rPr>
        <w:t>).</w:t>
      </w:r>
      <w:r>
        <w:rPr>
          <w:color w:val="333333"/>
          <w:sz w:val="28"/>
          <w:szCs w:val="28"/>
        </w:rPr>
        <w:t xml:space="preserve"> </w:t>
      </w:r>
      <w:r w:rsidRPr="00130489">
        <w:rPr>
          <w:color w:val="333333"/>
          <w:sz w:val="28"/>
          <w:szCs w:val="28"/>
        </w:rPr>
        <w:t>At the age of 70 or older, cerebral blood flow has been known to decrease by</w:t>
      </w:r>
      <w:r>
        <w:rPr>
          <w:color w:val="333333"/>
          <w:sz w:val="28"/>
          <w:szCs w:val="28"/>
        </w:rPr>
        <w:t xml:space="preserve"> </w:t>
      </w:r>
      <w:r w:rsidRPr="00130489">
        <w:rPr>
          <w:color w:val="333333"/>
          <w:sz w:val="28"/>
          <w:szCs w:val="28"/>
        </w:rPr>
        <w:t>27%</w:t>
      </w:r>
      <w:r>
        <w:rPr>
          <w:color w:val="333333"/>
          <w:sz w:val="28"/>
          <w:szCs w:val="28"/>
        </w:rPr>
        <w:t xml:space="preserve">, therefore bringing on cognitive decline </w:t>
      </w:r>
      <w:r w:rsidRPr="00130489">
        <w:rPr>
          <w:color w:val="333333"/>
          <w:sz w:val="28"/>
          <w:szCs w:val="28"/>
        </w:rPr>
        <w:t>(</w:t>
      </w:r>
      <w:r>
        <w:rPr>
          <w:color w:val="333333"/>
          <w:sz w:val="28"/>
          <w:szCs w:val="28"/>
        </w:rPr>
        <w:t xml:space="preserve">Naghmeh et al., 2021). Dementia rates in the elderly, after the age of 75, increase by 6-8% per year (Checkoway et al., 2011). </w:t>
      </w:r>
    </w:p>
    <w:p w14:paraId="4C489AC0" w14:textId="77777777" w:rsidR="00A45C9F" w:rsidRDefault="00A45C9F" w:rsidP="00A45C9F">
      <w:pPr>
        <w:pStyle w:val="lead"/>
        <w:shd w:val="clear" w:color="auto" w:fill="FFFFFF"/>
        <w:spacing w:before="0" w:beforeAutospacing="0" w:after="300" w:afterAutospacing="0" w:line="360" w:lineRule="auto"/>
        <w:rPr>
          <w:color w:val="333333"/>
          <w:sz w:val="28"/>
          <w:szCs w:val="28"/>
        </w:rPr>
      </w:pPr>
      <w:r>
        <w:rPr>
          <w:color w:val="333333"/>
          <w:sz w:val="28"/>
          <w:szCs w:val="28"/>
        </w:rPr>
        <w:lastRenderedPageBreak/>
        <w:t xml:space="preserve">Nutrition is an important part of growing old (NHS UK, 2022). It is important to keep your weight up as being underweight drains your energy. Loss of appetite is a common problem as you grow old (NHS UK, 2022). To keep healthy, it is important to switch to three small meals a day plus snacks. To increase your calorie intake, eat food such as milky puddings, and cheesy main courses, or high-protein vegetarian meals (NHS UK, 2022). </w:t>
      </w:r>
    </w:p>
    <w:p w14:paraId="18658DEC" w14:textId="77777777" w:rsidR="00A45C9F" w:rsidRDefault="00A45C9F" w:rsidP="00A45C9F">
      <w:pPr>
        <w:pStyle w:val="lead"/>
        <w:shd w:val="clear" w:color="auto" w:fill="FFFFFF"/>
        <w:spacing w:before="0" w:beforeAutospacing="0" w:after="300" w:afterAutospacing="0" w:line="360" w:lineRule="auto"/>
        <w:rPr>
          <w:color w:val="333333"/>
          <w:sz w:val="28"/>
          <w:szCs w:val="28"/>
        </w:rPr>
      </w:pPr>
      <w:r>
        <w:rPr>
          <w:color w:val="333333"/>
          <w:sz w:val="28"/>
          <w:szCs w:val="28"/>
        </w:rPr>
        <w:t xml:space="preserve">As people are living longer and mostly alone, the environment they live in must be made safe, older people tend to either fall, burn themselves or poison themselves (Health in Aging, 2019). There are many ways to keep the home safe, e.g., making sure hallways, stairs and paths are well-lit and free of anything that could cause a fall (Health in Aging, 2019). Protect against fires by installing fire alarms and by adding carbon monoxide alarms at the same time (Health in Aging, 2019). Most elderly people would prefer to live in their own homes rather than move to either a bungalow or a care home (Fox et al., 2017). Although this is not always the best choice for the elderly person (Mulliner et al., 2020). </w:t>
      </w:r>
    </w:p>
    <w:p w14:paraId="0B0245DE" w14:textId="77777777" w:rsidR="00A45C9F" w:rsidRDefault="00A45C9F" w:rsidP="00A45C9F">
      <w:pPr>
        <w:pStyle w:val="lead"/>
        <w:shd w:val="clear" w:color="auto" w:fill="FFFFFF"/>
        <w:spacing w:before="0" w:beforeAutospacing="0" w:after="300" w:afterAutospacing="0" w:line="360" w:lineRule="auto"/>
        <w:rPr>
          <w:color w:val="333333"/>
          <w:sz w:val="28"/>
          <w:szCs w:val="28"/>
        </w:rPr>
      </w:pPr>
      <w:r>
        <w:rPr>
          <w:color w:val="333333"/>
          <w:sz w:val="28"/>
          <w:szCs w:val="28"/>
        </w:rPr>
        <w:t>To test for dementia, an individual`s GP can, after talking to the patient, take a blood test and a urine test to rule out any other cause of symptoms. The GP can then refer them to a specialist to assess the elderly patient (NHS, 2020).</w:t>
      </w:r>
    </w:p>
    <w:p w14:paraId="713F12CA" w14:textId="77777777" w:rsidR="00A45C9F" w:rsidRDefault="00A45C9F" w:rsidP="00A45C9F">
      <w:pPr>
        <w:pStyle w:val="lead"/>
        <w:shd w:val="clear" w:color="auto" w:fill="FFFFFF"/>
        <w:spacing w:before="0" w:beforeAutospacing="0" w:after="300" w:afterAutospacing="0" w:line="360" w:lineRule="auto"/>
        <w:rPr>
          <w:color w:val="333333"/>
          <w:sz w:val="28"/>
          <w:szCs w:val="28"/>
        </w:rPr>
      </w:pPr>
      <w:r>
        <w:rPr>
          <w:color w:val="333333"/>
          <w:sz w:val="28"/>
          <w:szCs w:val="28"/>
        </w:rPr>
        <w:t xml:space="preserve">In the UK the older generation was used to a varied social life, whist clubs, Bowls, knitting clubs, and just generally socialising by meeting up with friends (Grant, 2022). Since Covid, when socialising was stopped to keep the spread of covid in check, everything turned to the internet and technology (Sixsmith et al., 2022). Whilst many of the older generations took to the net, not everyone was able to adapt, therefore their social circle became smaller, although they could talk to friends by telephone, it is not the same as having that person sitting next to them (Sixsmith et al., 2022). The World Health Organization (WHO, 2020) </w:t>
      </w:r>
      <w:r>
        <w:rPr>
          <w:color w:val="333333"/>
          <w:sz w:val="28"/>
          <w:szCs w:val="28"/>
        </w:rPr>
        <w:lastRenderedPageBreak/>
        <w:t>classifies social participation as a social determinant of health, research shows a deterioration of health and quality of life among older people when unable to socialise. Social participation is linked to positive health including physical function and improved psychosocial well-being (Nilsson et al., 2006). However, social isolation (Evans et al., 2019) increases the risk of functional disability and cognitive decline and other cardiovascular diseases or cancers (Yamada et al., 2020). The benefits of socializing for elderly people reduce the risk of social isolation and loneliness, therefore reducing the effect on their health and well-being (Evans et al., 2019). However, as most socialising is now done online, most elderly people with, or without dementia choose which apps they wish to interact with (Pinto-Bruno., et al. 2016; Thordardottir et al., 2019) and these may not be conducive to delaying the cognitive decline. More research needs to be done in this field, to be able to gauge what type of mind games are needed (Barakovic et al., 2019; Mannheim et al., 2019).</w:t>
      </w:r>
    </w:p>
    <w:p w14:paraId="1BC0B19E" w14:textId="77777777" w:rsidR="00A45C9F" w:rsidRDefault="00A45C9F" w:rsidP="00A45C9F">
      <w:pPr>
        <w:pStyle w:val="lead"/>
        <w:shd w:val="clear" w:color="auto" w:fill="FFFFFF"/>
        <w:spacing w:before="0" w:beforeAutospacing="0" w:after="300" w:afterAutospacing="0" w:line="360" w:lineRule="auto"/>
        <w:rPr>
          <w:color w:val="333333"/>
          <w:sz w:val="28"/>
          <w:szCs w:val="28"/>
        </w:rPr>
      </w:pPr>
      <w:r>
        <w:rPr>
          <w:color w:val="333333"/>
          <w:sz w:val="28"/>
          <w:szCs w:val="28"/>
        </w:rPr>
        <w:t>Although 65 is classed as old, it is this age group that has access to smartphones, which are necessary to access online transactions and health information and to purchase tickets for entertainment (Nygard et al., 2016). Technology can influence our choices of activities in our daily living which includes our social interaction (Nygard, 2008).</w:t>
      </w:r>
    </w:p>
    <w:p w14:paraId="4A6AB2F8" w14:textId="77777777" w:rsidR="00A45C9F" w:rsidRPr="000024F0" w:rsidRDefault="00A45C9F" w:rsidP="00A45C9F">
      <w:pPr>
        <w:spacing w:line="360" w:lineRule="auto"/>
        <w:rPr>
          <w:rFonts w:ascii="Times New Roman" w:hAnsi="Times New Roman" w:cs="Times New Roman"/>
          <w:sz w:val="36"/>
          <w:szCs w:val="36"/>
          <w:lang w:val="en-GB"/>
        </w:rPr>
      </w:pPr>
      <w:r w:rsidRPr="000024F0">
        <w:rPr>
          <w:rFonts w:ascii="Times New Roman" w:hAnsi="Times New Roman" w:cs="Times New Roman"/>
          <w:sz w:val="36"/>
          <w:szCs w:val="36"/>
          <w:lang w:val="en-GB"/>
        </w:rPr>
        <w:t>Interventions</w:t>
      </w:r>
    </w:p>
    <w:p w14:paraId="7A60B340" w14:textId="77777777" w:rsidR="00A45C9F" w:rsidRPr="00066524" w:rsidRDefault="00A45C9F" w:rsidP="00A45C9F">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Butcher (</w:t>
      </w:r>
      <w:r w:rsidRPr="00AB7FE9">
        <w:rPr>
          <w:rFonts w:ascii="Times New Roman" w:hAnsi="Times New Roman" w:cs="Times New Roman"/>
          <w:sz w:val="28"/>
          <w:szCs w:val="28"/>
          <w:lang w:val="en-GB"/>
        </w:rPr>
        <w:t>2008</w:t>
      </w:r>
      <w:r>
        <w:rPr>
          <w:rFonts w:ascii="Times New Roman" w:hAnsi="Times New Roman" w:cs="Times New Roman"/>
          <w:sz w:val="28"/>
          <w:szCs w:val="28"/>
          <w:lang w:val="en-GB"/>
        </w:rPr>
        <w:t>)</w:t>
      </w:r>
      <w:r w:rsidRPr="00AB7FE9">
        <w:rPr>
          <w:rFonts w:ascii="Times New Roman" w:hAnsi="Times New Roman" w:cs="Times New Roman"/>
          <w:sz w:val="28"/>
          <w:szCs w:val="28"/>
          <w:lang w:val="en-GB"/>
        </w:rPr>
        <w:t xml:space="preserve"> look</w:t>
      </w:r>
      <w:r>
        <w:rPr>
          <w:rFonts w:ascii="Times New Roman" w:hAnsi="Times New Roman" w:cs="Times New Roman"/>
          <w:sz w:val="28"/>
          <w:szCs w:val="28"/>
          <w:lang w:val="en-GB"/>
        </w:rPr>
        <w:t>ed</w:t>
      </w:r>
      <w:r w:rsidRPr="00AB7FE9">
        <w:rPr>
          <w:rFonts w:ascii="Times New Roman" w:hAnsi="Times New Roman" w:cs="Times New Roman"/>
          <w:sz w:val="28"/>
          <w:szCs w:val="28"/>
          <w:lang w:val="en-GB"/>
        </w:rPr>
        <w:t xml:space="preserve"> at mind games</w:t>
      </w:r>
      <w:r>
        <w:rPr>
          <w:rFonts w:ascii="Times New Roman" w:hAnsi="Times New Roman" w:cs="Times New Roman"/>
          <w:sz w:val="28"/>
          <w:szCs w:val="28"/>
          <w:lang w:val="en-GB"/>
        </w:rPr>
        <w:t>,</w:t>
      </w:r>
      <w:r w:rsidRPr="00AB7FE9">
        <w:rPr>
          <w:rFonts w:ascii="Times New Roman" w:hAnsi="Times New Roman" w:cs="Times New Roman"/>
          <w:sz w:val="28"/>
          <w:szCs w:val="28"/>
          <w:lang w:val="en-GB"/>
        </w:rPr>
        <w:t xml:space="preserve"> Nintendo’s Brain Age (Butcher</w:t>
      </w:r>
      <w:r>
        <w:rPr>
          <w:rFonts w:ascii="Times New Roman" w:hAnsi="Times New Roman" w:cs="Times New Roman"/>
          <w:sz w:val="28"/>
          <w:szCs w:val="28"/>
          <w:lang w:val="en-GB"/>
        </w:rPr>
        <w:t>,</w:t>
      </w:r>
      <w:r w:rsidRPr="00AB7FE9">
        <w:rPr>
          <w:rFonts w:ascii="Times New Roman" w:hAnsi="Times New Roman" w:cs="Times New Roman"/>
          <w:sz w:val="28"/>
          <w:szCs w:val="28"/>
          <w:lang w:val="en-GB"/>
        </w:rPr>
        <w:t xml:space="preserve"> 2008)</w:t>
      </w:r>
      <w:r>
        <w:rPr>
          <w:rFonts w:ascii="Times New Roman" w:hAnsi="Times New Roman" w:cs="Times New Roman"/>
          <w:sz w:val="28"/>
          <w:szCs w:val="28"/>
          <w:lang w:val="en-GB"/>
        </w:rPr>
        <w:t xml:space="preserve"> </w:t>
      </w:r>
      <w:r w:rsidRPr="00AB7FE9">
        <w:rPr>
          <w:rFonts w:ascii="Times New Roman" w:hAnsi="Times New Roman" w:cs="Times New Roman"/>
          <w:sz w:val="28"/>
          <w:szCs w:val="28"/>
          <w:lang w:val="en-GB"/>
        </w:rPr>
        <w:t>as an intervention for</w:t>
      </w:r>
      <w:r>
        <w:rPr>
          <w:rFonts w:ascii="Times New Roman" w:hAnsi="Times New Roman" w:cs="Times New Roman"/>
          <w:sz w:val="28"/>
          <w:szCs w:val="28"/>
          <w:lang w:val="en-GB"/>
        </w:rPr>
        <w:t xml:space="preserve"> cognitive decline</w:t>
      </w:r>
      <w:r w:rsidRPr="00AB7FE9">
        <w:rPr>
          <w:rFonts w:ascii="Times New Roman" w:hAnsi="Times New Roman" w:cs="Times New Roman"/>
          <w:sz w:val="28"/>
          <w:szCs w:val="28"/>
          <w:lang w:val="en-GB"/>
        </w:rPr>
        <w:t>.</w:t>
      </w:r>
      <w:r>
        <w:rPr>
          <w:rFonts w:ascii="Times New Roman" w:hAnsi="Times New Roman" w:cs="Times New Roman"/>
          <w:sz w:val="28"/>
          <w:szCs w:val="28"/>
          <w:lang w:val="en-GB"/>
        </w:rPr>
        <w:t xml:space="preserve"> </w:t>
      </w:r>
      <w:r w:rsidRPr="00AB7FE9">
        <w:rPr>
          <w:rFonts w:ascii="Times New Roman" w:hAnsi="Times New Roman" w:cs="Times New Roman"/>
          <w:sz w:val="28"/>
          <w:szCs w:val="28"/>
          <w:lang w:val="en-GB"/>
        </w:rPr>
        <w:t xml:space="preserve">The claim </w:t>
      </w:r>
      <w:r>
        <w:rPr>
          <w:rFonts w:ascii="Times New Roman" w:hAnsi="Times New Roman" w:cs="Times New Roman"/>
          <w:sz w:val="28"/>
          <w:szCs w:val="28"/>
          <w:lang w:val="en-GB"/>
        </w:rPr>
        <w:t xml:space="preserve">is </w:t>
      </w:r>
      <w:r w:rsidRPr="00AB7FE9">
        <w:rPr>
          <w:rFonts w:ascii="Times New Roman" w:hAnsi="Times New Roman" w:cs="Times New Roman"/>
          <w:sz w:val="28"/>
          <w:szCs w:val="28"/>
          <w:lang w:val="en-GB"/>
        </w:rPr>
        <w:t>to help improve cognitive function, bu</w:t>
      </w:r>
      <w:r>
        <w:rPr>
          <w:rFonts w:ascii="Times New Roman" w:hAnsi="Times New Roman" w:cs="Times New Roman"/>
          <w:sz w:val="28"/>
          <w:szCs w:val="28"/>
          <w:lang w:val="en-GB"/>
        </w:rPr>
        <w:t>t</w:t>
      </w:r>
      <w:r w:rsidRPr="00AB7FE9">
        <w:rPr>
          <w:rFonts w:ascii="Times New Roman" w:hAnsi="Times New Roman" w:cs="Times New Roman"/>
          <w:sz w:val="28"/>
          <w:szCs w:val="28"/>
          <w:lang w:val="en-GB"/>
        </w:rPr>
        <w:t xml:space="preserve"> could it help slow down the process of </w:t>
      </w:r>
      <w:r>
        <w:rPr>
          <w:rFonts w:ascii="Times New Roman" w:hAnsi="Times New Roman" w:cs="Times New Roman"/>
          <w:sz w:val="28"/>
          <w:szCs w:val="28"/>
          <w:lang w:val="en-GB"/>
        </w:rPr>
        <w:t>cognitive decline</w:t>
      </w:r>
      <w:r w:rsidRPr="00AB7FE9">
        <w:rPr>
          <w:rFonts w:ascii="Times New Roman" w:hAnsi="Times New Roman" w:cs="Times New Roman"/>
          <w:sz w:val="28"/>
          <w:szCs w:val="28"/>
          <w:lang w:val="en-GB"/>
        </w:rPr>
        <w:t xml:space="preserve"> (Butcher</w:t>
      </w:r>
      <w:r>
        <w:rPr>
          <w:rFonts w:ascii="Times New Roman" w:hAnsi="Times New Roman" w:cs="Times New Roman"/>
          <w:sz w:val="28"/>
          <w:szCs w:val="28"/>
          <w:lang w:val="en-GB"/>
        </w:rPr>
        <w:t>,</w:t>
      </w:r>
      <w:r w:rsidRPr="00AB7FE9">
        <w:rPr>
          <w:rFonts w:ascii="Times New Roman" w:hAnsi="Times New Roman" w:cs="Times New Roman"/>
          <w:sz w:val="28"/>
          <w:szCs w:val="28"/>
          <w:lang w:val="en-GB"/>
        </w:rPr>
        <w:t xml:space="preserve"> </w:t>
      </w:r>
      <w:r w:rsidRPr="00455834">
        <w:rPr>
          <w:rFonts w:ascii="Times New Roman" w:hAnsi="Times New Roman" w:cs="Times New Roman"/>
          <w:sz w:val="28"/>
          <w:szCs w:val="28"/>
          <w:lang w:val="en-GB"/>
        </w:rPr>
        <w:t>2008).</w:t>
      </w:r>
      <w:r>
        <w:rPr>
          <w:rFonts w:ascii="Times New Roman" w:hAnsi="Times New Roman" w:cs="Times New Roman"/>
          <w:sz w:val="28"/>
          <w:szCs w:val="28"/>
          <w:lang w:val="en-GB"/>
        </w:rPr>
        <w:t xml:space="preserve"> D</w:t>
      </w:r>
      <w:r w:rsidRPr="00455834">
        <w:rPr>
          <w:rFonts w:ascii="Times New Roman" w:hAnsi="Times New Roman" w:cs="Times New Roman"/>
          <w:sz w:val="28"/>
          <w:szCs w:val="28"/>
          <w:lang w:val="en-GB"/>
        </w:rPr>
        <w:t xml:space="preserve">ementia </w:t>
      </w:r>
      <w:r>
        <w:rPr>
          <w:rFonts w:ascii="Times New Roman" w:hAnsi="Times New Roman" w:cs="Times New Roman"/>
          <w:sz w:val="28"/>
          <w:szCs w:val="28"/>
          <w:lang w:val="en-GB"/>
        </w:rPr>
        <w:t>runs in families</w:t>
      </w:r>
      <w:r w:rsidRPr="00455834">
        <w:rPr>
          <w:rFonts w:ascii="Times New Roman" w:hAnsi="Times New Roman" w:cs="Times New Roman"/>
          <w:sz w:val="28"/>
          <w:szCs w:val="28"/>
          <w:lang w:val="en-GB"/>
        </w:rPr>
        <w:t xml:space="preserve"> (Butcher</w:t>
      </w:r>
      <w:r>
        <w:rPr>
          <w:rFonts w:ascii="Times New Roman" w:hAnsi="Times New Roman" w:cs="Times New Roman"/>
          <w:sz w:val="28"/>
          <w:szCs w:val="28"/>
          <w:lang w:val="en-GB"/>
        </w:rPr>
        <w:t>,</w:t>
      </w:r>
      <w:r w:rsidRPr="00455834">
        <w:rPr>
          <w:rFonts w:ascii="Times New Roman" w:hAnsi="Times New Roman" w:cs="Times New Roman"/>
          <w:sz w:val="28"/>
          <w:szCs w:val="28"/>
          <w:lang w:val="en-GB"/>
        </w:rPr>
        <w:t xml:space="preserve"> 2008). Many seek advice on how to slow down memory loss. Others look for preventative strategies</w:t>
      </w:r>
      <w:r>
        <w:rPr>
          <w:rFonts w:ascii="Times New Roman" w:hAnsi="Times New Roman" w:cs="Times New Roman"/>
          <w:sz w:val="28"/>
          <w:szCs w:val="28"/>
          <w:lang w:val="en-GB"/>
        </w:rPr>
        <w:t xml:space="preserve"> (Butcher, 2008).</w:t>
      </w:r>
      <w:r w:rsidRPr="00455834">
        <w:rPr>
          <w:rFonts w:ascii="Times New Roman" w:hAnsi="Times New Roman" w:cs="Times New Roman"/>
          <w:sz w:val="28"/>
          <w:szCs w:val="28"/>
          <w:lang w:val="en-GB"/>
        </w:rPr>
        <w:t xml:space="preserve"> </w:t>
      </w:r>
      <w:r w:rsidRPr="00076BFD">
        <w:rPr>
          <w:rFonts w:ascii="Times New Roman" w:hAnsi="Times New Roman" w:cs="Times New Roman"/>
          <w:sz w:val="28"/>
          <w:szCs w:val="28"/>
          <w:lang w:val="en-GB"/>
        </w:rPr>
        <w:t xml:space="preserve">Nintendo’s Brain Age game claims to help users improve their cognitive </w:t>
      </w:r>
      <w:r w:rsidRPr="00076BFD">
        <w:rPr>
          <w:rFonts w:ascii="Times New Roman" w:hAnsi="Times New Roman" w:cs="Times New Roman"/>
          <w:sz w:val="28"/>
          <w:szCs w:val="28"/>
          <w:lang w:val="en-GB"/>
        </w:rPr>
        <w:lastRenderedPageBreak/>
        <w:t>abilities with repeated use</w:t>
      </w:r>
      <w:r>
        <w:rPr>
          <w:rFonts w:ascii="Times New Roman" w:hAnsi="Times New Roman" w:cs="Times New Roman"/>
          <w:sz w:val="28"/>
          <w:szCs w:val="28"/>
          <w:lang w:val="en-GB"/>
        </w:rPr>
        <w:t xml:space="preserve"> </w:t>
      </w:r>
      <w:r w:rsidRPr="00066524">
        <w:rPr>
          <w:rFonts w:ascii="Times New Roman" w:hAnsi="Times New Roman" w:cs="Times New Roman"/>
          <w:sz w:val="28"/>
          <w:szCs w:val="28"/>
          <w:lang w:val="en-GB"/>
        </w:rPr>
        <w:t>(Butcher, 2008)</w:t>
      </w:r>
      <w:r w:rsidRPr="00076BFD">
        <w:rPr>
          <w:rFonts w:ascii="Times New Roman" w:hAnsi="Times New Roman" w:cs="Times New Roman"/>
          <w:sz w:val="28"/>
          <w:szCs w:val="28"/>
          <w:lang w:val="en-GB"/>
        </w:rPr>
        <w:t>. These units have sold i</w:t>
      </w:r>
      <w:r>
        <w:rPr>
          <w:rFonts w:ascii="Times New Roman" w:hAnsi="Times New Roman" w:cs="Times New Roman"/>
          <w:sz w:val="28"/>
          <w:szCs w:val="28"/>
          <w:lang w:val="en-GB"/>
        </w:rPr>
        <w:t>n</w:t>
      </w:r>
      <w:r w:rsidRPr="00076BFD">
        <w:rPr>
          <w:rFonts w:ascii="Times New Roman" w:hAnsi="Times New Roman" w:cs="Times New Roman"/>
          <w:sz w:val="28"/>
          <w:szCs w:val="28"/>
          <w:lang w:val="en-GB"/>
        </w:rPr>
        <w:t xml:space="preserve"> millions as people try to slow down the </w:t>
      </w:r>
      <w:r>
        <w:rPr>
          <w:rFonts w:ascii="Times New Roman" w:hAnsi="Times New Roman" w:cs="Times New Roman"/>
          <w:sz w:val="28"/>
          <w:szCs w:val="28"/>
          <w:lang w:val="en-GB"/>
        </w:rPr>
        <w:t>ageing</w:t>
      </w:r>
      <w:r w:rsidRPr="00076BFD">
        <w:rPr>
          <w:rFonts w:ascii="Times New Roman" w:hAnsi="Times New Roman" w:cs="Times New Roman"/>
          <w:sz w:val="28"/>
          <w:szCs w:val="28"/>
          <w:lang w:val="en-GB"/>
        </w:rPr>
        <w:t xml:space="preserve"> process </w:t>
      </w:r>
      <w:r w:rsidRPr="00066524">
        <w:rPr>
          <w:rFonts w:ascii="Times New Roman" w:hAnsi="Times New Roman" w:cs="Times New Roman"/>
          <w:sz w:val="28"/>
          <w:szCs w:val="28"/>
          <w:lang w:val="en-GB"/>
        </w:rPr>
        <w:t>(Butcher</w:t>
      </w:r>
      <w:r>
        <w:rPr>
          <w:rFonts w:ascii="Times New Roman" w:hAnsi="Times New Roman" w:cs="Times New Roman"/>
          <w:sz w:val="28"/>
          <w:szCs w:val="28"/>
          <w:lang w:val="en-GB"/>
        </w:rPr>
        <w:t>,</w:t>
      </w:r>
      <w:r w:rsidRPr="00066524">
        <w:rPr>
          <w:rFonts w:ascii="Times New Roman" w:hAnsi="Times New Roman" w:cs="Times New Roman"/>
          <w:sz w:val="28"/>
          <w:szCs w:val="28"/>
          <w:lang w:val="en-GB"/>
        </w:rPr>
        <w:t xml:space="preserve"> 2008)</w:t>
      </w:r>
      <w:r>
        <w:rPr>
          <w:rFonts w:ascii="Times New Roman" w:hAnsi="Times New Roman" w:cs="Times New Roman"/>
          <w:sz w:val="28"/>
          <w:szCs w:val="28"/>
          <w:lang w:val="en-GB"/>
        </w:rPr>
        <w:t>.</w:t>
      </w:r>
      <w:r w:rsidRPr="00066524">
        <w:rPr>
          <w:rFonts w:ascii="Times New Roman" w:hAnsi="Times New Roman" w:cs="Times New Roman"/>
          <w:sz w:val="28"/>
          <w:szCs w:val="28"/>
          <w:lang w:val="en-GB"/>
        </w:rPr>
        <w:t xml:space="preserve"> </w:t>
      </w:r>
    </w:p>
    <w:p w14:paraId="6AC99250" w14:textId="77777777" w:rsidR="00A45C9F" w:rsidRDefault="00A45C9F" w:rsidP="00A45C9F">
      <w:pPr>
        <w:spacing w:line="360" w:lineRule="auto"/>
        <w:rPr>
          <w:rFonts w:ascii="Times New Roman" w:hAnsi="Times New Roman" w:cs="Times New Roman"/>
          <w:sz w:val="28"/>
          <w:szCs w:val="28"/>
          <w:lang w:val="en-GB"/>
        </w:rPr>
      </w:pPr>
      <w:r w:rsidRPr="0047250A">
        <w:rPr>
          <w:rFonts w:ascii="Times New Roman" w:hAnsi="Times New Roman" w:cs="Times New Roman"/>
          <w:sz w:val="28"/>
          <w:szCs w:val="28"/>
          <w:lang w:val="en-GB"/>
        </w:rPr>
        <w:t>Michael Merzenich</w:t>
      </w:r>
      <w:r>
        <w:rPr>
          <w:rFonts w:ascii="Times New Roman" w:hAnsi="Times New Roman" w:cs="Times New Roman"/>
          <w:sz w:val="28"/>
          <w:szCs w:val="28"/>
          <w:lang w:val="en-GB"/>
        </w:rPr>
        <w:t xml:space="preserve"> a neuroscientist,</w:t>
      </w:r>
      <w:r w:rsidRPr="0047250A">
        <w:rPr>
          <w:rFonts w:ascii="Times New Roman" w:hAnsi="Times New Roman" w:cs="Times New Roman"/>
          <w:sz w:val="28"/>
          <w:szCs w:val="28"/>
          <w:lang w:val="en-GB"/>
        </w:rPr>
        <w:t xml:space="preserve"> invented the Brain Fitness program </w:t>
      </w:r>
      <w:r>
        <w:rPr>
          <w:rFonts w:ascii="Times New Roman" w:hAnsi="Times New Roman" w:cs="Times New Roman"/>
          <w:sz w:val="28"/>
          <w:szCs w:val="28"/>
          <w:lang w:val="en-GB"/>
        </w:rPr>
        <w:t>and</w:t>
      </w:r>
      <w:r w:rsidRPr="0047250A">
        <w:rPr>
          <w:rFonts w:ascii="Times New Roman" w:hAnsi="Times New Roman" w:cs="Times New Roman"/>
          <w:sz w:val="28"/>
          <w:szCs w:val="28"/>
          <w:lang w:val="en-GB"/>
        </w:rPr>
        <w:t xml:space="preserve"> claims it </w:t>
      </w:r>
      <w:r>
        <w:rPr>
          <w:rFonts w:ascii="Times New Roman" w:hAnsi="Times New Roman" w:cs="Times New Roman"/>
          <w:sz w:val="28"/>
          <w:szCs w:val="28"/>
          <w:lang w:val="en-GB"/>
        </w:rPr>
        <w:t>is</w:t>
      </w:r>
      <w:r w:rsidRPr="0047250A">
        <w:rPr>
          <w:rFonts w:ascii="Times New Roman" w:hAnsi="Times New Roman" w:cs="Times New Roman"/>
          <w:sz w:val="28"/>
          <w:szCs w:val="28"/>
          <w:lang w:val="en-GB"/>
        </w:rPr>
        <w:t xml:space="preserve"> “clinically proven to help people think faster, focus better, and remember more”. However, these claims are making independent experts uneasy (Butcher</w:t>
      </w:r>
      <w:r>
        <w:rPr>
          <w:rFonts w:ascii="Times New Roman" w:hAnsi="Times New Roman" w:cs="Times New Roman"/>
          <w:sz w:val="28"/>
          <w:szCs w:val="28"/>
          <w:lang w:val="en-GB"/>
        </w:rPr>
        <w:t>,</w:t>
      </w:r>
      <w:r w:rsidRPr="0047250A">
        <w:rPr>
          <w:rFonts w:ascii="Times New Roman" w:hAnsi="Times New Roman" w:cs="Times New Roman"/>
          <w:sz w:val="28"/>
          <w:szCs w:val="28"/>
          <w:lang w:val="en-GB"/>
        </w:rPr>
        <w:t xml:space="preserve"> 2008). </w:t>
      </w:r>
    </w:p>
    <w:p w14:paraId="51FEEED6" w14:textId="77777777" w:rsidR="00A45C9F" w:rsidRPr="0049574A" w:rsidRDefault="00A45C9F" w:rsidP="00A45C9F">
      <w:pPr>
        <w:spacing w:line="360" w:lineRule="auto"/>
        <w:rPr>
          <w:rFonts w:ascii="Times New Roman" w:hAnsi="Times New Roman" w:cs="Times New Roman"/>
          <w:sz w:val="28"/>
          <w:szCs w:val="28"/>
          <w:lang w:val="en-GB"/>
        </w:rPr>
      </w:pPr>
      <w:r w:rsidRPr="008F2430">
        <w:rPr>
          <w:rFonts w:ascii="Times New Roman" w:hAnsi="Times New Roman" w:cs="Times New Roman"/>
          <w:sz w:val="28"/>
          <w:szCs w:val="28"/>
          <w:lang w:val="en-GB"/>
        </w:rPr>
        <w:t>Dr Michael Marsiske, a psychologist states that the available data shows that if a person practises short-term memory retrieval that person can improve, but the improvement does not necessarily follow into the real world</w:t>
      </w:r>
      <w:r>
        <w:rPr>
          <w:rFonts w:ascii="Times New Roman" w:hAnsi="Times New Roman" w:cs="Times New Roman"/>
          <w:sz w:val="28"/>
          <w:szCs w:val="28"/>
          <w:lang w:val="en-GB"/>
        </w:rPr>
        <w:t xml:space="preserve">, (Butcher, 2008). although, </w:t>
      </w:r>
      <w:r w:rsidRPr="008F2430">
        <w:rPr>
          <w:rFonts w:ascii="Times New Roman" w:hAnsi="Times New Roman" w:cs="Times New Roman"/>
          <w:sz w:val="28"/>
          <w:szCs w:val="28"/>
          <w:lang w:val="en-GB"/>
        </w:rPr>
        <w:t>they will generally improve their cognitive efficiency. At this moment there is no evidence to back this up (Butcher</w:t>
      </w:r>
      <w:r>
        <w:rPr>
          <w:rFonts w:ascii="Times New Roman" w:hAnsi="Times New Roman" w:cs="Times New Roman"/>
          <w:sz w:val="28"/>
          <w:szCs w:val="28"/>
          <w:lang w:val="en-GB"/>
        </w:rPr>
        <w:t>,</w:t>
      </w:r>
      <w:r w:rsidRPr="008F2430">
        <w:rPr>
          <w:rFonts w:ascii="Times New Roman" w:hAnsi="Times New Roman" w:cs="Times New Roman"/>
          <w:sz w:val="28"/>
          <w:szCs w:val="28"/>
          <w:lang w:val="en-GB"/>
        </w:rPr>
        <w:t xml:space="preserve"> 2008). In old age, keeping your brain active is a smart idea (Wilson</w:t>
      </w:r>
      <w:r>
        <w:rPr>
          <w:rFonts w:ascii="Times New Roman" w:hAnsi="Times New Roman" w:cs="Times New Roman"/>
          <w:sz w:val="28"/>
          <w:szCs w:val="28"/>
          <w:lang w:val="en-GB"/>
        </w:rPr>
        <w:t>,</w:t>
      </w:r>
      <w:r w:rsidRPr="008F2430">
        <w:rPr>
          <w:rFonts w:ascii="Times New Roman" w:hAnsi="Times New Roman" w:cs="Times New Roman"/>
          <w:sz w:val="28"/>
          <w:szCs w:val="28"/>
          <w:lang w:val="en-GB"/>
        </w:rPr>
        <w:t xml:space="preserve"> 2021). </w:t>
      </w:r>
      <w:r w:rsidRPr="0049574A">
        <w:rPr>
          <w:rFonts w:ascii="Times New Roman" w:hAnsi="Times New Roman" w:cs="Times New Roman"/>
          <w:sz w:val="28"/>
          <w:szCs w:val="28"/>
          <w:lang w:val="en-GB"/>
        </w:rPr>
        <w:t>A new study suggests that reading, writing letters, doing puzzles, and playing card games in later life may delay the onset of Alzheimer’s dementia by up to five years (Wilson</w:t>
      </w:r>
      <w:r>
        <w:rPr>
          <w:rFonts w:ascii="Times New Roman" w:hAnsi="Times New Roman" w:cs="Times New Roman"/>
          <w:sz w:val="28"/>
          <w:szCs w:val="28"/>
          <w:lang w:val="en-GB"/>
        </w:rPr>
        <w:t>,</w:t>
      </w:r>
      <w:r w:rsidRPr="0049574A">
        <w:rPr>
          <w:rFonts w:ascii="Times New Roman" w:hAnsi="Times New Roman" w:cs="Times New Roman"/>
          <w:sz w:val="28"/>
          <w:szCs w:val="28"/>
          <w:lang w:val="en-GB"/>
        </w:rPr>
        <w:t xml:space="preserve"> 2021).</w:t>
      </w:r>
    </w:p>
    <w:p w14:paraId="3C1D779C" w14:textId="77777777" w:rsidR="00A45C9F" w:rsidRPr="00010F43" w:rsidRDefault="00A45C9F" w:rsidP="00A45C9F">
      <w:pPr>
        <w:spacing w:line="360" w:lineRule="auto"/>
        <w:rPr>
          <w:rFonts w:ascii="Times New Roman" w:hAnsi="Times New Roman" w:cs="Times New Roman"/>
          <w:sz w:val="28"/>
          <w:szCs w:val="28"/>
          <w:lang w:val="en-GB"/>
        </w:rPr>
      </w:pPr>
      <w:r w:rsidRPr="0049574A">
        <w:rPr>
          <w:rFonts w:ascii="Times New Roman" w:hAnsi="Times New Roman" w:cs="Times New Roman"/>
          <w:sz w:val="28"/>
          <w:szCs w:val="28"/>
          <w:lang w:val="en-GB"/>
        </w:rPr>
        <w:t xml:space="preserve">Numerous observational studies show that keeping your brain active throughout life reduces the risks of developing dementia (Butcher, 2008). </w:t>
      </w:r>
      <w:r w:rsidRPr="009501C3">
        <w:rPr>
          <w:rFonts w:ascii="Times New Roman" w:hAnsi="Times New Roman" w:cs="Times New Roman"/>
          <w:sz w:val="28"/>
          <w:szCs w:val="28"/>
          <w:lang w:val="en-GB"/>
        </w:rPr>
        <w:t>The evidence shows having a good education in the first two decades of life reduces the risk of developing dementia also having a challenging job helps to keep dementia at bay. Engaging in leisure activities during the later years of your life is helpful too (Fratiglioni</w:t>
      </w:r>
      <w:r>
        <w:rPr>
          <w:rFonts w:ascii="Times New Roman" w:hAnsi="Times New Roman" w:cs="Times New Roman"/>
          <w:sz w:val="28"/>
          <w:szCs w:val="28"/>
          <w:lang w:val="en-GB"/>
        </w:rPr>
        <w:t xml:space="preserve"> &amp; Wang,</w:t>
      </w:r>
      <w:r w:rsidRPr="009501C3">
        <w:rPr>
          <w:rFonts w:ascii="Times New Roman" w:hAnsi="Times New Roman" w:cs="Times New Roman"/>
          <w:sz w:val="28"/>
          <w:szCs w:val="28"/>
          <w:lang w:val="en-GB"/>
        </w:rPr>
        <w:t xml:space="preserve"> 200</w:t>
      </w:r>
      <w:r>
        <w:rPr>
          <w:rFonts w:ascii="Times New Roman" w:hAnsi="Times New Roman" w:cs="Times New Roman"/>
          <w:sz w:val="28"/>
          <w:szCs w:val="28"/>
          <w:lang w:val="en-GB"/>
        </w:rPr>
        <w:t>7</w:t>
      </w:r>
      <w:r w:rsidRPr="009501C3">
        <w:rPr>
          <w:rFonts w:ascii="Times New Roman" w:hAnsi="Times New Roman" w:cs="Times New Roman"/>
          <w:sz w:val="28"/>
          <w:szCs w:val="28"/>
          <w:lang w:val="en-GB"/>
        </w:rPr>
        <w:t>). Having a poor education but then having an engaging job reduces the risk of dementia in later life (Fratiglioni</w:t>
      </w:r>
      <w:r>
        <w:rPr>
          <w:rFonts w:ascii="Times New Roman" w:hAnsi="Times New Roman" w:cs="Times New Roman"/>
          <w:sz w:val="28"/>
          <w:szCs w:val="28"/>
          <w:lang w:val="en-GB"/>
        </w:rPr>
        <w:t xml:space="preserve"> &amp; Wang,</w:t>
      </w:r>
      <w:r w:rsidRPr="009501C3">
        <w:rPr>
          <w:rFonts w:ascii="Times New Roman" w:hAnsi="Times New Roman" w:cs="Times New Roman"/>
          <w:sz w:val="28"/>
          <w:szCs w:val="28"/>
          <w:lang w:val="en-GB"/>
        </w:rPr>
        <w:t xml:space="preserve"> 200</w:t>
      </w:r>
      <w:r>
        <w:rPr>
          <w:rFonts w:ascii="Times New Roman" w:hAnsi="Times New Roman" w:cs="Times New Roman"/>
          <w:sz w:val="28"/>
          <w:szCs w:val="28"/>
          <w:lang w:val="en-GB"/>
        </w:rPr>
        <w:t>7</w:t>
      </w:r>
      <w:r w:rsidRPr="009501C3">
        <w:rPr>
          <w:rFonts w:ascii="Times New Roman" w:hAnsi="Times New Roman" w:cs="Times New Roman"/>
          <w:sz w:val="28"/>
          <w:szCs w:val="28"/>
          <w:lang w:val="en-GB"/>
        </w:rPr>
        <w:t xml:space="preserve">). </w:t>
      </w:r>
      <w:r w:rsidRPr="00010F43">
        <w:rPr>
          <w:rFonts w:ascii="Times New Roman" w:hAnsi="Times New Roman" w:cs="Times New Roman"/>
          <w:sz w:val="28"/>
          <w:szCs w:val="28"/>
          <w:lang w:val="en-GB"/>
        </w:rPr>
        <w:t>Having physical, social, and mental activities, helps to decrease dementia risk (Fratiglioni</w:t>
      </w:r>
      <w:r>
        <w:rPr>
          <w:rFonts w:ascii="Times New Roman" w:hAnsi="Times New Roman" w:cs="Times New Roman"/>
          <w:sz w:val="28"/>
          <w:szCs w:val="28"/>
          <w:lang w:val="en-GB"/>
        </w:rPr>
        <w:t xml:space="preserve"> &amp; Wang,</w:t>
      </w:r>
      <w:r w:rsidRPr="00010F43">
        <w:rPr>
          <w:rFonts w:ascii="Times New Roman" w:hAnsi="Times New Roman" w:cs="Times New Roman"/>
          <w:sz w:val="28"/>
          <w:szCs w:val="28"/>
          <w:lang w:val="en-GB"/>
        </w:rPr>
        <w:t xml:space="preserve"> 200</w:t>
      </w:r>
      <w:r>
        <w:rPr>
          <w:rFonts w:ascii="Times New Roman" w:hAnsi="Times New Roman" w:cs="Times New Roman"/>
          <w:sz w:val="28"/>
          <w:szCs w:val="28"/>
          <w:lang w:val="en-GB"/>
        </w:rPr>
        <w:t>7</w:t>
      </w:r>
      <w:r w:rsidRPr="00010F43">
        <w:rPr>
          <w:rFonts w:ascii="Times New Roman" w:hAnsi="Times New Roman" w:cs="Times New Roman"/>
          <w:sz w:val="28"/>
          <w:szCs w:val="28"/>
          <w:lang w:val="en-GB"/>
        </w:rPr>
        <w:t>).</w:t>
      </w:r>
    </w:p>
    <w:p w14:paraId="51827CC7" w14:textId="77777777" w:rsidR="00A45C9F" w:rsidRPr="009B10DA" w:rsidRDefault="00A45C9F" w:rsidP="00A45C9F">
      <w:pPr>
        <w:spacing w:line="360" w:lineRule="auto"/>
        <w:rPr>
          <w:rFonts w:ascii="Times New Roman" w:hAnsi="Times New Roman" w:cs="Times New Roman"/>
          <w:sz w:val="28"/>
          <w:szCs w:val="28"/>
          <w:highlight w:val="green"/>
          <w:lang w:val="en-GB"/>
        </w:rPr>
      </w:pPr>
      <w:r>
        <w:rPr>
          <w:rFonts w:ascii="Times New Roman" w:hAnsi="Times New Roman" w:cs="Times New Roman"/>
          <w:sz w:val="28"/>
          <w:szCs w:val="28"/>
          <w:lang w:val="en-GB"/>
        </w:rPr>
        <w:t>To</w:t>
      </w:r>
      <w:r w:rsidRPr="00010F43">
        <w:rPr>
          <w:rFonts w:ascii="Times New Roman" w:hAnsi="Times New Roman" w:cs="Times New Roman"/>
          <w:sz w:val="28"/>
          <w:szCs w:val="28"/>
          <w:lang w:val="en-GB"/>
        </w:rPr>
        <w:t xml:space="preserve"> improve older </w:t>
      </w:r>
      <w:r>
        <w:rPr>
          <w:rFonts w:ascii="Times New Roman" w:hAnsi="Times New Roman" w:cs="Times New Roman"/>
          <w:sz w:val="28"/>
          <w:szCs w:val="28"/>
          <w:lang w:val="en-GB"/>
        </w:rPr>
        <w:t>adults’</w:t>
      </w:r>
      <w:r w:rsidRPr="00010F43">
        <w:rPr>
          <w:rFonts w:ascii="Times New Roman" w:hAnsi="Times New Roman" w:cs="Times New Roman"/>
          <w:sz w:val="28"/>
          <w:szCs w:val="28"/>
          <w:lang w:val="en-GB"/>
        </w:rPr>
        <w:t xml:space="preserve"> cognitive and emotional stimulation using robotic cognitive games (Cesario</w:t>
      </w:r>
      <w:r>
        <w:rPr>
          <w:rFonts w:ascii="Times New Roman" w:hAnsi="Times New Roman" w:cs="Times New Roman"/>
          <w:sz w:val="28"/>
          <w:szCs w:val="28"/>
          <w:lang w:val="en-GB"/>
        </w:rPr>
        <w:t xml:space="preserve"> </w:t>
      </w:r>
      <w:r w:rsidRPr="00010F43">
        <w:rPr>
          <w:rFonts w:ascii="Times New Roman" w:hAnsi="Times New Roman" w:cs="Times New Roman"/>
          <w:sz w:val="28"/>
          <w:szCs w:val="28"/>
          <w:lang w:val="en-GB"/>
        </w:rPr>
        <w:t>et al.</w:t>
      </w:r>
      <w:r>
        <w:rPr>
          <w:rFonts w:ascii="Times New Roman" w:hAnsi="Times New Roman" w:cs="Times New Roman"/>
          <w:sz w:val="28"/>
          <w:szCs w:val="28"/>
          <w:lang w:val="en-GB"/>
        </w:rPr>
        <w:t>,</w:t>
      </w:r>
      <w:r w:rsidRPr="00010F43">
        <w:rPr>
          <w:rFonts w:ascii="Times New Roman" w:hAnsi="Times New Roman" w:cs="Times New Roman"/>
          <w:sz w:val="28"/>
          <w:szCs w:val="28"/>
          <w:lang w:val="en-GB"/>
        </w:rPr>
        <w:t xml:space="preserve"> 2019). </w:t>
      </w:r>
      <w:r>
        <w:rPr>
          <w:rFonts w:ascii="Times New Roman" w:hAnsi="Times New Roman" w:cs="Times New Roman"/>
          <w:sz w:val="28"/>
          <w:szCs w:val="28"/>
          <w:lang w:val="en-GB"/>
        </w:rPr>
        <w:t>R</w:t>
      </w:r>
      <w:r w:rsidRPr="009B10DA">
        <w:rPr>
          <w:rFonts w:ascii="Times New Roman" w:hAnsi="Times New Roman" w:cs="Times New Roman"/>
          <w:sz w:val="28"/>
          <w:szCs w:val="28"/>
          <w:lang w:val="en-GB"/>
        </w:rPr>
        <w:t>esults after a batch of completed games</w:t>
      </w:r>
      <w:r>
        <w:rPr>
          <w:rFonts w:ascii="Times New Roman" w:hAnsi="Times New Roman" w:cs="Times New Roman"/>
          <w:sz w:val="28"/>
          <w:szCs w:val="28"/>
          <w:lang w:val="en-GB"/>
        </w:rPr>
        <w:t xml:space="preserve"> were compared to results from a previous baseline test.</w:t>
      </w:r>
      <w:r w:rsidRPr="009B10DA">
        <w:rPr>
          <w:rFonts w:ascii="Times New Roman" w:hAnsi="Times New Roman" w:cs="Times New Roman"/>
          <w:sz w:val="28"/>
          <w:szCs w:val="28"/>
          <w:lang w:val="en-GB"/>
        </w:rPr>
        <w:t xml:space="preserve"> The results validated the use of robotic games (Cesario et </w:t>
      </w:r>
      <w:r>
        <w:rPr>
          <w:rFonts w:ascii="Times New Roman" w:hAnsi="Times New Roman" w:cs="Times New Roman"/>
          <w:sz w:val="28"/>
          <w:szCs w:val="28"/>
          <w:lang w:val="en-GB"/>
        </w:rPr>
        <w:t>a</w:t>
      </w:r>
      <w:r w:rsidRPr="009B10DA">
        <w:rPr>
          <w:rFonts w:ascii="Times New Roman" w:hAnsi="Times New Roman" w:cs="Times New Roman"/>
          <w:sz w:val="28"/>
          <w:szCs w:val="28"/>
          <w:lang w:val="en-GB"/>
        </w:rPr>
        <w:t>l</w:t>
      </w:r>
      <w:r>
        <w:rPr>
          <w:rFonts w:ascii="Times New Roman" w:hAnsi="Times New Roman" w:cs="Times New Roman"/>
          <w:sz w:val="28"/>
          <w:szCs w:val="28"/>
          <w:lang w:val="en-GB"/>
        </w:rPr>
        <w:t>., 2019).</w:t>
      </w:r>
    </w:p>
    <w:p w14:paraId="15F9C7B8" w14:textId="77777777" w:rsidR="00A45C9F" w:rsidRPr="00110AB8" w:rsidRDefault="00A45C9F" w:rsidP="00A45C9F">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lastRenderedPageBreak/>
        <w:t>W</w:t>
      </w:r>
      <w:r w:rsidRPr="009B10DA">
        <w:rPr>
          <w:rFonts w:ascii="Times New Roman" w:hAnsi="Times New Roman" w:cs="Times New Roman"/>
          <w:sz w:val="28"/>
          <w:szCs w:val="28"/>
          <w:lang w:val="en-GB"/>
        </w:rPr>
        <w:t>orking memory</w:t>
      </w:r>
      <w:r>
        <w:rPr>
          <w:rFonts w:ascii="Times New Roman" w:hAnsi="Times New Roman" w:cs="Times New Roman"/>
          <w:sz w:val="28"/>
          <w:szCs w:val="28"/>
          <w:lang w:val="en-GB"/>
        </w:rPr>
        <w:t xml:space="preserve"> is </w:t>
      </w:r>
      <w:r w:rsidRPr="009B10DA">
        <w:rPr>
          <w:rFonts w:ascii="Times New Roman" w:hAnsi="Times New Roman" w:cs="Times New Roman"/>
          <w:sz w:val="28"/>
          <w:szCs w:val="28"/>
          <w:lang w:val="en-GB"/>
        </w:rPr>
        <w:t>needed to allow people to function in their daily lives (Assecondi et al</w:t>
      </w:r>
      <w:r>
        <w:rPr>
          <w:rFonts w:ascii="Times New Roman" w:hAnsi="Times New Roman" w:cs="Times New Roman"/>
          <w:sz w:val="28"/>
          <w:szCs w:val="28"/>
          <w:lang w:val="en-GB"/>
        </w:rPr>
        <w:t>.,</w:t>
      </w:r>
      <w:r w:rsidRPr="009B10DA">
        <w:rPr>
          <w:rFonts w:ascii="Times New Roman" w:hAnsi="Times New Roman" w:cs="Times New Roman"/>
          <w:sz w:val="28"/>
          <w:szCs w:val="28"/>
          <w:lang w:val="en-GB"/>
        </w:rPr>
        <w:t xml:space="preserve"> 2022). </w:t>
      </w:r>
      <w:r w:rsidRPr="009735F9">
        <w:rPr>
          <w:rFonts w:ascii="Times New Roman" w:hAnsi="Times New Roman" w:cs="Times New Roman"/>
          <w:sz w:val="28"/>
          <w:szCs w:val="28"/>
          <w:lang w:val="en-GB"/>
        </w:rPr>
        <w:t xml:space="preserve">Working memory holds a </w:t>
      </w:r>
      <w:r>
        <w:rPr>
          <w:rFonts w:ascii="Times New Roman" w:hAnsi="Times New Roman" w:cs="Times New Roman"/>
          <w:sz w:val="28"/>
          <w:szCs w:val="28"/>
          <w:lang w:val="en-GB"/>
        </w:rPr>
        <w:t>tremendous</w:t>
      </w:r>
      <w:r w:rsidRPr="009735F9">
        <w:rPr>
          <w:rFonts w:ascii="Times New Roman" w:hAnsi="Times New Roman" w:cs="Times New Roman"/>
          <w:sz w:val="28"/>
          <w:szCs w:val="28"/>
          <w:lang w:val="en-GB"/>
        </w:rPr>
        <w:t xml:space="preserve"> amount of information over a short </w:t>
      </w:r>
      <w:r>
        <w:rPr>
          <w:rFonts w:ascii="Times New Roman" w:hAnsi="Times New Roman" w:cs="Times New Roman"/>
          <w:sz w:val="28"/>
          <w:szCs w:val="28"/>
          <w:lang w:val="en-GB"/>
        </w:rPr>
        <w:t>period</w:t>
      </w:r>
      <w:r w:rsidRPr="009735F9">
        <w:rPr>
          <w:rFonts w:ascii="Times New Roman" w:hAnsi="Times New Roman" w:cs="Times New Roman"/>
          <w:sz w:val="28"/>
          <w:szCs w:val="28"/>
          <w:lang w:val="en-GB"/>
        </w:rPr>
        <w:t xml:space="preserve">, with the working memory declining it causes daily difficulties for people </w:t>
      </w:r>
      <w:r>
        <w:rPr>
          <w:rFonts w:ascii="Times New Roman" w:hAnsi="Times New Roman" w:cs="Times New Roman"/>
          <w:sz w:val="28"/>
          <w:szCs w:val="28"/>
          <w:lang w:val="en-GB"/>
        </w:rPr>
        <w:t xml:space="preserve">with </w:t>
      </w:r>
      <w:r w:rsidRPr="009735F9">
        <w:rPr>
          <w:rFonts w:ascii="Times New Roman" w:hAnsi="Times New Roman" w:cs="Times New Roman"/>
          <w:sz w:val="28"/>
          <w:szCs w:val="28"/>
          <w:lang w:val="en-GB"/>
        </w:rPr>
        <w:t>dementia, Parkinson’s disease, and stroke victims (Assecondi et al</w:t>
      </w:r>
      <w:r>
        <w:rPr>
          <w:rFonts w:ascii="Times New Roman" w:hAnsi="Times New Roman" w:cs="Times New Roman"/>
          <w:sz w:val="28"/>
          <w:szCs w:val="28"/>
          <w:lang w:val="en-GB"/>
        </w:rPr>
        <w:t>.,</w:t>
      </w:r>
      <w:r w:rsidRPr="009735F9">
        <w:rPr>
          <w:rFonts w:ascii="Times New Roman" w:hAnsi="Times New Roman" w:cs="Times New Roman"/>
          <w:sz w:val="28"/>
          <w:szCs w:val="28"/>
          <w:lang w:val="en-GB"/>
        </w:rPr>
        <w:t xml:space="preserve"> 2022). </w:t>
      </w:r>
      <w:r>
        <w:rPr>
          <w:rFonts w:ascii="Times New Roman" w:hAnsi="Times New Roman" w:cs="Times New Roman"/>
          <w:sz w:val="28"/>
          <w:szCs w:val="28"/>
          <w:lang w:val="en-GB"/>
        </w:rPr>
        <w:t>O</w:t>
      </w:r>
      <w:r w:rsidRPr="009735F9">
        <w:rPr>
          <w:rFonts w:ascii="Times New Roman" w:hAnsi="Times New Roman" w:cs="Times New Roman"/>
          <w:sz w:val="28"/>
          <w:szCs w:val="28"/>
          <w:lang w:val="en-GB"/>
        </w:rPr>
        <w:t>nline therapeutic exercises were developed to improve cognitive needs and skills training</w:t>
      </w:r>
      <w:r w:rsidRPr="00892353">
        <w:rPr>
          <w:rFonts w:ascii="Times New Roman" w:hAnsi="Times New Roman" w:cs="Times New Roman"/>
          <w:sz w:val="28"/>
          <w:szCs w:val="28"/>
          <w:lang w:val="en-GB"/>
        </w:rPr>
        <w:t xml:space="preserve"> (Assecondi et al</w:t>
      </w:r>
      <w:r>
        <w:rPr>
          <w:rFonts w:ascii="Times New Roman" w:hAnsi="Times New Roman" w:cs="Times New Roman"/>
          <w:sz w:val="28"/>
          <w:szCs w:val="28"/>
          <w:lang w:val="en-GB"/>
        </w:rPr>
        <w:t>.,</w:t>
      </w:r>
      <w:r w:rsidRPr="00892353">
        <w:rPr>
          <w:rFonts w:ascii="Times New Roman" w:hAnsi="Times New Roman" w:cs="Times New Roman"/>
          <w:sz w:val="28"/>
          <w:szCs w:val="28"/>
          <w:lang w:val="en-GB"/>
        </w:rPr>
        <w:t xml:space="preserve"> 2022). Participants aged 55 to 76 years old were spilt into two groups, both groups did the online games for 20 minutes a day for </w:t>
      </w:r>
      <w:r>
        <w:rPr>
          <w:rFonts w:ascii="Times New Roman" w:hAnsi="Times New Roman" w:cs="Times New Roman"/>
          <w:sz w:val="28"/>
          <w:szCs w:val="28"/>
          <w:lang w:val="en-GB"/>
        </w:rPr>
        <w:t>5 days</w:t>
      </w:r>
      <w:r w:rsidRPr="00892353">
        <w:rPr>
          <w:rFonts w:ascii="Times New Roman" w:hAnsi="Times New Roman" w:cs="Times New Roman"/>
          <w:sz w:val="28"/>
          <w:szCs w:val="28"/>
          <w:lang w:val="en-GB"/>
        </w:rPr>
        <w:t xml:space="preserve">. </w:t>
      </w:r>
      <w:r w:rsidRPr="00110AB8">
        <w:rPr>
          <w:rFonts w:ascii="Times New Roman" w:hAnsi="Times New Roman" w:cs="Times New Roman"/>
          <w:sz w:val="28"/>
          <w:szCs w:val="28"/>
          <w:lang w:val="en-GB"/>
        </w:rPr>
        <w:t xml:space="preserve">One group received </w:t>
      </w:r>
      <w:r>
        <w:rPr>
          <w:rFonts w:ascii="Times New Roman" w:hAnsi="Times New Roman" w:cs="Times New Roman"/>
          <w:sz w:val="28"/>
          <w:szCs w:val="28"/>
          <w:lang w:val="en-GB"/>
        </w:rPr>
        <w:t>transcranial Direct Current Stimulation (</w:t>
      </w:r>
      <w:r w:rsidRPr="00110AB8">
        <w:rPr>
          <w:rFonts w:ascii="Times New Roman" w:hAnsi="Times New Roman" w:cs="Times New Roman"/>
          <w:sz w:val="28"/>
          <w:szCs w:val="28"/>
          <w:lang w:val="en-GB"/>
        </w:rPr>
        <w:t>tDCS</w:t>
      </w:r>
      <w:r>
        <w:rPr>
          <w:rFonts w:ascii="Times New Roman" w:hAnsi="Times New Roman" w:cs="Times New Roman"/>
          <w:sz w:val="28"/>
          <w:szCs w:val="28"/>
          <w:lang w:val="en-GB"/>
        </w:rPr>
        <w:t xml:space="preserve">), a non-invasive treatment for depression and working memory, </w:t>
      </w:r>
      <w:r w:rsidRPr="00110AB8">
        <w:rPr>
          <w:rFonts w:ascii="Times New Roman" w:hAnsi="Times New Roman" w:cs="Times New Roman"/>
          <w:sz w:val="28"/>
          <w:szCs w:val="28"/>
          <w:lang w:val="en-GB"/>
        </w:rPr>
        <w:t>and the other group did not (Assecondi et al</w:t>
      </w:r>
      <w:r>
        <w:rPr>
          <w:rFonts w:ascii="Times New Roman" w:hAnsi="Times New Roman" w:cs="Times New Roman"/>
          <w:sz w:val="28"/>
          <w:szCs w:val="28"/>
          <w:lang w:val="en-GB"/>
        </w:rPr>
        <w:t>.,</w:t>
      </w:r>
      <w:r w:rsidRPr="00110AB8">
        <w:rPr>
          <w:rFonts w:ascii="Times New Roman" w:hAnsi="Times New Roman" w:cs="Times New Roman"/>
          <w:sz w:val="28"/>
          <w:szCs w:val="28"/>
          <w:lang w:val="en-GB"/>
        </w:rPr>
        <w:t xml:space="preserve"> 2022). Comparing the baseline working memory before and 2 days after completing the study showed that all participants working memory improved significantly (Assecondi et al</w:t>
      </w:r>
      <w:r>
        <w:rPr>
          <w:rFonts w:ascii="Times New Roman" w:hAnsi="Times New Roman" w:cs="Times New Roman"/>
          <w:sz w:val="28"/>
          <w:szCs w:val="28"/>
          <w:lang w:val="en-GB"/>
        </w:rPr>
        <w:t>.,</w:t>
      </w:r>
      <w:r w:rsidRPr="00110AB8">
        <w:rPr>
          <w:rFonts w:ascii="Times New Roman" w:hAnsi="Times New Roman" w:cs="Times New Roman"/>
          <w:sz w:val="28"/>
          <w:szCs w:val="28"/>
          <w:lang w:val="en-GB"/>
        </w:rPr>
        <w:t xml:space="preserve"> 2022).</w:t>
      </w:r>
    </w:p>
    <w:p w14:paraId="2A6FA720" w14:textId="77777777" w:rsidR="00A45C9F" w:rsidRPr="00255EBB" w:rsidRDefault="00A45C9F" w:rsidP="00A45C9F">
      <w:pPr>
        <w:spacing w:line="360" w:lineRule="auto"/>
        <w:rPr>
          <w:rFonts w:ascii="Times New Roman" w:hAnsi="Times New Roman" w:cs="Times New Roman"/>
          <w:sz w:val="28"/>
          <w:szCs w:val="28"/>
          <w:lang w:val="en-GB"/>
        </w:rPr>
      </w:pPr>
      <w:r w:rsidRPr="00255EBB">
        <w:rPr>
          <w:rFonts w:ascii="Times New Roman" w:hAnsi="Times New Roman" w:cs="Times New Roman"/>
          <w:sz w:val="28"/>
          <w:szCs w:val="28"/>
          <w:lang w:val="en-GB"/>
        </w:rPr>
        <w:t xml:space="preserve">Serious games, </w:t>
      </w:r>
      <w:r>
        <w:rPr>
          <w:rFonts w:ascii="Times New Roman" w:hAnsi="Times New Roman" w:cs="Times New Roman"/>
          <w:sz w:val="28"/>
          <w:szCs w:val="28"/>
          <w:lang w:val="en-GB"/>
        </w:rPr>
        <w:t xml:space="preserve">and </w:t>
      </w:r>
      <w:r w:rsidRPr="00255EBB">
        <w:rPr>
          <w:rFonts w:ascii="Times New Roman" w:hAnsi="Times New Roman" w:cs="Times New Roman"/>
          <w:sz w:val="28"/>
          <w:szCs w:val="28"/>
          <w:lang w:val="en-GB"/>
        </w:rPr>
        <w:t xml:space="preserve">visual search </w:t>
      </w:r>
      <w:r>
        <w:rPr>
          <w:rFonts w:ascii="Times New Roman" w:hAnsi="Times New Roman" w:cs="Times New Roman"/>
          <w:sz w:val="28"/>
          <w:szCs w:val="28"/>
          <w:lang w:val="en-GB"/>
        </w:rPr>
        <w:t>tasks</w:t>
      </w:r>
      <w:r w:rsidRPr="00255EBB">
        <w:rPr>
          <w:rFonts w:ascii="Times New Roman" w:hAnsi="Times New Roman" w:cs="Times New Roman"/>
          <w:sz w:val="28"/>
          <w:szCs w:val="28"/>
          <w:lang w:val="en-GB"/>
        </w:rPr>
        <w:t xml:space="preserve">, have the potential to improve verbal, </w:t>
      </w:r>
      <w:r>
        <w:rPr>
          <w:rFonts w:ascii="Times New Roman" w:hAnsi="Times New Roman" w:cs="Times New Roman"/>
          <w:sz w:val="28"/>
          <w:szCs w:val="28"/>
          <w:lang w:val="en-GB"/>
        </w:rPr>
        <w:t>nonverbal</w:t>
      </w:r>
      <w:r w:rsidRPr="00255EBB">
        <w:rPr>
          <w:rFonts w:ascii="Times New Roman" w:hAnsi="Times New Roman" w:cs="Times New Roman"/>
          <w:sz w:val="28"/>
          <w:szCs w:val="28"/>
          <w:lang w:val="en-GB"/>
        </w:rPr>
        <w:t>, and working memory in older adults (Jiang &amp; Twedell</w:t>
      </w:r>
      <w:r>
        <w:rPr>
          <w:rFonts w:ascii="Times New Roman" w:hAnsi="Times New Roman" w:cs="Times New Roman"/>
          <w:sz w:val="28"/>
          <w:szCs w:val="28"/>
          <w:lang w:val="en-GB"/>
        </w:rPr>
        <w:t>,</w:t>
      </w:r>
      <w:r w:rsidRPr="00255EBB">
        <w:rPr>
          <w:rFonts w:ascii="Times New Roman" w:hAnsi="Times New Roman" w:cs="Times New Roman"/>
          <w:sz w:val="28"/>
          <w:szCs w:val="28"/>
          <w:lang w:val="en-GB"/>
        </w:rPr>
        <w:t xml:space="preserve"> 2016).</w:t>
      </w:r>
      <w:r>
        <w:rPr>
          <w:rFonts w:ascii="Times New Roman" w:hAnsi="Times New Roman" w:cs="Times New Roman"/>
          <w:sz w:val="28"/>
          <w:szCs w:val="28"/>
          <w:lang w:val="en-GB"/>
        </w:rPr>
        <w:t xml:space="preserve"> </w:t>
      </w:r>
      <w:r w:rsidRPr="00255EBB">
        <w:rPr>
          <w:rFonts w:ascii="Times New Roman" w:hAnsi="Times New Roman" w:cs="Times New Roman"/>
          <w:sz w:val="28"/>
          <w:szCs w:val="28"/>
          <w:lang w:val="en-GB"/>
        </w:rPr>
        <w:t xml:space="preserve">The conclusion was </w:t>
      </w:r>
      <w:r>
        <w:rPr>
          <w:rFonts w:ascii="Times New Roman" w:hAnsi="Times New Roman" w:cs="Times New Roman"/>
          <w:sz w:val="28"/>
          <w:szCs w:val="28"/>
          <w:lang w:val="en-GB"/>
        </w:rPr>
        <w:t xml:space="preserve">that this would help older people in slowing down the ageing process. </w:t>
      </w:r>
    </w:p>
    <w:p w14:paraId="186B42D4" w14:textId="77777777" w:rsidR="00A45C9F" w:rsidRDefault="00A45C9F" w:rsidP="00A45C9F">
      <w:pPr>
        <w:spacing w:line="360" w:lineRule="auto"/>
        <w:rPr>
          <w:rFonts w:ascii="Times New Roman" w:hAnsi="Times New Roman" w:cs="Times New Roman"/>
          <w:sz w:val="28"/>
          <w:szCs w:val="28"/>
          <w:lang w:val="en-GB"/>
        </w:rPr>
      </w:pPr>
      <w:r w:rsidRPr="00255EBB">
        <w:rPr>
          <w:rFonts w:ascii="Times New Roman" w:hAnsi="Times New Roman" w:cs="Times New Roman"/>
          <w:sz w:val="28"/>
          <w:szCs w:val="28"/>
          <w:lang w:val="en-GB"/>
        </w:rPr>
        <w:t>A study</w:t>
      </w:r>
      <w:r>
        <w:rPr>
          <w:rFonts w:ascii="Times New Roman" w:hAnsi="Times New Roman" w:cs="Times New Roman"/>
          <w:sz w:val="28"/>
          <w:szCs w:val="28"/>
          <w:lang w:val="en-GB"/>
        </w:rPr>
        <w:t xml:space="preserve">, </w:t>
      </w:r>
      <w:r w:rsidRPr="00255EBB">
        <w:rPr>
          <w:rFonts w:ascii="Times New Roman" w:hAnsi="Times New Roman" w:cs="Times New Roman"/>
          <w:sz w:val="28"/>
          <w:szCs w:val="28"/>
          <w:lang w:val="en-GB"/>
        </w:rPr>
        <w:t>(</w:t>
      </w:r>
      <w:r>
        <w:rPr>
          <w:rFonts w:ascii="Times New Roman" w:hAnsi="Times New Roman" w:cs="Times New Roman"/>
          <w:sz w:val="28"/>
          <w:szCs w:val="28"/>
          <w:lang w:val="en-GB"/>
        </w:rPr>
        <w:t>Weir</w:t>
      </w:r>
      <w:r w:rsidRPr="00255EBB">
        <w:rPr>
          <w:rFonts w:ascii="Times New Roman" w:hAnsi="Times New Roman" w:cs="Times New Roman"/>
          <w:sz w:val="28"/>
          <w:szCs w:val="28"/>
          <w:lang w:val="en-GB"/>
        </w:rPr>
        <w:t xml:space="preserve">, 2021) had 30.000 volunteers take part in elementary brain training. </w:t>
      </w:r>
      <w:r w:rsidRPr="00C8115D">
        <w:rPr>
          <w:rFonts w:ascii="Times New Roman" w:hAnsi="Times New Roman" w:cs="Times New Roman"/>
          <w:sz w:val="28"/>
          <w:szCs w:val="28"/>
          <w:lang w:val="en-GB"/>
        </w:rPr>
        <w:t>Memory games were used to see if the participant’s recall had improved</w:t>
      </w:r>
      <w:r>
        <w:rPr>
          <w:rFonts w:ascii="Times New Roman" w:hAnsi="Times New Roman" w:cs="Times New Roman"/>
          <w:sz w:val="28"/>
          <w:szCs w:val="28"/>
          <w:lang w:val="en-GB"/>
        </w:rPr>
        <w:t xml:space="preserve"> (Weir, 2021)</w:t>
      </w:r>
      <w:r w:rsidRPr="00C8115D">
        <w:rPr>
          <w:rFonts w:ascii="Times New Roman" w:hAnsi="Times New Roman" w:cs="Times New Roman"/>
          <w:sz w:val="28"/>
          <w:szCs w:val="28"/>
          <w:lang w:val="en-GB"/>
        </w:rPr>
        <w:t xml:space="preserve">. </w:t>
      </w:r>
      <w:r>
        <w:rPr>
          <w:rFonts w:ascii="Times New Roman" w:hAnsi="Times New Roman" w:cs="Times New Roman"/>
          <w:sz w:val="28"/>
          <w:szCs w:val="28"/>
          <w:lang w:val="en-GB"/>
        </w:rPr>
        <w:t>The study was to see which elements of the brain training games might improve memory and whom they helped. There are brain training games on the market but no clear scientific evidence that they help (Weir, 2021).</w:t>
      </w:r>
    </w:p>
    <w:p w14:paraId="65EF8E70" w14:textId="77777777" w:rsidR="00A45C9F" w:rsidRPr="00C8115D" w:rsidRDefault="00A45C9F" w:rsidP="00A45C9F">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Seitz launched the Brain Game Centre in 2014, with research scientists from psychology and cognitive neuroscientists, computer scientists and programmers (Weir, 2021). They design assessments and online brain training games which are intended to help people in their daily lives (Weir, 2021). The idea is that the tasks from the game are transferrable to real life (Weir, 2021). By shifting </w:t>
      </w:r>
      <w:r>
        <w:rPr>
          <w:rFonts w:ascii="Times New Roman" w:hAnsi="Times New Roman" w:cs="Times New Roman"/>
          <w:sz w:val="28"/>
          <w:szCs w:val="28"/>
          <w:lang w:val="en-GB"/>
        </w:rPr>
        <w:lastRenderedPageBreak/>
        <w:t>through data and diving into mediating and moderating factors, they could learn how the transfer of learning occurs and under which circumstances (Weir, 2021). Seitz has a massive team around him, trying to create games that are both effective and fun to use. Seitz heads the Learning and Memory Lab, where he conducts basic science research on perceptual learning, (Weir, 2021) a lot of which finds its way to the Brain Game Centre, the idea that by decoding the building blocks of cognitive training tools to build games to help people in their daily lives (Weir, 2021).</w:t>
      </w:r>
    </w:p>
    <w:p w14:paraId="32384D35" w14:textId="77777777" w:rsidR="00A45C9F" w:rsidRDefault="00A45C9F" w:rsidP="00A45C9F">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A report published by the Committee on Medical Aspects of Food and Nutrition (COMA) on the Nutrition of Elderly People in 1992 shows nutrition and elderly adults and healthy ageing. Several external influences affect how people age. Ageing is affected by lifestyle, economics, health, and social care systems, living and social conditions, and culture. As we age our appetites change, and many eat less, this could be caused by a decrease in smell and taste, contributing towards a loss of appetite, which could lead to malnutrition (Mathieu et al., 2019). Some people remain overweight or obese (WHO, 2015). Balanced nutrition is needed for both physical and mental well-being (WHO, 2015). By not eating a balanced diet, other health problems can arise (Vaupel, 2010; Christensen et al., 2009). By eating a Mediterranean diet which is rich in fruits, vegetables and olive oil, legumes, nuts and whole grains, studies have shown better cognition in the aged population (Scarmeas et al., 2009; Van de Rest et al., 2015). The same is true for neurodegenerative diseases such as Parkinson’s disease, Alzheimer’s disease, and many other types of dementia (Gao et al., 2007; Boulos et al., 2019; Abate et al., 2017; Hu et al., 2013; Jennings et al., 2020; Valls-Pedret et al., 2015). Avoiding fats, sugar, salt, and processed foods is recommended. Some evidence has shown that the risk of cognitive impairment and diseases can be lowered by specific macro and micronutrients in a balanced diet (Scarmeas et al., 2018; Ngandu et al., 2015; Lehtisalo et al., </w:t>
      </w:r>
      <w:r>
        <w:rPr>
          <w:rFonts w:ascii="Times New Roman" w:hAnsi="Times New Roman" w:cs="Times New Roman"/>
          <w:sz w:val="28"/>
          <w:szCs w:val="28"/>
          <w:lang w:val="en-GB"/>
        </w:rPr>
        <w:lastRenderedPageBreak/>
        <w:t xml:space="preserve">2019; Samieri, 2018) and special foods can prevent or slow down the degenerative process of old age these include B vitamins, flavonoids and some fatty acids (Patterson, 2018; Schaefer et al., 2006; Barberger-Gateau, 2002). However, it is not yet known how to stop a neurodegenerative process once it has started in the brain. Olive oil and eating fish, a source of omega-3 fatty acids is thought to be critical for brain function (Laye et al., 2018; Pifferi et al., 2020; Deacon et al., 2020) Eating dark chocolate also helps cognitive performance (Decroix et al., 2018; Fox et al., 2019; Socci et al., 2017). Coffee and green tea have been shown to be of benefit to the brain (Dong et al., 2020; Prasanth et al., 2019; Chen et al., 2018). A-Z multivitamin also shows an improvement in cognition (Denniss et al., 2019), however, people with Alzheimer’s disease show a lack of folate, vitamin A, B12, C, and E (Lopes et al., 2014). Although excess levels of copper, manganese, iron, and Zinc seem to increase the risk of cognitive decline (Sensi et al., 2018; Huat et al., 2019; Martins et al., 2019). Another risk to the individual is obesity, this increases the risk of cognitive decline (Pedditzi et al., 2016; Profenno et al., 2010; Yang et al., 2018). A combination of exercise, diet, cognitive training, and vascular risk monitoring can improve or maintain cognitive function in the elderly (Ngandu et al., 2015). </w:t>
      </w:r>
    </w:p>
    <w:p w14:paraId="34F6C106" w14:textId="77777777" w:rsidR="00A45C9F" w:rsidRPr="00C8115D" w:rsidRDefault="00A45C9F" w:rsidP="00A45C9F">
      <w:pPr>
        <w:spacing w:line="360" w:lineRule="auto"/>
        <w:rPr>
          <w:rFonts w:ascii="Times New Roman" w:hAnsi="Times New Roman" w:cs="Times New Roman"/>
          <w:sz w:val="28"/>
          <w:szCs w:val="28"/>
          <w:lang w:val="en-GB"/>
        </w:rPr>
      </w:pPr>
    </w:p>
    <w:p w14:paraId="7957C3B1" w14:textId="77777777" w:rsidR="00A45C9F" w:rsidRDefault="00A45C9F" w:rsidP="00A45C9F">
      <w:pPr>
        <w:pStyle w:val="lead"/>
        <w:shd w:val="clear" w:color="auto" w:fill="FFFFFF"/>
        <w:spacing w:before="0" w:beforeAutospacing="0" w:after="300" w:afterAutospacing="0" w:line="360" w:lineRule="auto"/>
        <w:rPr>
          <w:color w:val="333333"/>
          <w:sz w:val="28"/>
          <w:szCs w:val="28"/>
        </w:rPr>
      </w:pPr>
    </w:p>
    <w:p w14:paraId="36FB4634" w14:textId="77777777" w:rsidR="00A45C9F" w:rsidRDefault="00A45C9F" w:rsidP="00A45C9F">
      <w:pPr>
        <w:pStyle w:val="lead"/>
        <w:shd w:val="clear" w:color="auto" w:fill="FFFFFF"/>
        <w:spacing w:before="0" w:beforeAutospacing="0" w:after="300" w:afterAutospacing="0" w:line="360" w:lineRule="auto"/>
        <w:rPr>
          <w:color w:val="333333"/>
          <w:sz w:val="28"/>
          <w:szCs w:val="28"/>
        </w:rPr>
      </w:pPr>
    </w:p>
    <w:p w14:paraId="60C0F7C1" w14:textId="77777777" w:rsidR="00A45C9F" w:rsidRDefault="00A45C9F" w:rsidP="00A45C9F">
      <w:pPr>
        <w:pStyle w:val="lead"/>
        <w:shd w:val="clear" w:color="auto" w:fill="FFFFFF"/>
        <w:spacing w:before="0" w:beforeAutospacing="0" w:after="300" w:afterAutospacing="0" w:line="360" w:lineRule="auto"/>
        <w:jc w:val="center"/>
        <w:rPr>
          <w:color w:val="333333"/>
          <w:sz w:val="32"/>
          <w:szCs w:val="32"/>
        </w:rPr>
      </w:pPr>
    </w:p>
    <w:p w14:paraId="65ED9029" w14:textId="77777777" w:rsidR="00A45C9F" w:rsidRDefault="00A45C9F" w:rsidP="00A45C9F">
      <w:pPr>
        <w:pStyle w:val="lead"/>
        <w:shd w:val="clear" w:color="auto" w:fill="FFFFFF"/>
        <w:spacing w:before="0" w:beforeAutospacing="0" w:after="300" w:afterAutospacing="0" w:line="360" w:lineRule="auto"/>
        <w:jc w:val="center"/>
        <w:rPr>
          <w:color w:val="333333"/>
          <w:sz w:val="32"/>
          <w:szCs w:val="32"/>
        </w:rPr>
      </w:pPr>
    </w:p>
    <w:p w14:paraId="65C0680F" w14:textId="77777777" w:rsidR="00A45C9F" w:rsidRDefault="00A45C9F" w:rsidP="00A45C9F">
      <w:pPr>
        <w:pStyle w:val="lead"/>
        <w:shd w:val="clear" w:color="auto" w:fill="FFFFFF"/>
        <w:spacing w:before="0" w:beforeAutospacing="0" w:after="300" w:afterAutospacing="0" w:line="360" w:lineRule="auto"/>
        <w:jc w:val="center"/>
        <w:rPr>
          <w:color w:val="333333"/>
          <w:sz w:val="32"/>
          <w:szCs w:val="32"/>
        </w:rPr>
      </w:pPr>
    </w:p>
    <w:p w14:paraId="2164E842" w14:textId="77777777" w:rsidR="00A45C9F" w:rsidRPr="006A01E6" w:rsidRDefault="00A45C9F" w:rsidP="00A45C9F">
      <w:pPr>
        <w:spacing w:line="360" w:lineRule="auto"/>
        <w:jc w:val="center"/>
        <w:rPr>
          <w:rFonts w:ascii="Times New Roman" w:hAnsi="Times New Roman" w:cs="Times New Roman"/>
          <w:b/>
          <w:bCs/>
          <w:sz w:val="36"/>
          <w:szCs w:val="36"/>
          <w:lang w:val="en-GB"/>
        </w:rPr>
      </w:pPr>
      <w:r w:rsidRPr="006A01E6">
        <w:rPr>
          <w:rFonts w:ascii="Times New Roman" w:hAnsi="Times New Roman" w:cs="Times New Roman"/>
          <w:b/>
          <w:bCs/>
          <w:sz w:val="36"/>
          <w:szCs w:val="36"/>
          <w:lang w:val="en-GB"/>
        </w:rPr>
        <w:lastRenderedPageBreak/>
        <w:t>REFERENCES</w:t>
      </w:r>
    </w:p>
    <w:p w14:paraId="372EF987" w14:textId="77777777" w:rsidR="00A45C9F" w:rsidRDefault="00A45C9F" w:rsidP="00A45C9F">
      <w:pPr>
        <w:pStyle w:val="lead"/>
        <w:shd w:val="clear" w:color="auto" w:fill="FFFFFF"/>
        <w:spacing w:before="0" w:beforeAutospacing="0" w:after="300" w:afterAutospacing="0" w:line="360" w:lineRule="auto"/>
        <w:jc w:val="center"/>
        <w:rPr>
          <w:color w:val="333333"/>
          <w:sz w:val="32"/>
          <w:szCs w:val="32"/>
        </w:rPr>
      </w:pPr>
    </w:p>
    <w:p w14:paraId="202789CF" w14:textId="77777777" w:rsidR="00A45C9F" w:rsidRDefault="00A45C9F" w:rsidP="00A45C9F">
      <w:pPr>
        <w:spacing w:line="480" w:lineRule="auto"/>
        <w:ind w:left="720" w:hanging="720"/>
        <w:rPr>
          <w:rFonts w:ascii="Times New Roman" w:hAnsi="Times New Roman" w:cs="Times New Roman"/>
          <w:color w:val="3A3A3A"/>
          <w:sz w:val="28"/>
          <w:szCs w:val="28"/>
          <w:shd w:val="clear" w:color="auto" w:fill="FFFFFF"/>
        </w:rPr>
      </w:pPr>
      <w:r>
        <w:rPr>
          <w:rFonts w:ascii="Times New Roman" w:hAnsi="Times New Roman" w:cs="Times New Roman"/>
          <w:color w:val="3A3A3A"/>
          <w:sz w:val="28"/>
          <w:szCs w:val="28"/>
          <w:shd w:val="clear" w:color="auto" w:fill="FFFFFF"/>
        </w:rPr>
        <w:t xml:space="preserve">Abate, G., Marziano, M., Rungratanawanich, W., Memo, M., Uberti, D. (2017). Nutrition and AGE-Ing: Focusing on alzheimer’s disease. </w:t>
      </w:r>
      <w:r w:rsidRPr="004040F3">
        <w:rPr>
          <w:rFonts w:ascii="Times New Roman" w:hAnsi="Times New Roman" w:cs="Times New Roman"/>
          <w:i/>
          <w:iCs/>
          <w:color w:val="3A3A3A"/>
          <w:sz w:val="28"/>
          <w:szCs w:val="28"/>
          <w:shd w:val="clear" w:color="auto" w:fill="FFFFFF"/>
        </w:rPr>
        <w:t>Oxid. Med. Cell. Longev</w:t>
      </w:r>
      <w:r>
        <w:rPr>
          <w:rFonts w:ascii="Times New Roman" w:hAnsi="Times New Roman" w:cs="Times New Roman"/>
          <w:color w:val="3A3A3A"/>
          <w:sz w:val="28"/>
          <w:szCs w:val="28"/>
          <w:shd w:val="clear" w:color="auto" w:fill="FFFFFF"/>
        </w:rPr>
        <w:t>., doi: 10.1155/2017/7039816.</w:t>
      </w:r>
    </w:p>
    <w:p w14:paraId="27DE94E8" w14:textId="77777777" w:rsidR="00A45C9F" w:rsidRPr="006E7650" w:rsidRDefault="00A45C9F" w:rsidP="00A45C9F">
      <w:pPr>
        <w:spacing w:line="480" w:lineRule="auto"/>
        <w:ind w:left="720" w:hanging="720"/>
        <w:rPr>
          <w:rFonts w:ascii="Times New Roman" w:hAnsi="Times New Roman" w:cs="Times New Roman"/>
          <w:color w:val="3A3A3A"/>
          <w:sz w:val="28"/>
          <w:szCs w:val="28"/>
          <w:shd w:val="clear" w:color="auto" w:fill="FFFFFF"/>
        </w:rPr>
      </w:pPr>
      <w:r w:rsidRPr="00906160">
        <w:rPr>
          <w:rFonts w:ascii="Times New Roman" w:hAnsi="Times New Roman" w:cs="Times New Roman"/>
          <w:color w:val="3A3A3A"/>
          <w:sz w:val="28"/>
          <w:szCs w:val="28"/>
          <w:shd w:val="clear" w:color="auto" w:fill="FFFFFF"/>
        </w:rPr>
        <w:t>Assecondi, S., Hu, R., Kroeker</w:t>
      </w:r>
      <w:r>
        <w:rPr>
          <w:rFonts w:ascii="Times New Roman" w:hAnsi="Times New Roman" w:cs="Times New Roman"/>
          <w:color w:val="3A3A3A"/>
          <w:sz w:val="28"/>
          <w:szCs w:val="28"/>
          <w:shd w:val="clear" w:color="auto" w:fill="FFFFFF"/>
        </w:rPr>
        <w:t>,</w:t>
      </w:r>
      <w:r w:rsidRPr="00906160">
        <w:rPr>
          <w:rFonts w:ascii="Times New Roman" w:hAnsi="Times New Roman" w:cs="Times New Roman"/>
          <w:color w:val="3A3A3A"/>
          <w:sz w:val="28"/>
          <w:szCs w:val="28"/>
          <w:shd w:val="clear" w:color="auto" w:fill="FFFFFF"/>
        </w:rPr>
        <w:t xml:space="preserve"> J., Eskes</w:t>
      </w:r>
      <w:r>
        <w:rPr>
          <w:rFonts w:ascii="Times New Roman" w:hAnsi="Times New Roman" w:cs="Times New Roman"/>
          <w:color w:val="3A3A3A"/>
          <w:sz w:val="28"/>
          <w:szCs w:val="28"/>
          <w:shd w:val="clear" w:color="auto" w:fill="FFFFFF"/>
        </w:rPr>
        <w:t>,</w:t>
      </w:r>
      <w:r w:rsidRPr="00906160">
        <w:rPr>
          <w:rFonts w:ascii="Times New Roman" w:hAnsi="Times New Roman" w:cs="Times New Roman"/>
          <w:color w:val="3A3A3A"/>
          <w:sz w:val="28"/>
          <w:szCs w:val="28"/>
          <w:shd w:val="clear" w:color="auto" w:fill="FFFFFF"/>
        </w:rPr>
        <w:t xml:space="preserve"> G., Shapiro, K. (2022). Older adults with lower working memory capacity benefit from transcranial direct current stimulation when combined with working memory training: A preliminary study</w:t>
      </w:r>
      <w:r w:rsidRPr="00906160">
        <w:rPr>
          <w:rFonts w:ascii="Times New Roman" w:hAnsi="Times New Roman" w:cs="Times New Roman"/>
          <w:i/>
          <w:iCs/>
          <w:color w:val="3A3A3A"/>
          <w:sz w:val="28"/>
          <w:szCs w:val="28"/>
          <w:shd w:val="clear" w:color="auto" w:fill="FFFFFF"/>
        </w:rPr>
        <w:t>. Frontiers in Ag</w:t>
      </w:r>
      <w:r>
        <w:rPr>
          <w:rFonts w:ascii="Times New Roman" w:hAnsi="Times New Roman" w:cs="Times New Roman"/>
          <w:i/>
          <w:iCs/>
          <w:color w:val="3A3A3A"/>
          <w:sz w:val="28"/>
          <w:szCs w:val="28"/>
          <w:shd w:val="clear" w:color="auto" w:fill="FFFFFF"/>
        </w:rPr>
        <w:t>e</w:t>
      </w:r>
      <w:r w:rsidRPr="00906160">
        <w:rPr>
          <w:rFonts w:ascii="Times New Roman" w:hAnsi="Times New Roman" w:cs="Times New Roman"/>
          <w:i/>
          <w:iCs/>
          <w:color w:val="3A3A3A"/>
          <w:sz w:val="28"/>
          <w:szCs w:val="28"/>
          <w:shd w:val="clear" w:color="auto" w:fill="FFFFFF"/>
        </w:rPr>
        <w:t xml:space="preserve">ing neuroscience. </w:t>
      </w:r>
      <w:r w:rsidRPr="006E7650">
        <w:rPr>
          <w:rFonts w:ascii="Times New Roman" w:hAnsi="Times New Roman" w:cs="Times New Roman"/>
          <w:color w:val="3A3A3A"/>
          <w:sz w:val="28"/>
          <w:szCs w:val="28"/>
          <w:shd w:val="clear" w:color="auto" w:fill="FFFFFF"/>
        </w:rPr>
        <w:t>14 D</w:t>
      </w:r>
      <w:r>
        <w:rPr>
          <w:rFonts w:ascii="Times New Roman" w:hAnsi="Times New Roman" w:cs="Times New Roman"/>
          <w:color w:val="3A3A3A"/>
          <w:sz w:val="28"/>
          <w:szCs w:val="28"/>
          <w:shd w:val="clear" w:color="auto" w:fill="FFFFFF"/>
        </w:rPr>
        <w:t>oi</w:t>
      </w:r>
      <w:r w:rsidRPr="006E7650">
        <w:rPr>
          <w:rFonts w:ascii="Times New Roman" w:hAnsi="Times New Roman" w:cs="Times New Roman"/>
          <w:color w:val="3A3A3A"/>
          <w:sz w:val="28"/>
          <w:szCs w:val="28"/>
          <w:shd w:val="clear" w:color="auto" w:fill="FFFFFF"/>
        </w:rPr>
        <w:t>. 10.3389/fnagi</w:t>
      </w:r>
      <w:r>
        <w:rPr>
          <w:rFonts w:ascii="Times New Roman" w:hAnsi="Times New Roman" w:cs="Times New Roman"/>
          <w:color w:val="3A3A3A"/>
          <w:sz w:val="28"/>
          <w:szCs w:val="28"/>
          <w:shd w:val="clear" w:color="auto" w:fill="FFFFFF"/>
        </w:rPr>
        <w:t xml:space="preserve"> </w:t>
      </w:r>
      <w:r w:rsidRPr="006E7650">
        <w:rPr>
          <w:rFonts w:ascii="Times New Roman" w:hAnsi="Times New Roman" w:cs="Times New Roman"/>
          <w:color w:val="3A3A3A"/>
          <w:sz w:val="28"/>
          <w:szCs w:val="28"/>
          <w:shd w:val="clear" w:color="auto" w:fill="FFFFFF"/>
        </w:rPr>
        <w:t>1009262</w:t>
      </w:r>
      <w:r>
        <w:rPr>
          <w:rFonts w:ascii="Times New Roman" w:hAnsi="Times New Roman" w:cs="Times New Roman"/>
          <w:color w:val="3A3A3A"/>
          <w:sz w:val="28"/>
          <w:szCs w:val="28"/>
          <w:shd w:val="clear" w:color="auto" w:fill="FFFFFF"/>
        </w:rPr>
        <w:t>.</w:t>
      </w:r>
    </w:p>
    <w:p w14:paraId="21033F6E"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Barakovic, S., Husic, J.B., Van Hoff, J., Krejcar, O., Maresova, P., Akhtar, Z., Melero, F.J. (2020). Quality of Life Framework for Personalised Ageing A Systematic Review of ICT Solutions</w:t>
      </w:r>
      <w:r w:rsidRPr="004175ED">
        <w:rPr>
          <w:i/>
          <w:iCs/>
          <w:color w:val="333333"/>
          <w:sz w:val="28"/>
          <w:szCs w:val="28"/>
        </w:rPr>
        <w:t>. Int. J. Enviro res. Public Health</w:t>
      </w:r>
      <w:r>
        <w:rPr>
          <w:color w:val="333333"/>
          <w:sz w:val="28"/>
          <w:szCs w:val="28"/>
        </w:rPr>
        <w:t>. 17, 2940</w:t>
      </w:r>
    </w:p>
    <w:p w14:paraId="14A52CD0" w14:textId="77777777" w:rsidR="00A45C9F" w:rsidRDefault="00A45C9F" w:rsidP="00A45C9F">
      <w:pPr>
        <w:spacing w:line="480" w:lineRule="auto"/>
        <w:ind w:left="720" w:hanging="720"/>
        <w:rPr>
          <w:rFonts w:ascii="Times New Roman" w:hAnsi="Times New Roman" w:cs="Times New Roman"/>
          <w:color w:val="3A3A3A"/>
          <w:sz w:val="28"/>
          <w:szCs w:val="28"/>
          <w:shd w:val="clear" w:color="auto" w:fill="FFFFFF"/>
        </w:rPr>
      </w:pPr>
      <w:r>
        <w:rPr>
          <w:rFonts w:ascii="Times New Roman" w:hAnsi="Times New Roman" w:cs="Times New Roman"/>
          <w:color w:val="3A3A3A"/>
          <w:sz w:val="28"/>
          <w:szCs w:val="28"/>
          <w:shd w:val="clear" w:color="auto" w:fill="FFFFFF"/>
        </w:rPr>
        <w:t>Barberger-Gateau, P. (2002). Fish, meat, and risk of dementia</w:t>
      </w:r>
      <w:r w:rsidRPr="00C41A21">
        <w:rPr>
          <w:rFonts w:ascii="Times New Roman" w:hAnsi="Times New Roman" w:cs="Times New Roman"/>
          <w:i/>
          <w:iCs/>
          <w:color w:val="3A3A3A"/>
          <w:sz w:val="28"/>
          <w:szCs w:val="28"/>
          <w:shd w:val="clear" w:color="auto" w:fill="FFFFFF"/>
        </w:rPr>
        <w:t xml:space="preserve">. Cohort study. </w:t>
      </w:r>
      <w:r>
        <w:rPr>
          <w:rFonts w:ascii="Times New Roman" w:hAnsi="Times New Roman" w:cs="Times New Roman"/>
          <w:color w:val="3A3A3A"/>
          <w:sz w:val="28"/>
          <w:szCs w:val="28"/>
          <w:shd w:val="clear" w:color="auto" w:fill="FFFFFF"/>
        </w:rPr>
        <w:t>BMJ; 325: 932-933. Doi: 10.1136/bmj.325.7370.932.</w:t>
      </w:r>
    </w:p>
    <w:p w14:paraId="1FB4F6D7" w14:textId="77777777" w:rsidR="00A45C9F" w:rsidRDefault="00A45C9F" w:rsidP="00A45C9F">
      <w:pPr>
        <w:spacing w:line="480" w:lineRule="auto"/>
        <w:ind w:left="720" w:hanging="720"/>
        <w:rPr>
          <w:rFonts w:ascii="Times New Roman" w:hAnsi="Times New Roman" w:cs="Times New Roman"/>
          <w:color w:val="3A3A3A"/>
          <w:sz w:val="28"/>
          <w:szCs w:val="28"/>
          <w:shd w:val="clear" w:color="auto" w:fill="FFFFFF"/>
        </w:rPr>
      </w:pPr>
      <w:r>
        <w:rPr>
          <w:rFonts w:ascii="Times New Roman" w:hAnsi="Times New Roman" w:cs="Times New Roman"/>
          <w:color w:val="3A3A3A"/>
          <w:sz w:val="28"/>
          <w:szCs w:val="28"/>
          <w:shd w:val="clear" w:color="auto" w:fill="FFFFFF"/>
        </w:rPr>
        <w:t xml:space="preserve">Boulos, C., Yaghi, N., El Hayeck, R., Heraoui, G.N., Fakhoury-Sayegh, N. (2019). Nutritional risk factors, microbiota and Parkinson’s disease: What is the current evidence? </w:t>
      </w:r>
      <w:r w:rsidRPr="00587576">
        <w:rPr>
          <w:rFonts w:ascii="Times New Roman" w:hAnsi="Times New Roman" w:cs="Times New Roman"/>
          <w:i/>
          <w:iCs/>
          <w:color w:val="3A3A3A"/>
          <w:sz w:val="28"/>
          <w:szCs w:val="28"/>
          <w:shd w:val="clear" w:color="auto" w:fill="FFFFFF"/>
        </w:rPr>
        <w:t>Nutrients</w:t>
      </w:r>
      <w:r>
        <w:rPr>
          <w:rFonts w:ascii="Times New Roman" w:hAnsi="Times New Roman" w:cs="Times New Roman"/>
          <w:color w:val="3A3A3A"/>
          <w:sz w:val="28"/>
          <w:szCs w:val="28"/>
          <w:shd w:val="clear" w:color="auto" w:fill="FFFFFF"/>
        </w:rPr>
        <w:t>;11:1896. Doi: 10.3390/nu11081896.</w:t>
      </w:r>
    </w:p>
    <w:p w14:paraId="7C6E5052" w14:textId="77777777" w:rsidR="00A45C9F" w:rsidRPr="00906160" w:rsidRDefault="00A45C9F" w:rsidP="00A45C9F">
      <w:pPr>
        <w:spacing w:line="480" w:lineRule="auto"/>
        <w:ind w:left="720" w:hanging="720"/>
        <w:rPr>
          <w:rFonts w:ascii="Times New Roman" w:hAnsi="Times New Roman" w:cs="Times New Roman"/>
          <w:i/>
          <w:iCs/>
          <w:color w:val="3A3A3A"/>
          <w:sz w:val="28"/>
          <w:szCs w:val="28"/>
          <w:shd w:val="clear" w:color="auto" w:fill="FFFFFF"/>
        </w:rPr>
      </w:pPr>
      <w:r w:rsidRPr="00906160">
        <w:rPr>
          <w:rFonts w:ascii="Times New Roman" w:hAnsi="Times New Roman" w:cs="Times New Roman"/>
          <w:color w:val="3A3A3A"/>
          <w:sz w:val="28"/>
          <w:szCs w:val="28"/>
          <w:shd w:val="clear" w:color="auto" w:fill="FFFFFF"/>
        </w:rPr>
        <w:lastRenderedPageBreak/>
        <w:t>Butcher, J. (2008). Mind games: do they work</w:t>
      </w:r>
      <w:r w:rsidRPr="00906160">
        <w:rPr>
          <w:rFonts w:ascii="Times New Roman" w:hAnsi="Times New Roman" w:cs="Times New Roman"/>
          <w:i/>
          <w:iCs/>
          <w:color w:val="3A3A3A"/>
          <w:sz w:val="28"/>
          <w:szCs w:val="28"/>
          <w:shd w:val="clear" w:color="auto" w:fill="FFFFFF"/>
        </w:rPr>
        <w:t xml:space="preserve">? British Medical Journal Publishing Group, </w:t>
      </w:r>
      <w:r w:rsidRPr="006E7650">
        <w:rPr>
          <w:rFonts w:ascii="Times New Roman" w:hAnsi="Times New Roman" w:cs="Times New Roman"/>
          <w:color w:val="3A3A3A"/>
          <w:sz w:val="28"/>
          <w:szCs w:val="28"/>
          <w:shd w:val="clear" w:color="auto" w:fill="FFFFFF"/>
        </w:rPr>
        <w:t xml:space="preserve">336(7638), 246–248. </w:t>
      </w:r>
      <w:hyperlink r:id="rId8" w:history="1">
        <w:r w:rsidRPr="006E7650">
          <w:rPr>
            <w:rStyle w:val="Hyperlink"/>
            <w:rFonts w:ascii="Times New Roman" w:hAnsi="Times New Roman" w:cs="Times New Roman"/>
            <w:sz w:val="28"/>
            <w:szCs w:val="28"/>
            <w:shd w:val="clear" w:color="auto" w:fill="FFFFFF"/>
          </w:rPr>
          <w:t>https://doi.org/10.1136/bmj.39462.534630.AD</w:t>
        </w:r>
      </w:hyperlink>
    </w:p>
    <w:p w14:paraId="2F0C5F2A" w14:textId="77777777" w:rsidR="00A45C9F" w:rsidRDefault="00A45C9F" w:rsidP="00A45C9F">
      <w:pPr>
        <w:spacing w:line="480" w:lineRule="auto"/>
        <w:ind w:left="720" w:hanging="720"/>
        <w:rPr>
          <w:rFonts w:ascii="Times New Roman" w:hAnsi="Times New Roman" w:cs="Times New Roman"/>
          <w:color w:val="3A3A3A"/>
          <w:sz w:val="28"/>
          <w:szCs w:val="28"/>
          <w:shd w:val="clear" w:color="auto" w:fill="FFFFFF"/>
        </w:rPr>
      </w:pPr>
      <w:r w:rsidRPr="00906160">
        <w:rPr>
          <w:rFonts w:ascii="Times New Roman" w:hAnsi="Times New Roman" w:cs="Times New Roman"/>
          <w:color w:val="3A3A3A"/>
          <w:sz w:val="28"/>
          <w:szCs w:val="28"/>
          <w:shd w:val="clear" w:color="auto" w:fill="FFFFFF"/>
        </w:rPr>
        <w:t>Cesário,</w:t>
      </w:r>
      <w:r>
        <w:rPr>
          <w:rFonts w:ascii="Times New Roman" w:hAnsi="Times New Roman" w:cs="Times New Roman"/>
          <w:color w:val="3A3A3A"/>
          <w:sz w:val="28"/>
          <w:szCs w:val="28"/>
          <w:shd w:val="clear" w:color="auto" w:fill="FFFFFF"/>
        </w:rPr>
        <w:t xml:space="preserve"> P.,</w:t>
      </w:r>
      <w:r w:rsidRPr="00906160">
        <w:rPr>
          <w:rFonts w:ascii="Times New Roman" w:hAnsi="Times New Roman" w:cs="Times New Roman"/>
          <w:color w:val="3A3A3A"/>
          <w:sz w:val="28"/>
          <w:szCs w:val="28"/>
          <w:shd w:val="clear" w:color="auto" w:fill="FFFFFF"/>
        </w:rPr>
        <w:t xml:space="preserve"> Santos, S., Lourenço, B., </w:t>
      </w:r>
      <w:r>
        <w:rPr>
          <w:rFonts w:ascii="Times New Roman" w:hAnsi="Times New Roman" w:cs="Times New Roman"/>
          <w:color w:val="3A3A3A"/>
          <w:sz w:val="28"/>
          <w:szCs w:val="28"/>
          <w:shd w:val="clear" w:color="auto" w:fill="FFFFFF"/>
        </w:rPr>
        <w:t>Martins</w:t>
      </w:r>
      <w:r w:rsidRPr="00906160">
        <w:rPr>
          <w:rFonts w:ascii="Times New Roman" w:hAnsi="Times New Roman" w:cs="Times New Roman"/>
          <w:color w:val="3A3A3A"/>
          <w:sz w:val="28"/>
          <w:szCs w:val="28"/>
          <w:shd w:val="clear" w:color="auto" w:fill="FFFFFF"/>
        </w:rPr>
        <w:t>, I., Gonçalves, P. J. S. (2019). Towards Older Adults Cognitive and Emotional Stimulation via Robotic</w:t>
      </w:r>
      <w:r>
        <w:rPr>
          <w:rFonts w:ascii="Times New Roman" w:hAnsi="Times New Roman" w:cs="Times New Roman"/>
          <w:color w:val="3A3A3A"/>
          <w:sz w:val="28"/>
          <w:szCs w:val="28"/>
          <w:shd w:val="clear" w:color="auto" w:fill="FFFFFF"/>
        </w:rPr>
        <w:t>.</w:t>
      </w:r>
      <w:r w:rsidRPr="00906160">
        <w:rPr>
          <w:rFonts w:ascii="Times New Roman" w:hAnsi="Times New Roman" w:cs="Times New Roman"/>
          <w:color w:val="3A3A3A"/>
          <w:sz w:val="28"/>
          <w:szCs w:val="28"/>
          <w:shd w:val="clear" w:color="auto" w:fill="FFFFFF"/>
        </w:rPr>
        <w:t xml:space="preserve"> </w:t>
      </w:r>
    </w:p>
    <w:p w14:paraId="08AB8E07" w14:textId="77777777" w:rsidR="00A45C9F" w:rsidRDefault="00A45C9F" w:rsidP="00A45C9F">
      <w:pPr>
        <w:spacing w:line="480" w:lineRule="auto"/>
        <w:ind w:left="720" w:hanging="720"/>
        <w:rPr>
          <w:rFonts w:ascii="Times New Roman" w:hAnsi="Times New Roman" w:cs="Times New Roman"/>
          <w:color w:val="3A3A3A"/>
          <w:sz w:val="28"/>
          <w:szCs w:val="28"/>
          <w:shd w:val="clear" w:color="auto" w:fill="FFFFFF"/>
        </w:rPr>
      </w:pPr>
      <w:r>
        <w:rPr>
          <w:rFonts w:ascii="Times New Roman" w:hAnsi="Times New Roman" w:cs="Times New Roman"/>
          <w:color w:val="3A3A3A"/>
          <w:sz w:val="28"/>
          <w:szCs w:val="28"/>
          <w:shd w:val="clear" w:color="auto" w:fill="FFFFFF"/>
        </w:rPr>
        <w:t xml:space="preserve">Chen, S.Q., Wang, Z.S., Ma, Y.X., Zhang, W., Lu, J.L., Liang, Y.R., Zheng, X.Q. (2018) Neuroprotective effects, and mechanisms of tea bioactive components in neurodegenerative diseases. </w:t>
      </w:r>
      <w:r w:rsidRPr="00B01367">
        <w:rPr>
          <w:rFonts w:ascii="Times New Roman" w:hAnsi="Times New Roman" w:cs="Times New Roman"/>
          <w:i/>
          <w:iCs/>
          <w:color w:val="3A3A3A"/>
          <w:sz w:val="28"/>
          <w:szCs w:val="28"/>
          <w:shd w:val="clear" w:color="auto" w:fill="FFFFFF"/>
        </w:rPr>
        <w:t>Molecules</w:t>
      </w:r>
      <w:r>
        <w:rPr>
          <w:rFonts w:ascii="Times New Roman" w:hAnsi="Times New Roman" w:cs="Times New Roman"/>
          <w:color w:val="3A3A3A"/>
          <w:sz w:val="28"/>
          <w:szCs w:val="28"/>
          <w:shd w:val="clear" w:color="auto" w:fill="FFFFFF"/>
        </w:rPr>
        <w:t xml:space="preserve">:23:512. Doi: 10.3390/molecules23030512. </w:t>
      </w:r>
    </w:p>
    <w:p w14:paraId="387445C3"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Chirico, I., Ottoboni, G., Linarllo, S., Ferriani, E., Marrocco, E., Chattat, R. (2022). Family experience of young-onset dementia: the perspectives of spouses and children. </w:t>
      </w:r>
      <w:r w:rsidRPr="00C45376">
        <w:rPr>
          <w:i/>
          <w:iCs/>
          <w:color w:val="333333"/>
          <w:sz w:val="28"/>
          <w:szCs w:val="28"/>
        </w:rPr>
        <w:t>Ageing and Mental health,</w:t>
      </w:r>
      <w:r>
        <w:rPr>
          <w:color w:val="333333"/>
          <w:sz w:val="28"/>
          <w:szCs w:val="28"/>
        </w:rPr>
        <w:t xml:space="preserve"> 26:11, 2243-2251, DOI: 10.1080/13607863.2021.2008871</w:t>
      </w:r>
    </w:p>
    <w:p w14:paraId="5FA50B8D"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Christensen, K., Doblhammer, G., Rau, R., Vaupel, J.W. (2009). Ageing populations: the challenges ahead</w:t>
      </w:r>
      <w:r w:rsidRPr="00B01367">
        <w:rPr>
          <w:rFonts w:ascii="Times New Roman" w:hAnsi="Times New Roman" w:cs="Times New Roman"/>
          <w:i/>
          <w:iCs/>
          <w:sz w:val="28"/>
          <w:szCs w:val="28"/>
          <w:lang w:val="en-GB"/>
        </w:rPr>
        <w:t>. Lancet.</w:t>
      </w:r>
      <w:r>
        <w:rPr>
          <w:rFonts w:ascii="Times New Roman" w:hAnsi="Times New Roman" w:cs="Times New Roman"/>
          <w:sz w:val="28"/>
          <w:szCs w:val="28"/>
          <w:lang w:val="en-GB"/>
        </w:rPr>
        <w:t xml:space="preserve"> 2009;374:1196-1208. Doi:10.1016/SO140-6736(09)61460-4.</w:t>
      </w:r>
    </w:p>
    <w:p w14:paraId="59B90586" w14:textId="77777777" w:rsidR="00A45C9F" w:rsidRPr="006E7650" w:rsidRDefault="00A45C9F" w:rsidP="00A45C9F">
      <w:pPr>
        <w:spacing w:line="480" w:lineRule="auto"/>
        <w:ind w:left="720" w:hanging="720"/>
        <w:rPr>
          <w:rFonts w:ascii="Times New Roman" w:hAnsi="Times New Roman" w:cs="Times New Roman"/>
          <w:color w:val="3A3A3A"/>
          <w:sz w:val="28"/>
          <w:szCs w:val="28"/>
          <w:shd w:val="clear" w:color="auto" w:fill="FFFFFF"/>
        </w:rPr>
      </w:pPr>
      <w:r w:rsidRPr="00906160">
        <w:rPr>
          <w:rFonts w:ascii="Times New Roman" w:hAnsi="Times New Roman" w:cs="Times New Roman"/>
          <w:color w:val="3A3A3A"/>
          <w:sz w:val="28"/>
          <w:szCs w:val="28"/>
          <w:shd w:val="clear" w:color="auto" w:fill="FFFFFF"/>
        </w:rPr>
        <w:t xml:space="preserve">Cognitive Games. </w:t>
      </w:r>
      <w:r w:rsidRPr="00906160">
        <w:rPr>
          <w:rFonts w:ascii="Times New Roman" w:hAnsi="Times New Roman" w:cs="Times New Roman"/>
          <w:i/>
          <w:iCs/>
          <w:color w:val="3A3A3A"/>
          <w:sz w:val="28"/>
          <w:szCs w:val="28"/>
          <w:shd w:val="clear" w:color="auto" w:fill="FFFFFF"/>
        </w:rPr>
        <w:t xml:space="preserve">Social Sciences </w:t>
      </w:r>
      <w:r w:rsidRPr="006E7650">
        <w:rPr>
          <w:rFonts w:ascii="Times New Roman" w:hAnsi="Times New Roman" w:cs="Times New Roman"/>
          <w:color w:val="3A3A3A"/>
          <w:sz w:val="28"/>
          <w:szCs w:val="28"/>
          <w:shd w:val="clear" w:color="auto" w:fill="FFFFFF"/>
        </w:rPr>
        <w:t xml:space="preserve">(Basel), 8(11), 298. </w:t>
      </w:r>
      <w:hyperlink r:id="rId9" w:history="1">
        <w:r w:rsidRPr="006E7650">
          <w:rPr>
            <w:rStyle w:val="Hyperlink"/>
            <w:rFonts w:ascii="Times New Roman" w:hAnsi="Times New Roman" w:cs="Times New Roman"/>
            <w:sz w:val="28"/>
            <w:szCs w:val="28"/>
            <w:shd w:val="clear" w:color="auto" w:fill="FFFFFF"/>
          </w:rPr>
          <w:t>https://doi.org/10.3390/socsci8110298</w:t>
        </w:r>
      </w:hyperlink>
    </w:p>
    <w:p w14:paraId="2A15D5B3"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lastRenderedPageBreak/>
        <w:t xml:space="preserve">Deacon, G., Kettle, C., Hayes, D., Dennis, C., Tucci, J. (2017) Omega 3 polyunsaturated fatty acids and the treatment of depression. </w:t>
      </w:r>
      <w:r w:rsidRPr="008E0E90">
        <w:rPr>
          <w:rFonts w:ascii="Times New Roman" w:hAnsi="Times New Roman" w:cs="Times New Roman"/>
          <w:i/>
          <w:iCs/>
          <w:sz w:val="28"/>
          <w:szCs w:val="28"/>
          <w:lang w:val="en-GB"/>
        </w:rPr>
        <w:t>Crit. Rev. Food Sci. Nur</w:t>
      </w:r>
      <w:r>
        <w:rPr>
          <w:rFonts w:ascii="Times New Roman" w:hAnsi="Times New Roman" w:cs="Times New Roman"/>
          <w:sz w:val="28"/>
          <w:szCs w:val="28"/>
          <w:lang w:val="en-GB"/>
        </w:rPr>
        <w:t>. 2017;57:212-223. Doi; 10.1080/10408398.2013.876959.</w:t>
      </w:r>
    </w:p>
    <w:p w14:paraId="22B3FCB6"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Decroix, L., De Pauw, K., Van Cutsem, J., Pattyn, N., Heyman, E., Meeusen, R. (2018). Acute Cocoa Flavanols intake improves cerebal hemodynamics while maintaining brain activity and cognitive performance in moderate hypoxia. </w:t>
      </w:r>
      <w:r w:rsidRPr="00FA03E4">
        <w:rPr>
          <w:rFonts w:ascii="Times New Roman" w:hAnsi="Times New Roman" w:cs="Times New Roman"/>
          <w:i/>
          <w:iCs/>
          <w:sz w:val="28"/>
          <w:szCs w:val="28"/>
          <w:lang w:val="en-GB"/>
        </w:rPr>
        <w:t>Psychopharmacology</w:t>
      </w:r>
      <w:r>
        <w:rPr>
          <w:rFonts w:ascii="Times New Roman" w:hAnsi="Times New Roman" w:cs="Times New Roman"/>
          <w:sz w:val="28"/>
          <w:szCs w:val="28"/>
          <w:lang w:val="en-GB"/>
        </w:rPr>
        <w:t>.235;2597-2608. Doi: 10.1007/s00213-018-4952-2.</w:t>
      </w:r>
    </w:p>
    <w:p w14:paraId="6DF28CEF"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Dennis, R.J., Barker, L.A., Day, C.J. (2019). Improvement in cognition following double-blind randomized micronutrient interventions in the general population. </w:t>
      </w:r>
      <w:r w:rsidRPr="00BD4486">
        <w:rPr>
          <w:rFonts w:ascii="Times New Roman" w:hAnsi="Times New Roman" w:cs="Times New Roman"/>
          <w:i/>
          <w:iCs/>
          <w:sz w:val="28"/>
          <w:szCs w:val="28"/>
          <w:lang w:val="en-GB"/>
        </w:rPr>
        <w:t>Front. Behav. Neurosci</w:t>
      </w:r>
      <w:r>
        <w:rPr>
          <w:rFonts w:ascii="Times New Roman" w:hAnsi="Times New Roman" w:cs="Times New Roman"/>
          <w:i/>
          <w:iCs/>
          <w:sz w:val="28"/>
          <w:szCs w:val="28"/>
          <w:lang w:val="en-GB"/>
        </w:rPr>
        <w:t>ence</w:t>
      </w:r>
      <w:r>
        <w:rPr>
          <w:rFonts w:ascii="Times New Roman" w:hAnsi="Times New Roman" w:cs="Times New Roman"/>
          <w:sz w:val="28"/>
          <w:szCs w:val="28"/>
          <w:lang w:val="en-GB"/>
        </w:rPr>
        <w:t xml:space="preserve">.13:115.doi: 10.3389/fnbeh.2019.00115. </w:t>
      </w:r>
    </w:p>
    <w:p w14:paraId="0D159D38"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Dong, X., Li, S., Sun, J., Li, Y., Zhang, D. (2020). Association of coffee, decaffeinated coffee, and caffeine intake from coffee with cognitive performance in older adults: </w:t>
      </w:r>
      <w:r w:rsidRPr="00D01D62">
        <w:rPr>
          <w:rFonts w:ascii="Times New Roman" w:hAnsi="Times New Roman" w:cs="Times New Roman"/>
          <w:i/>
          <w:iCs/>
          <w:sz w:val="28"/>
          <w:szCs w:val="28"/>
          <w:lang w:val="en-GB"/>
        </w:rPr>
        <w:t xml:space="preserve">National health and nutrition examination survey.(NHANES) </w:t>
      </w:r>
      <w:r>
        <w:rPr>
          <w:rFonts w:ascii="Times New Roman" w:hAnsi="Times New Roman" w:cs="Times New Roman"/>
          <w:sz w:val="28"/>
          <w:szCs w:val="28"/>
          <w:lang w:val="en-GB"/>
        </w:rPr>
        <w:t>2011-2014. Nutrients.12:840. Doi: 10.3390/nu12030840.</w:t>
      </w:r>
    </w:p>
    <w:p w14:paraId="113D3281"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Double, K.L., Dedov, V. N. Fedorow, H., Kettle, E., Halliday, G. M., Garner, B., Brunk, U. T. (2008). The Comparative biology of neuromelanin and Lipofuscin in the human brain. </w:t>
      </w:r>
      <w:r w:rsidRPr="00C45376">
        <w:rPr>
          <w:i/>
          <w:iCs/>
          <w:color w:val="333333"/>
          <w:sz w:val="28"/>
          <w:szCs w:val="28"/>
        </w:rPr>
        <w:t>Cellular and Molecular Life Sciences.</w:t>
      </w:r>
      <w:r>
        <w:rPr>
          <w:color w:val="333333"/>
          <w:sz w:val="28"/>
          <w:szCs w:val="28"/>
        </w:rPr>
        <w:t xml:space="preserve"> Vol. 65, 11, 1669-82. DOI: 10.1007/s00018-7581-9</w:t>
      </w:r>
    </w:p>
    <w:p w14:paraId="73C74B70"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lastRenderedPageBreak/>
        <w:t xml:space="preserve">Evans, I.E., Martyr, A., Collins, R., Brayne, C., Clare, L. (2019). Social Isolation and Cognitive Function in Later Life. </w:t>
      </w:r>
      <w:r w:rsidRPr="00C65637">
        <w:rPr>
          <w:i/>
          <w:iCs/>
          <w:color w:val="333333"/>
          <w:sz w:val="28"/>
          <w:szCs w:val="28"/>
        </w:rPr>
        <w:t>A Systematic Review and meta-analysis. J. Alzheimer’s Dis</w:t>
      </w:r>
      <w:r>
        <w:rPr>
          <w:color w:val="333333"/>
          <w:sz w:val="28"/>
          <w:szCs w:val="28"/>
        </w:rPr>
        <w:t>. 70, S119-S144</w:t>
      </w:r>
    </w:p>
    <w:p w14:paraId="3FA5F9F4" w14:textId="77777777" w:rsidR="00A45C9F" w:rsidRPr="00870286" w:rsidRDefault="00A45C9F" w:rsidP="00A45C9F">
      <w:pPr>
        <w:pStyle w:val="lead"/>
        <w:shd w:val="clear" w:color="auto" w:fill="FFFFFF"/>
        <w:spacing w:before="0" w:beforeAutospacing="0" w:after="300" w:afterAutospacing="0" w:line="480" w:lineRule="auto"/>
        <w:ind w:left="720" w:hanging="720"/>
        <w:rPr>
          <w:i/>
          <w:iCs/>
          <w:color w:val="333333"/>
          <w:sz w:val="28"/>
          <w:szCs w:val="28"/>
        </w:rPr>
      </w:pPr>
      <w:r>
        <w:rPr>
          <w:color w:val="333333"/>
          <w:sz w:val="28"/>
          <w:szCs w:val="28"/>
        </w:rPr>
        <w:t xml:space="preserve">Fitzgerald, K. (2013). Brain Lesions Can Predict Alzheimer’s Diagnosis. </w:t>
      </w:r>
      <w:r w:rsidRPr="00870286">
        <w:rPr>
          <w:i/>
          <w:iCs/>
          <w:color w:val="333333"/>
          <w:sz w:val="28"/>
          <w:szCs w:val="28"/>
        </w:rPr>
        <w:t>Medical News Today</w:t>
      </w:r>
    </w:p>
    <w:p w14:paraId="5D72DFA1"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Fox, S., Kenny, L., Day, M.R., O’Connell, C., Finnerty, J., Timmons, S. (2017). Exploring the housing needs of older people in standard and sheltered social housing</w:t>
      </w:r>
      <w:r w:rsidRPr="00870286">
        <w:rPr>
          <w:i/>
          <w:iCs/>
          <w:color w:val="333333"/>
          <w:sz w:val="28"/>
          <w:szCs w:val="28"/>
        </w:rPr>
        <w:t>. Gerontol. Geriatr</w:t>
      </w:r>
      <w:r>
        <w:rPr>
          <w:color w:val="333333"/>
          <w:sz w:val="28"/>
          <w:szCs w:val="28"/>
        </w:rPr>
        <w:t>. Med.3,1-14</w:t>
      </w:r>
    </w:p>
    <w:p w14:paraId="1AFA0319"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Francis, P. (2005). The interplay of Neurotransmitters in Alzheimer’s Disease. </w:t>
      </w:r>
      <w:r w:rsidRPr="00FA4AB3">
        <w:rPr>
          <w:i/>
          <w:iCs/>
          <w:color w:val="333333"/>
          <w:sz w:val="28"/>
          <w:szCs w:val="28"/>
        </w:rPr>
        <w:t>CNS Spectrums,</w:t>
      </w:r>
      <w:r>
        <w:rPr>
          <w:color w:val="333333"/>
          <w:sz w:val="28"/>
          <w:szCs w:val="28"/>
        </w:rPr>
        <w:t xml:space="preserve"> 10(518), 6-9. DOI: 10.1017/S1092852900014164 </w:t>
      </w:r>
    </w:p>
    <w:p w14:paraId="0455A73C" w14:textId="77777777" w:rsidR="00A45C9F" w:rsidRPr="00906160" w:rsidRDefault="00A45C9F" w:rsidP="00A45C9F">
      <w:pPr>
        <w:spacing w:line="480" w:lineRule="auto"/>
        <w:ind w:left="720" w:hanging="720"/>
        <w:rPr>
          <w:rFonts w:ascii="Times New Roman" w:hAnsi="Times New Roman" w:cs="Times New Roman"/>
          <w:i/>
          <w:iCs/>
          <w:sz w:val="28"/>
          <w:szCs w:val="28"/>
          <w:lang w:val="en-GB"/>
        </w:rPr>
      </w:pPr>
      <w:r w:rsidRPr="00906160">
        <w:rPr>
          <w:rFonts w:ascii="Times New Roman" w:hAnsi="Times New Roman" w:cs="Times New Roman"/>
          <w:sz w:val="28"/>
          <w:szCs w:val="28"/>
          <w:lang w:val="en-GB"/>
        </w:rPr>
        <w:t xml:space="preserve">Fratiglioni, L., &amp; Wang, H. X. </w:t>
      </w:r>
      <w:r>
        <w:rPr>
          <w:rFonts w:ascii="Times New Roman" w:hAnsi="Times New Roman" w:cs="Times New Roman"/>
          <w:sz w:val="28"/>
          <w:szCs w:val="28"/>
          <w:lang w:val="en-GB"/>
        </w:rPr>
        <w:t>(</w:t>
      </w:r>
      <w:r w:rsidRPr="00906160">
        <w:rPr>
          <w:rFonts w:ascii="Times New Roman" w:hAnsi="Times New Roman" w:cs="Times New Roman"/>
          <w:sz w:val="28"/>
          <w:szCs w:val="28"/>
          <w:lang w:val="en-GB"/>
        </w:rPr>
        <w:t>2007</w:t>
      </w:r>
      <w:r>
        <w:rPr>
          <w:rFonts w:ascii="Times New Roman" w:hAnsi="Times New Roman" w:cs="Times New Roman"/>
          <w:sz w:val="28"/>
          <w:szCs w:val="28"/>
          <w:lang w:val="en-GB"/>
        </w:rPr>
        <w:t>)</w:t>
      </w:r>
      <w:r w:rsidRPr="00906160">
        <w:rPr>
          <w:rFonts w:ascii="Times New Roman" w:hAnsi="Times New Roman" w:cs="Times New Roman"/>
          <w:sz w:val="28"/>
          <w:szCs w:val="28"/>
          <w:lang w:val="en-GB"/>
        </w:rPr>
        <w:t xml:space="preserve">. Brain reserve hypothesis in dementia. </w:t>
      </w:r>
      <w:r w:rsidRPr="00906160">
        <w:rPr>
          <w:rFonts w:ascii="Times New Roman" w:hAnsi="Times New Roman" w:cs="Times New Roman"/>
          <w:i/>
          <w:iCs/>
          <w:sz w:val="28"/>
          <w:szCs w:val="28"/>
          <w:lang w:val="en-GB"/>
        </w:rPr>
        <w:t>Journal of Alzheimer’s disease,</w:t>
      </w:r>
      <w:r w:rsidRPr="006E7650">
        <w:rPr>
          <w:rFonts w:ascii="Times New Roman" w:hAnsi="Times New Roman" w:cs="Times New Roman"/>
          <w:sz w:val="28"/>
          <w:szCs w:val="28"/>
          <w:lang w:val="en-GB"/>
        </w:rPr>
        <w:t xml:space="preserve"> 12(1), 11-22</w:t>
      </w:r>
      <w:r w:rsidRPr="00906160">
        <w:rPr>
          <w:rFonts w:ascii="Times New Roman" w:hAnsi="Times New Roman" w:cs="Times New Roman"/>
          <w:i/>
          <w:iCs/>
          <w:sz w:val="28"/>
          <w:szCs w:val="28"/>
          <w:lang w:val="en-GB"/>
        </w:rPr>
        <w:t xml:space="preserve">. </w:t>
      </w:r>
    </w:p>
    <w:p w14:paraId="64FD5168"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Fox, M., Meyer-Gerspach, A.C., Wendebourg, M.J., Gruber, M., Heinrich, H., Sauter, M., Woelnerhanssen, B., Koeberle, D., Juengling, F. (2019). Effect of cocoa on the brain and gut in healthy subjects: A randomised controlled trial. </w:t>
      </w:r>
      <w:r w:rsidRPr="00EC05C3">
        <w:rPr>
          <w:rFonts w:ascii="Times New Roman" w:hAnsi="Times New Roman" w:cs="Times New Roman"/>
          <w:i/>
          <w:iCs/>
          <w:sz w:val="28"/>
          <w:szCs w:val="28"/>
          <w:lang w:val="en-GB"/>
        </w:rPr>
        <w:t>Br. J. Nutr.</w:t>
      </w:r>
      <w:r>
        <w:rPr>
          <w:rFonts w:ascii="Times New Roman" w:hAnsi="Times New Roman" w:cs="Times New Roman"/>
          <w:sz w:val="28"/>
          <w:szCs w:val="28"/>
          <w:lang w:val="en-GB"/>
        </w:rPr>
        <w:t>121:654-661. Doi: 10.1017/s0007114518003689.</w:t>
      </w:r>
    </w:p>
    <w:p w14:paraId="6528EDDA"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Gao, X., Chen, H., Fung, T.T., Logroscino, G., Schwarzchild, M.A., Hu, F.B., Ascherio, (2007). A. Prospective study of dietary pattern and risk of </w:t>
      </w:r>
      <w:r>
        <w:rPr>
          <w:rFonts w:ascii="Times New Roman" w:hAnsi="Times New Roman" w:cs="Times New Roman"/>
          <w:sz w:val="28"/>
          <w:szCs w:val="28"/>
          <w:lang w:val="en-GB"/>
        </w:rPr>
        <w:lastRenderedPageBreak/>
        <w:t xml:space="preserve">Parkinson’s disease. </w:t>
      </w:r>
      <w:r w:rsidRPr="00442EA6">
        <w:rPr>
          <w:rFonts w:ascii="Times New Roman" w:hAnsi="Times New Roman" w:cs="Times New Roman"/>
          <w:i/>
          <w:iCs/>
          <w:sz w:val="28"/>
          <w:szCs w:val="28"/>
          <w:lang w:val="en-GB"/>
        </w:rPr>
        <w:t>Am. J. Clin. Nutr</w:t>
      </w:r>
      <w:r>
        <w:rPr>
          <w:rFonts w:ascii="Times New Roman" w:hAnsi="Times New Roman" w:cs="Times New Roman"/>
          <w:sz w:val="28"/>
          <w:szCs w:val="28"/>
          <w:lang w:val="en-GB"/>
        </w:rPr>
        <w:t>.86:1486-1494. doi: 10.1093/ajcn/86.5.1486.</w:t>
      </w:r>
    </w:p>
    <w:p w14:paraId="6E39B3B0" w14:textId="77777777" w:rsidR="00A45C9F" w:rsidRPr="00FA4AB3" w:rsidRDefault="00A45C9F" w:rsidP="00A45C9F">
      <w:pPr>
        <w:pStyle w:val="lead"/>
        <w:shd w:val="clear" w:color="auto" w:fill="FFFFFF"/>
        <w:spacing w:before="0" w:beforeAutospacing="0" w:after="300" w:afterAutospacing="0" w:line="480" w:lineRule="auto"/>
        <w:ind w:left="720" w:hanging="720"/>
        <w:rPr>
          <w:i/>
          <w:iCs/>
          <w:color w:val="333333"/>
          <w:sz w:val="28"/>
          <w:szCs w:val="28"/>
        </w:rPr>
      </w:pPr>
      <w:r w:rsidRPr="00EF05EC">
        <w:rPr>
          <w:sz w:val="28"/>
          <w:szCs w:val="28"/>
        </w:rPr>
        <w:t xml:space="preserve">Grant, S. (2022). The importance of Socialization for seniors and the risks of not socializing. </w:t>
      </w:r>
      <w:r w:rsidRPr="00FA4AB3">
        <w:rPr>
          <w:i/>
          <w:iCs/>
          <w:sz w:val="28"/>
          <w:szCs w:val="28"/>
        </w:rPr>
        <w:t xml:space="preserve">Greying with grace.  </w:t>
      </w:r>
    </w:p>
    <w:p w14:paraId="36AF4B91"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Health in Aging. (2019). HealthinAging.org.</w:t>
      </w:r>
    </w:p>
    <w:p w14:paraId="7DF2D16A"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Hu, N., Yu, J-T., Tan, L., Wang, Y-L., Sun, L., Tan, L. (2013). Nutrition, and the risk of alzheimer’s disease. </w:t>
      </w:r>
      <w:r w:rsidRPr="006345E5">
        <w:rPr>
          <w:rFonts w:ascii="Times New Roman" w:hAnsi="Times New Roman" w:cs="Times New Roman"/>
          <w:i/>
          <w:iCs/>
          <w:sz w:val="28"/>
          <w:szCs w:val="28"/>
          <w:lang w:val="en-GB"/>
        </w:rPr>
        <w:t>Biomed Res. Int.</w:t>
      </w:r>
      <w:r>
        <w:rPr>
          <w:rFonts w:ascii="Times New Roman" w:hAnsi="Times New Roman" w:cs="Times New Roman"/>
          <w:sz w:val="28"/>
          <w:szCs w:val="28"/>
          <w:lang w:val="en-GB"/>
        </w:rPr>
        <w:t xml:space="preserve"> 2013;2013;1-12. Doi: 10.1155/524820.</w:t>
      </w:r>
    </w:p>
    <w:p w14:paraId="6758C43E"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Huat, T.J., Camats-Perna, J., Newcombe, E.A., Valmas, N., Kitazawa, M., Medeiros, R. (2019). Metal toxicity links to alzheimer’s disease and neuroinflammation</w:t>
      </w:r>
      <w:r w:rsidRPr="007B3BC8">
        <w:rPr>
          <w:rFonts w:ascii="Times New Roman" w:hAnsi="Times New Roman" w:cs="Times New Roman"/>
          <w:i/>
          <w:iCs/>
          <w:sz w:val="28"/>
          <w:szCs w:val="28"/>
          <w:lang w:val="en-GB"/>
        </w:rPr>
        <w:t>. J. Mol. Biol.</w:t>
      </w:r>
      <w:r>
        <w:rPr>
          <w:rFonts w:ascii="Times New Roman" w:hAnsi="Times New Roman" w:cs="Times New Roman"/>
          <w:sz w:val="28"/>
          <w:szCs w:val="28"/>
          <w:lang w:val="en-GB"/>
        </w:rPr>
        <w:t xml:space="preserve"> 431:1843-1868. Doi: 10.1016/j.jmb.01.018.</w:t>
      </w:r>
    </w:p>
    <w:p w14:paraId="536D7EBA"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Jennings, A., Cunnane, S.C., Minihane, A.M. (2020). Can nutrition support healthy cognitive ageing and reduce dementia risk? </w:t>
      </w:r>
      <w:r w:rsidRPr="004E106A">
        <w:rPr>
          <w:rFonts w:ascii="Times New Roman" w:hAnsi="Times New Roman" w:cs="Times New Roman"/>
          <w:i/>
          <w:iCs/>
          <w:sz w:val="28"/>
          <w:szCs w:val="28"/>
          <w:lang w:val="en-GB"/>
        </w:rPr>
        <w:t>BMJ.</w:t>
      </w:r>
      <w:r>
        <w:rPr>
          <w:rFonts w:ascii="Times New Roman" w:hAnsi="Times New Roman" w:cs="Times New Roman"/>
          <w:sz w:val="28"/>
          <w:szCs w:val="28"/>
          <w:lang w:val="en-GB"/>
        </w:rPr>
        <w:t>369:m2269. Doi: 10.1136/bmj.m2269.</w:t>
      </w:r>
    </w:p>
    <w:p w14:paraId="2AA3773E"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Laye, S., Nadjar, A., Joffre, C., Bazinet, R.P. (2018). Anti-inflammatory effects of Omega-3 fatty acids in the brain: Physiological mechanisms and relevance to pharmacology</w:t>
      </w:r>
      <w:r w:rsidRPr="00060192">
        <w:rPr>
          <w:rFonts w:ascii="Times New Roman" w:hAnsi="Times New Roman" w:cs="Times New Roman"/>
          <w:i/>
          <w:iCs/>
          <w:sz w:val="28"/>
          <w:szCs w:val="28"/>
          <w:lang w:val="en-GB"/>
        </w:rPr>
        <w:t>. Pharmacol. Rev</w:t>
      </w:r>
      <w:r>
        <w:rPr>
          <w:rFonts w:ascii="Times New Roman" w:hAnsi="Times New Roman" w:cs="Times New Roman"/>
          <w:sz w:val="28"/>
          <w:szCs w:val="28"/>
          <w:lang w:val="en-GB"/>
        </w:rPr>
        <w:t>.70:12-38. Doi: 10.1124/pr.117.014092.</w:t>
      </w:r>
    </w:p>
    <w:p w14:paraId="5C225EE9"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lastRenderedPageBreak/>
        <w:t>Lehtisalo, J., Levalahti, E., Lindstrom, J., Hanninen, T., Paajanen, T., Peltonen, M., Antikainen, R., Laatikainen, T., Strandberg, T., Soininen, H., Tuomilehto, J.,Kivipelto,M.,Ngandu,T. (2019). Dietary changes and cognition over 2 years within a multidomain intervention trial.- The Finnish geriatric intervention study to prevent cognitive impairment and disability (FINGER).</w:t>
      </w:r>
      <w:r w:rsidRPr="00EA4B8A">
        <w:rPr>
          <w:rFonts w:ascii="Times New Roman" w:hAnsi="Times New Roman" w:cs="Times New Roman"/>
          <w:i/>
          <w:iCs/>
          <w:sz w:val="28"/>
          <w:szCs w:val="28"/>
          <w:lang w:val="en-GB"/>
        </w:rPr>
        <w:t xml:space="preserve"> Alzheimer’s Dementia.</w:t>
      </w:r>
      <w:r>
        <w:rPr>
          <w:rFonts w:ascii="Times New Roman" w:hAnsi="Times New Roman" w:cs="Times New Roman"/>
          <w:sz w:val="28"/>
          <w:szCs w:val="28"/>
          <w:lang w:val="en-GB"/>
        </w:rPr>
        <w:t>15:410-417. Doi: 10.1016/j.jalz.2018.10.001.</w:t>
      </w:r>
    </w:p>
    <w:p w14:paraId="2DA0053C"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Lopes Da Silva, S., Vellas, B., Elemans, S., Luchsinger, J., Kamphuis, P., Yaffe, K., Sijben, J., Groenendijk, M., Stijnen, T. (2014). Plasma nutrient status of patients with alzheimer’s disease: Systematic reviews and meta-analysis. </w:t>
      </w:r>
      <w:r w:rsidRPr="001017F2">
        <w:rPr>
          <w:rFonts w:ascii="Times New Roman" w:hAnsi="Times New Roman" w:cs="Times New Roman"/>
          <w:i/>
          <w:iCs/>
          <w:sz w:val="28"/>
          <w:szCs w:val="28"/>
          <w:lang w:val="en-GB"/>
        </w:rPr>
        <w:t>Alzheimer’s Dementia.</w:t>
      </w:r>
      <w:r>
        <w:rPr>
          <w:rFonts w:ascii="Times New Roman" w:hAnsi="Times New Roman" w:cs="Times New Roman"/>
          <w:sz w:val="28"/>
          <w:szCs w:val="28"/>
          <w:lang w:val="en-GB"/>
        </w:rPr>
        <w:t>10:484-502. Doi: 10.1016/j.jalz.2013.05.1771.</w:t>
      </w:r>
    </w:p>
    <w:p w14:paraId="6EF59A8C"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Mannheim, I., Schwartz, E., Xi, W., Buttigieg, S. C., McDonnell-Naughton, M., Wouters, E., Van Zaalen, Y. (2019). Inclusion of Older adults in the Research and Design of Digital Technology. </w:t>
      </w:r>
      <w:r w:rsidRPr="00FA4AB3">
        <w:rPr>
          <w:i/>
          <w:iCs/>
          <w:color w:val="333333"/>
          <w:sz w:val="28"/>
          <w:szCs w:val="28"/>
        </w:rPr>
        <w:t xml:space="preserve">Int. J Environ. Res. Public Health. </w:t>
      </w:r>
      <w:r>
        <w:rPr>
          <w:color w:val="333333"/>
          <w:sz w:val="28"/>
          <w:szCs w:val="28"/>
        </w:rPr>
        <w:t xml:space="preserve">16, 3718  </w:t>
      </w:r>
    </w:p>
    <w:p w14:paraId="5F36DF33"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Martins, A.C., Morcillo, P., Ijomone .O.M., Venkataramani, V., Harrison, F.E., Lee, E., Bowman, A.B., Aschner, M. (2019). New insights on the role of manganese in alzheimer’s disease and parkinson’s disease. </w:t>
      </w:r>
      <w:r w:rsidRPr="00991797">
        <w:rPr>
          <w:rFonts w:ascii="Times New Roman" w:hAnsi="Times New Roman" w:cs="Times New Roman"/>
          <w:i/>
          <w:iCs/>
          <w:sz w:val="28"/>
          <w:szCs w:val="28"/>
          <w:lang w:val="en-GB"/>
        </w:rPr>
        <w:t>Int. J., Environment. Res. Public Health</w:t>
      </w:r>
      <w:r>
        <w:rPr>
          <w:rFonts w:ascii="Times New Roman" w:hAnsi="Times New Roman" w:cs="Times New Roman"/>
          <w:sz w:val="28"/>
          <w:szCs w:val="28"/>
          <w:lang w:val="en-GB"/>
        </w:rPr>
        <w:t>. 16:3546. Doi: 10.3390/ijerph16193546.</w:t>
      </w:r>
    </w:p>
    <w:p w14:paraId="571D888F"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lastRenderedPageBreak/>
        <w:t xml:space="preserve">Mokhber, N., Shariatzadeh, A., Avan, A., Saber, H., Babaei, S.B., Chaimowitz, G., Azarpazhooh, M.R. (2021). Cerebral blood flow changes during ageing process and in cognitive disorders: A review. </w:t>
      </w:r>
      <w:r w:rsidRPr="00115C73">
        <w:rPr>
          <w:i/>
          <w:iCs/>
          <w:color w:val="333333"/>
          <w:sz w:val="28"/>
          <w:szCs w:val="28"/>
        </w:rPr>
        <w:t>The Neuroradiology Journal.</w:t>
      </w:r>
      <w:r>
        <w:rPr>
          <w:color w:val="333333"/>
          <w:sz w:val="28"/>
          <w:szCs w:val="28"/>
        </w:rPr>
        <w:t xml:space="preserve"> Volume 34, issue 4/300-307 </w:t>
      </w:r>
      <w:hyperlink r:id="rId10" w:history="1">
        <w:r w:rsidRPr="00D17723">
          <w:rPr>
            <w:rStyle w:val="Hyperlink"/>
            <w:sz w:val="28"/>
            <w:szCs w:val="28"/>
          </w:rPr>
          <w:t>https://doi/10.1177/19714009211002778</w:t>
        </w:r>
      </w:hyperlink>
    </w:p>
    <w:p w14:paraId="230CB868"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Mulliner, E., Riley, M.L., Maliene, V. (2020). Older People’s Preferences for Housing and Environment Characteristics. </w:t>
      </w:r>
      <w:r w:rsidRPr="00DC17CE">
        <w:rPr>
          <w:i/>
          <w:iCs/>
          <w:color w:val="333333"/>
          <w:sz w:val="28"/>
          <w:szCs w:val="28"/>
        </w:rPr>
        <w:t>Sustainability.</w:t>
      </w:r>
      <w:r>
        <w:rPr>
          <w:color w:val="333333"/>
          <w:sz w:val="28"/>
          <w:szCs w:val="28"/>
        </w:rPr>
        <w:t xml:space="preserve"> 12(14). ISSN 2071-1050</w:t>
      </w:r>
    </w:p>
    <w:p w14:paraId="3A0B3B2F"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Ngandu, T., Lehtisalo, J., Solomon, A., Levalahti, E., Ahiluoto, S., Antikainen, R., Backman, L., Hanninen, T., Jula, A., Laatikainen, T., Lindstrom, J., Mangialasasche, F., Paajanen, T., Pajala, S., Peltonen, M., Rauramaa, R.,  Stigsdotter-Neely, A., Strandberyg, T., Tuomilehto, J., Soininen, H., Kivipelto, M. (2015). A 2-year multidomain intervention of diet, exercise, cognitive training, and vascular risk monitoring versus control to prevent cognitive decline in at-risk elderly people (FINGER): A randomised controlled trial. </w:t>
      </w:r>
      <w:r w:rsidRPr="00602E1D">
        <w:rPr>
          <w:rFonts w:ascii="Times New Roman" w:hAnsi="Times New Roman" w:cs="Times New Roman"/>
          <w:i/>
          <w:iCs/>
          <w:sz w:val="28"/>
          <w:szCs w:val="28"/>
          <w:lang w:val="en-GB"/>
        </w:rPr>
        <w:t>Lancet.</w:t>
      </w:r>
      <w:r>
        <w:rPr>
          <w:rFonts w:ascii="Times New Roman" w:hAnsi="Times New Roman" w:cs="Times New Roman"/>
          <w:sz w:val="28"/>
          <w:szCs w:val="28"/>
          <w:lang w:val="en-GB"/>
        </w:rPr>
        <w:t>385:2255-2263. Doi: 10.1016/S0140-6736(15)60461-5.</w:t>
      </w:r>
    </w:p>
    <w:p w14:paraId="5BEA45E6"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NHS.UK. (2020). How to get a dementia diagnosis. </w:t>
      </w:r>
      <w:r w:rsidRPr="00CD1C6B">
        <w:rPr>
          <w:i/>
          <w:iCs/>
          <w:color w:val="333333"/>
          <w:sz w:val="28"/>
          <w:szCs w:val="28"/>
        </w:rPr>
        <w:t>Dementia Guide</w:t>
      </w:r>
    </w:p>
    <w:p w14:paraId="458881DD"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NHS. UK. (2022). Keeping weight up in later life</w:t>
      </w:r>
    </w:p>
    <w:p w14:paraId="20EAD80C"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lastRenderedPageBreak/>
        <w:t>Nilsson, I., Lofgren, B., Fisher, A.G., Bernspang, B. (2006) Focus on Leisure Repertoire in the Oldest Old. The Umea 85plus study</w:t>
      </w:r>
      <w:r w:rsidRPr="00056798">
        <w:rPr>
          <w:i/>
          <w:iCs/>
          <w:color w:val="333333"/>
          <w:sz w:val="28"/>
          <w:szCs w:val="28"/>
        </w:rPr>
        <w:t>. J. appl. Gerontal</w:t>
      </w:r>
      <w:r>
        <w:rPr>
          <w:color w:val="333333"/>
          <w:sz w:val="28"/>
          <w:szCs w:val="28"/>
        </w:rPr>
        <w:t>. 25, 391-405</w:t>
      </w:r>
    </w:p>
    <w:p w14:paraId="6C6F1940"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Nygard, L. (2008). The meaning of everyday technology is experienced by people with dementia who live alone</w:t>
      </w:r>
      <w:r w:rsidRPr="00EA2AE2">
        <w:rPr>
          <w:i/>
          <w:iCs/>
          <w:color w:val="333333"/>
          <w:sz w:val="28"/>
          <w:szCs w:val="28"/>
        </w:rPr>
        <w:t>. Dementia</w:t>
      </w:r>
      <w:r>
        <w:rPr>
          <w:color w:val="333333"/>
          <w:sz w:val="28"/>
          <w:szCs w:val="28"/>
        </w:rPr>
        <w:t>. 7, 481-502</w:t>
      </w:r>
    </w:p>
    <w:p w14:paraId="7D28A4BB"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Nygard, l., Rosenburg, l., Kottorp, A. (2016).User’s manual Everyday Technology Use Questionnaire (ETUQ) Everyday Technology in Activities at Home and in Society. </w:t>
      </w:r>
      <w:r w:rsidRPr="00DC3093">
        <w:rPr>
          <w:i/>
          <w:iCs/>
          <w:color w:val="333333"/>
          <w:sz w:val="28"/>
          <w:szCs w:val="28"/>
        </w:rPr>
        <w:t>Technical Report, Karolinska Institute: Stockholm, Sweden,</w:t>
      </w:r>
      <w:r>
        <w:rPr>
          <w:color w:val="333333"/>
          <w:sz w:val="28"/>
          <w:szCs w:val="28"/>
        </w:rPr>
        <w:t xml:space="preserve"> 1-31</w:t>
      </w:r>
    </w:p>
    <w:p w14:paraId="1B449D23"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Patterson, C. (2018). World Alzheimer Report 2018. </w:t>
      </w:r>
      <w:r w:rsidRPr="00720EB5">
        <w:rPr>
          <w:rFonts w:ascii="Times New Roman" w:hAnsi="Times New Roman" w:cs="Times New Roman"/>
          <w:sz w:val="28"/>
          <w:szCs w:val="28"/>
          <w:lang w:val="en-GB"/>
        </w:rPr>
        <w:t>Volume 2. Alzheimer’s Disease International; London, UK:</w:t>
      </w:r>
    </w:p>
    <w:p w14:paraId="324CFD4A"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Pedditzi, E., Peters, R., Beckett, N. (2016).The risk of overweight/obesity in mid-life and late life for the development of dementia: A systematic review and meta-analysis of longitudinal studies</w:t>
      </w:r>
      <w:r w:rsidRPr="00E91575">
        <w:rPr>
          <w:rFonts w:ascii="Times New Roman" w:hAnsi="Times New Roman" w:cs="Times New Roman"/>
          <w:i/>
          <w:iCs/>
          <w:sz w:val="28"/>
          <w:szCs w:val="28"/>
          <w:lang w:val="en-GB"/>
        </w:rPr>
        <w:t>. Age Ageing</w:t>
      </w:r>
      <w:r>
        <w:rPr>
          <w:rFonts w:ascii="Times New Roman" w:hAnsi="Times New Roman" w:cs="Times New Roman"/>
          <w:sz w:val="28"/>
          <w:szCs w:val="28"/>
          <w:lang w:val="en-GB"/>
        </w:rPr>
        <w:t>.45:14-21. Doi: 10.1093/ageing/afv151.</w:t>
      </w:r>
    </w:p>
    <w:p w14:paraId="4E9DD4DA"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Peters, R. (2006). Ageing and the brain</w:t>
      </w:r>
      <w:r w:rsidRPr="00F673EC">
        <w:rPr>
          <w:i/>
          <w:iCs/>
          <w:color w:val="333333"/>
          <w:sz w:val="28"/>
          <w:szCs w:val="28"/>
        </w:rPr>
        <w:t>. Postgraduate Medical Journal</w:t>
      </w:r>
      <w:r>
        <w:rPr>
          <w:color w:val="333333"/>
          <w:sz w:val="28"/>
          <w:szCs w:val="28"/>
        </w:rPr>
        <w:t>. 82,84-88. Doi: 10.1136/pgmj.2005.036665</w:t>
      </w:r>
    </w:p>
    <w:p w14:paraId="17FB884A"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lastRenderedPageBreak/>
        <w:t xml:space="preserve">Pifferi, F., Cunnane, S.C., Guesnet, P. (2010). Evidence of the role of Omega-3 polyunsaturated fatty acids in brain glucose metabolism. </w:t>
      </w:r>
      <w:r w:rsidRPr="00E91575">
        <w:rPr>
          <w:rFonts w:ascii="Times New Roman" w:hAnsi="Times New Roman" w:cs="Times New Roman"/>
          <w:sz w:val="28"/>
          <w:szCs w:val="28"/>
          <w:lang w:val="en-GB"/>
        </w:rPr>
        <w:t>Nutrients.</w:t>
      </w:r>
      <w:r>
        <w:rPr>
          <w:rFonts w:ascii="Times New Roman" w:hAnsi="Times New Roman" w:cs="Times New Roman"/>
          <w:sz w:val="28"/>
          <w:szCs w:val="28"/>
          <w:lang w:val="en-GB"/>
        </w:rPr>
        <w:t xml:space="preserve"> 2020;12:1382. Doi: 10.3390/nu12051382.</w:t>
      </w:r>
    </w:p>
    <w:p w14:paraId="27A8313D"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Pinto-Bruno, A.C., Garcia-Casal, A., Cspike, E., Jenaro, C., Franco-Martin, M.A. (2016). ICT-based applications to improve social health and social participation in older adults with dementia. A systematic literature review. </w:t>
      </w:r>
      <w:r w:rsidRPr="00D53373">
        <w:rPr>
          <w:i/>
          <w:iCs/>
          <w:color w:val="333333"/>
          <w:sz w:val="28"/>
          <w:szCs w:val="28"/>
        </w:rPr>
        <w:t>Ageing Mental Health.</w:t>
      </w:r>
      <w:r>
        <w:rPr>
          <w:color w:val="333333"/>
          <w:sz w:val="28"/>
          <w:szCs w:val="28"/>
        </w:rPr>
        <w:t xml:space="preserve"> 21, 58-65</w:t>
      </w:r>
    </w:p>
    <w:p w14:paraId="7A75A708"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Prasanth, M.L., Sivamaruthi, B.S., Chaiyasut, C., Tencomnao, T. (2019). A review of the role of green tea (Camellia Sinensis) in antiphotoaging, stress resistance, neuroprotection, and autophagy. </w:t>
      </w:r>
      <w:r w:rsidRPr="0066341D">
        <w:rPr>
          <w:rFonts w:ascii="Times New Roman" w:hAnsi="Times New Roman" w:cs="Times New Roman"/>
          <w:i/>
          <w:iCs/>
          <w:sz w:val="28"/>
          <w:szCs w:val="28"/>
          <w:lang w:val="en-GB"/>
        </w:rPr>
        <w:t>Nutrients.</w:t>
      </w:r>
      <w:r>
        <w:rPr>
          <w:rFonts w:ascii="Times New Roman" w:hAnsi="Times New Roman" w:cs="Times New Roman"/>
          <w:sz w:val="28"/>
          <w:szCs w:val="28"/>
          <w:lang w:val="en-GB"/>
        </w:rPr>
        <w:t>11:474. Doi: 10.3390/nu11020474.</w:t>
      </w:r>
    </w:p>
    <w:p w14:paraId="0E95CEC0"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Profenno, L.A., Porsteinsson, A.P., Faraone, S.V. (2010). Meta-analysis of alzheimer’s disease risk with obesity. Diabetes and related disorders. </w:t>
      </w:r>
      <w:r w:rsidRPr="00AA4E1D">
        <w:rPr>
          <w:rFonts w:ascii="Times New Roman" w:hAnsi="Times New Roman" w:cs="Times New Roman"/>
          <w:i/>
          <w:iCs/>
          <w:sz w:val="28"/>
          <w:szCs w:val="28"/>
          <w:lang w:val="en-GB"/>
        </w:rPr>
        <w:t>Biol.Psychiatry</w:t>
      </w:r>
      <w:r>
        <w:rPr>
          <w:rFonts w:ascii="Times New Roman" w:hAnsi="Times New Roman" w:cs="Times New Roman"/>
          <w:sz w:val="28"/>
          <w:szCs w:val="28"/>
          <w:lang w:val="en-GB"/>
        </w:rPr>
        <w:t>. 2010;67:505-512. Doi: 10,1016/j.biopsych.2009.02.013.</w:t>
      </w:r>
    </w:p>
    <w:p w14:paraId="24296482"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Robins, L., Jansons, P., Haines, T. (2016). The Impact of Physical Activity Interventions on Social Isolation Among Community-Dwelling Older Adults: A Systematic Review. Research and Reviews</w:t>
      </w:r>
      <w:r w:rsidRPr="00D67676">
        <w:rPr>
          <w:i/>
          <w:iCs/>
          <w:color w:val="333333"/>
          <w:sz w:val="28"/>
          <w:szCs w:val="28"/>
        </w:rPr>
        <w:t>: Journal of \nursing and Health Sciences</w:t>
      </w:r>
      <w:r>
        <w:rPr>
          <w:color w:val="333333"/>
          <w:sz w:val="28"/>
          <w:szCs w:val="28"/>
        </w:rPr>
        <w:t xml:space="preserve">. 2(1):62-71. </w:t>
      </w:r>
    </w:p>
    <w:p w14:paraId="63019103"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lastRenderedPageBreak/>
        <w:t>Samieri, C. (2018). Epidemiology and risk factors of alzheimer’s disease: Biomarkers for Preclinical Alzheimer’s Disease</w:t>
      </w:r>
      <w:r w:rsidRPr="004C4579">
        <w:rPr>
          <w:rFonts w:ascii="Times New Roman" w:hAnsi="Times New Roman" w:cs="Times New Roman"/>
          <w:i/>
          <w:iCs/>
          <w:sz w:val="28"/>
          <w:szCs w:val="28"/>
          <w:lang w:val="en-GB"/>
        </w:rPr>
        <w:t>. Humana Press; New York, NY,USA. A focus on diet</w:t>
      </w:r>
      <w:r>
        <w:rPr>
          <w:rFonts w:ascii="Times New Roman" w:hAnsi="Times New Roman" w:cs="Times New Roman"/>
          <w:sz w:val="28"/>
          <w:szCs w:val="28"/>
          <w:lang w:val="en-GB"/>
        </w:rPr>
        <w:t>; pp. 15-42.</w:t>
      </w:r>
    </w:p>
    <w:p w14:paraId="4E250C5C"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Scarmeas, N., Stern, Y., Mayeux, R., Manly, J.J., Schupf, N., Luchsinger, J.A. (2009). Mediterranean diet and mild cognitive impairment. </w:t>
      </w:r>
      <w:r w:rsidRPr="001725AD">
        <w:rPr>
          <w:rFonts w:ascii="Times New Roman" w:hAnsi="Times New Roman" w:cs="Times New Roman"/>
          <w:i/>
          <w:iCs/>
          <w:sz w:val="28"/>
          <w:szCs w:val="28"/>
          <w:lang w:val="en-GB"/>
        </w:rPr>
        <w:t>Arch. Neurol.</w:t>
      </w:r>
      <w:r>
        <w:rPr>
          <w:rFonts w:ascii="Times New Roman" w:hAnsi="Times New Roman" w:cs="Times New Roman"/>
          <w:sz w:val="28"/>
          <w:szCs w:val="28"/>
          <w:lang w:val="en-GB"/>
        </w:rPr>
        <w:t xml:space="preserve"> 66:216-225. Doi:10.1001/archneurol.2008.536.</w:t>
      </w:r>
    </w:p>
    <w:p w14:paraId="7E581151"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Scarmeas, N., Anastasiou, C.A., Yannakoulia, M. (2018). Nutrition and prevention of cognitive impairment. </w:t>
      </w:r>
      <w:r w:rsidRPr="001725AD">
        <w:rPr>
          <w:rFonts w:ascii="Times New Roman" w:hAnsi="Times New Roman" w:cs="Times New Roman"/>
          <w:i/>
          <w:iCs/>
          <w:sz w:val="28"/>
          <w:szCs w:val="28"/>
          <w:lang w:val="en-GB"/>
        </w:rPr>
        <w:t>Lancet Neurol.</w:t>
      </w:r>
      <w:r>
        <w:rPr>
          <w:rFonts w:ascii="Times New Roman" w:hAnsi="Times New Roman" w:cs="Times New Roman"/>
          <w:sz w:val="28"/>
          <w:szCs w:val="28"/>
          <w:lang w:val="en-GB"/>
        </w:rPr>
        <w:t xml:space="preserve"> 2018;17:1006-1015. Doi: 10.1016/S1474-4422(18)30338-7.</w:t>
      </w:r>
    </w:p>
    <w:p w14:paraId="139D3FD9"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Sensi, S.L., Granzotto, A., Siotto, M., Squitti, R. (2018) Copper and Zinc dysregulation in alzheimer’s disease. </w:t>
      </w:r>
      <w:r w:rsidRPr="001666A6">
        <w:rPr>
          <w:rFonts w:ascii="Times New Roman" w:hAnsi="Times New Roman" w:cs="Times New Roman"/>
          <w:i/>
          <w:iCs/>
          <w:sz w:val="28"/>
          <w:szCs w:val="28"/>
          <w:lang w:val="en-GB"/>
        </w:rPr>
        <w:t>Trends Pharmacol</w:t>
      </w:r>
      <w:r>
        <w:rPr>
          <w:rFonts w:ascii="Times New Roman" w:hAnsi="Times New Roman" w:cs="Times New Roman"/>
          <w:i/>
          <w:iCs/>
          <w:sz w:val="28"/>
          <w:szCs w:val="28"/>
          <w:lang w:val="en-GB"/>
        </w:rPr>
        <w:t>ogy</w:t>
      </w:r>
      <w:r w:rsidRPr="001666A6">
        <w:rPr>
          <w:rFonts w:ascii="Times New Roman" w:hAnsi="Times New Roman" w:cs="Times New Roman"/>
          <w:i/>
          <w:iCs/>
          <w:sz w:val="28"/>
          <w:szCs w:val="28"/>
          <w:lang w:val="en-GB"/>
        </w:rPr>
        <w:t>. Sci</w:t>
      </w:r>
      <w:r>
        <w:rPr>
          <w:rFonts w:ascii="Times New Roman" w:hAnsi="Times New Roman" w:cs="Times New Roman"/>
          <w:i/>
          <w:iCs/>
          <w:sz w:val="28"/>
          <w:szCs w:val="28"/>
          <w:lang w:val="en-GB"/>
        </w:rPr>
        <w:t>ence</w:t>
      </w:r>
      <w:r>
        <w:rPr>
          <w:rFonts w:ascii="Times New Roman" w:hAnsi="Times New Roman" w:cs="Times New Roman"/>
          <w:sz w:val="28"/>
          <w:szCs w:val="28"/>
          <w:lang w:val="en-GB"/>
        </w:rPr>
        <w:t>. 39:1049-1063. Doi: 10.1016/j.tips.10.001</w:t>
      </w:r>
    </w:p>
    <w:p w14:paraId="12A71F35"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carmeas, N., Anastasiou, C.A., Yannakoulia, M. (2018). Nutrition and prevention of cognitive impairment. </w:t>
      </w:r>
      <w:r w:rsidRPr="001725AD">
        <w:rPr>
          <w:rFonts w:ascii="Times New Roman" w:hAnsi="Times New Roman" w:cs="Times New Roman"/>
          <w:i/>
          <w:iCs/>
          <w:sz w:val="28"/>
          <w:szCs w:val="28"/>
          <w:lang w:val="en-GB"/>
        </w:rPr>
        <w:t>Lancet Neurol.</w:t>
      </w:r>
      <w:r>
        <w:rPr>
          <w:rFonts w:ascii="Times New Roman" w:hAnsi="Times New Roman" w:cs="Times New Roman"/>
          <w:sz w:val="28"/>
          <w:szCs w:val="28"/>
          <w:lang w:val="en-GB"/>
        </w:rPr>
        <w:t>17:1006-1015. Doi: 10.1016/S1474-4422(18)30338-7.</w:t>
      </w:r>
    </w:p>
    <w:p w14:paraId="3064F0A6"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sz w:val="28"/>
          <w:szCs w:val="28"/>
        </w:rPr>
        <w:t xml:space="preserve">Sensi, S.L., Granzotto, A., Siotto, M., Squitti, R. (2018) Copper and Zinc dysregulation in alzheimer’s disease. </w:t>
      </w:r>
      <w:r w:rsidRPr="001666A6">
        <w:rPr>
          <w:i/>
          <w:iCs/>
          <w:sz w:val="28"/>
          <w:szCs w:val="28"/>
        </w:rPr>
        <w:t>Trends Pharmacol</w:t>
      </w:r>
      <w:r>
        <w:rPr>
          <w:i/>
          <w:iCs/>
          <w:sz w:val="28"/>
          <w:szCs w:val="28"/>
        </w:rPr>
        <w:t>ogy</w:t>
      </w:r>
      <w:r w:rsidRPr="001666A6">
        <w:rPr>
          <w:i/>
          <w:iCs/>
          <w:sz w:val="28"/>
          <w:szCs w:val="28"/>
        </w:rPr>
        <w:t>. Sci</w:t>
      </w:r>
      <w:r>
        <w:rPr>
          <w:i/>
          <w:iCs/>
          <w:sz w:val="28"/>
          <w:szCs w:val="28"/>
        </w:rPr>
        <w:t>ence</w:t>
      </w:r>
      <w:r>
        <w:rPr>
          <w:sz w:val="28"/>
          <w:szCs w:val="28"/>
        </w:rPr>
        <w:t>. 39:1049-1063. Doi: 10.1016/j.tips.2018.10.001.</w:t>
      </w:r>
    </w:p>
    <w:p w14:paraId="2B70D338"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Shvedko, A., Whittaker, A.C., Thompson, J.L., Greig, C.A. Physical activity interventions for treatment of social isolation, loneliness, or low social </w:t>
      </w:r>
      <w:r>
        <w:rPr>
          <w:color w:val="333333"/>
          <w:sz w:val="28"/>
          <w:szCs w:val="28"/>
        </w:rPr>
        <w:lastRenderedPageBreak/>
        <w:t xml:space="preserve">support in older adults: </w:t>
      </w:r>
      <w:r w:rsidRPr="005B4CBA">
        <w:rPr>
          <w:i/>
          <w:iCs/>
          <w:color w:val="333333"/>
          <w:sz w:val="28"/>
          <w:szCs w:val="28"/>
        </w:rPr>
        <w:t>A systematic review and meta-</w:t>
      </w:r>
      <w:r>
        <w:rPr>
          <w:i/>
          <w:iCs/>
          <w:color w:val="333333"/>
          <w:sz w:val="28"/>
          <w:szCs w:val="28"/>
        </w:rPr>
        <w:t>analysis</w:t>
      </w:r>
      <w:r w:rsidRPr="005B4CBA">
        <w:rPr>
          <w:i/>
          <w:iCs/>
          <w:color w:val="333333"/>
          <w:sz w:val="28"/>
          <w:szCs w:val="28"/>
        </w:rPr>
        <w:t xml:space="preserve"> of randomised controlled </w:t>
      </w:r>
      <w:r>
        <w:rPr>
          <w:i/>
          <w:iCs/>
          <w:color w:val="333333"/>
          <w:sz w:val="28"/>
          <w:szCs w:val="28"/>
        </w:rPr>
        <w:t>trials</w:t>
      </w:r>
      <w:r w:rsidRPr="005B4CBA">
        <w:rPr>
          <w:i/>
          <w:iCs/>
          <w:color w:val="333333"/>
          <w:sz w:val="28"/>
          <w:szCs w:val="28"/>
        </w:rPr>
        <w:t xml:space="preserve">. </w:t>
      </w:r>
      <w:r>
        <w:rPr>
          <w:i/>
          <w:iCs/>
          <w:color w:val="333333"/>
          <w:sz w:val="28"/>
          <w:szCs w:val="28"/>
        </w:rPr>
        <w:t>Psychology</w:t>
      </w:r>
      <w:r w:rsidRPr="005B4CBA">
        <w:rPr>
          <w:i/>
          <w:iCs/>
          <w:color w:val="333333"/>
          <w:sz w:val="28"/>
          <w:szCs w:val="28"/>
        </w:rPr>
        <w:t xml:space="preserve"> </w:t>
      </w:r>
      <w:r>
        <w:rPr>
          <w:i/>
          <w:iCs/>
          <w:color w:val="333333"/>
          <w:sz w:val="28"/>
          <w:szCs w:val="28"/>
        </w:rPr>
        <w:t>Sports</w:t>
      </w:r>
      <w:r w:rsidRPr="005B4CBA">
        <w:rPr>
          <w:i/>
          <w:iCs/>
          <w:color w:val="333333"/>
          <w:sz w:val="28"/>
          <w:szCs w:val="28"/>
        </w:rPr>
        <w:t xml:space="preserve"> Exercise.</w:t>
      </w:r>
      <w:r>
        <w:rPr>
          <w:color w:val="333333"/>
          <w:sz w:val="28"/>
          <w:szCs w:val="28"/>
        </w:rPr>
        <w:t xml:space="preserve"> 2018;128-37</w:t>
      </w:r>
    </w:p>
    <w:p w14:paraId="2263C6B0" w14:textId="77777777" w:rsidR="00A45C9F" w:rsidRPr="005B4CBA" w:rsidRDefault="00A45C9F" w:rsidP="00A45C9F">
      <w:pPr>
        <w:pStyle w:val="lead"/>
        <w:shd w:val="clear" w:color="auto" w:fill="FFFFFF"/>
        <w:spacing w:before="0" w:beforeAutospacing="0" w:after="300" w:afterAutospacing="0" w:line="480" w:lineRule="auto"/>
        <w:ind w:left="720" w:hanging="720"/>
        <w:rPr>
          <w:i/>
          <w:iCs/>
          <w:color w:val="333333"/>
          <w:sz w:val="28"/>
          <w:szCs w:val="28"/>
        </w:rPr>
      </w:pPr>
      <w:r>
        <w:rPr>
          <w:color w:val="333333"/>
          <w:sz w:val="28"/>
          <w:szCs w:val="28"/>
        </w:rPr>
        <w:t xml:space="preserve">Sixsmith, A., Horst, B.R., Mihailidis, A. (2022). Older people’s Use of Digital Technology during the Covid-19 Pandemic. </w:t>
      </w:r>
      <w:r w:rsidRPr="005B4CBA">
        <w:rPr>
          <w:i/>
          <w:iCs/>
          <w:color w:val="333333"/>
          <w:sz w:val="28"/>
          <w:szCs w:val="28"/>
        </w:rPr>
        <w:t xml:space="preserve">Bulletin of Science, Technology and Society. </w:t>
      </w:r>
    </w:p>
    <w:p w14:paraId="68CA2261"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Socci, V., Tempesta, D., Desideria, G., De Gennaro, L., Ferrara, M. (2017) Enhancing human cognition with cocoa flavonoids. </w:t>
      </w:r>
      <w:r w:rsidRPr="00FB70AF">
        <w:rPr>
          <w:rFonts w:ascii="Times New Roman" w:hAnsi="Times New Roman" w:cs="Times New Roman"/>
          <w:i/>
          <w:iCs/>
          <w:sz w:val="28"/>
          <w:szCs w:val="28"/>
          <w:lang w:val="en-GB"/>
        </w:rPr>
        <w:t>Front. Nutr</w:t>
      </w:r>
      <w:r>
        <w:rPr>
          <w:rFonts w:ascii="Times New Roman" w:hAnsi="Times New Roman" w:cs="Times New Roman"/>
          <w:sz w:val="28"/>
          <w:szCs w:val="28"/>
          <w:lang w:val="en-GB"/>
        </w:rPr>
        <w:t>. 2017;4:16. Doi: 10.3389/fnut.00019.</w:t>
      </w:r>
    </w:p>
    <w:p w14:paraId="2D95D847"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Strain, T., Fitzsimons, C., Foster, C., Mutrie, N., Townsend, N., Kelly, P. (2016), Age-related comparisons by sex in the domains of aerobic physical activity for adults in Scotland. </w:t>
      </w:r>
      <w:r w:rsidRPr="00AC2542">
        <w:rPr>
          <w:i/>
          <w:iCs/>
          <w:color w:val="333333"/>
          <w:sz w:val="28"/>
          <w:szCs w:val="28"/>
        </w:rPr>
        <w:t>Prev Med Rep</w:t>
      </w:r>
      <w:r>
        <w:rPr>
          <w:color w:val="333333"/>
          <w:sz w:val="28"/>
          <w:szCs w:val="28"/>
        </w:rPr>
        <w:t>. 3:90-7</w:t>
      </w:r>
    </w:p>
    <w:p w14:paraId="6896EAFD"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Strain, T., Fitzsimons, C., Kelly, P. Mutrie, N. The forgotten guidelines: cross-sectional analysis of participation in muscle strengthening and balance and coordination activities by adults and older adults in Scotland. </w:t>
      </w:r>
      <w:r w:rsidRPr="00AC2542">
        <w:rPr>
          <w:color w:val="333333"/>
          <w:sz w:val="28"/>
          <w:szCs w:val="28"/>
        </w:rPr>
        <w:t xml:space="preserve">Bmc Public Health. </w:t>
      </w:r>
      <w:r>
        <w:rPr>
          <w:color w:val="333333"/>
          <w:sz w:val="28"/>
          <w:szCs w:val="28"/>
        </w:rPr>
        <w:t>2016;16(1):1108</w:t>
      </w:r>
    </w:p>
    <w:p w14:paraId="00C1EBE4"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Thordardottir, B., Frange, A.M., Lethin, C., Gatta, D.R., Chiatti, C. (2019). Acceptance and Use of Innovative Assistive Technologies among People with Cognitive Impairment and Their Caregivers. A Systematic Review. </w:t>
      </w:r>
      <w:r w:rsidRPr="002C179A">
        <w:rPr>
          <w:i/>
          <w:iCs/>
          <w:color w:val="333333"/>
          <w:sz w:val="28"/>
          <w:szCs w:val="28"/>
        </w:rPr>
        <w:t>BioMed. Res. Int.</w:t>
      </w:r>
      <w:r>
        <w:rPr>
          <w:color w:val="333333"/>
          <w:sz w:val="28"/>
          <w:szCs w:val="28"/>
        </w:rPr>
        <w:t xml:space="preserve"> 1-18</w:t>
      </w:r>
    </w:p>
    <w:p w14:paraId="2A834699"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lastRenderedPageBreak/>
        <w:t xml:space="preserve">Valls-Pedret, C., Sala-Vila, A., Serra-Mir, M., Corella, D., De La Torre, R., Martinez-Gonzalez, M.A., Martinez-lapiscina, E.H., Fito, M., Perez-Heras, A., Salas-Salvado, J. (2015). Mediterranean diet and age-related cognitive decline: A randomized clinical trial. </w:t>
      </w:r>
      <w:r w:rsidRPr="008844D5">
        <w:rPr>
          <w:rFonts w:ascii="Times New Roman" w:hAnsi="Times New Roman" w:cs="Times New Roman"/>
          <w:i/>
          <w:iCs/>
          <w:sz w:val="28"/>
          <w:szCs w:val="28"/>
          <w:lang w:val="en-GB"/>
        </w:rPr>
        <w:t>JAMA Intern. Med</w:t>
      </w:r>
      <w:r>
        <w:rPr>
          <w:rFonts w:ascii="Times New Roman" w:hAnsi="Times New Roman" w:cs="Times New Roman"/>
          <w:sz w:val="28"/>
          <w:szCs w:val="28"/>
          <w:lang w:val="en-GB"/>
        </w:rPr>
        <w:t>. 2015;175:1094-1103. Doi:10.1001/jamainternmed.1668.</w:t>
      </w:r>
    </w:p>
    <w:p w14:paraId="09381AFA"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Van de Rest, O., Berendsen, A.A.M., Haveman-Nies, A., De Groot, L.C.P.G.M. (2015).Dietary patterns, cognitive decline, and dementia: A systematic review</w:t>
      </w:r>
      <w:r w:rsidRPr="00256DC6">
        <w:rPr>
          <w:rFonts w:ascii="Times New Roman" w:hAnsi="Times New Roman" w:cs="Times New Roman"/>
          <w:i/>
          <w:iCs/>
          <w:sz w:val="28"/>
          <w:szCs w:val="28"/>
          <w:lang w:val="en-GB"/>
        </w:rPr>
        <w:t>. Adv. Nutr</w:t>
      </w:r>
      <w:r>
        <w:rPr>
          <w:rFonts w:ascii="Times New Roman" w:hAnsi="Times New Roman" w:cs="Times New Roman"/>
          <w:sz w:val="28"/>
          <w:szCs w:val="28"/>
          <w:lang w:val="en-GB"/>
        </w:rPr>
        <w:t>. 6:154-168. Doi:10.3945/an.114.007617.</w:t>
      </w:r>
    </w:p>
    <w:p w14:paraId="486F9B0F"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Vaupel, J.W. (2010). Biodemography of human ageing. </w:t>
      </w:r>
      <w:r w:rsidRPr="008C777D">
        <w:rPr>
          <w:rFonts w:ascii="Times New Roman" w:hAnsi="Times New Roman" w:cs="Times New Roman"/>
          <w:i/>
          <w:iCs/>
          <w:sz w:val="28"/>
          <w:szCs w:val="28"/>
          <w:lang w:val="en-GB"/>
        </w:rPr>
        <w:t>Nature.</w:t>
      </w:r>
      <w:r>
        <w:rPr>
          <w:rFonts w:ascii="Times New Roman" w:hAnsi="Times New Roman" w:cs="Times New Roman"/>
          <w:sz w:val="28"/>
          <w:szCs w:val="28"/>
          <w:lang w:val="en-GB"/>
        </w:rPr>
        <w:t xml:space="preserve"> 464:536-542. Doi:10.1038/nature08984.</w:t>
      </w:r>
    </w:p>
    <w:p w14:paraId="7C9C7369" w14:textId="77777777" w:rsidR="00A45C9F"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 xml:space="preserve">Weir, K. (2021, January 1). Building games to train the brain. </w:t>
      </w:r>
      <w:r w:rsidRPr="006E7650">
        <w:rPr>
          <w:rFonts w:ascii="Times New Roman" w:hAnsi="Times New Roman" w:cs="Times New Roman"/>
          <w:i/>
          <w:iCs/>
          <w:sz w:val="28"/>
          <w:szCs w:val="28"/>
          <w:lang w:val="en-GB"/>
        </w:rPr>
        <w:t>Monitor on Psychology,</w:t>
      </w:r>
      <w:r>
        <w:rPr>
          <w:rFonts w:ascii="Times New Roman" w:hAnsi="Times New Roman" w:cs="Times New Roman"/>
          <w:i/>
          <w:iCs/>
          <w:sz w:val="28"/>
          <w:szCs w:val="28"/>
          <w:lang w:val="en-GB"/>
        </w:rPr>
        <w:t xml:space="preserve"> </w:t>
      </w:r>
      <w:r>
        <w:rPr>
          <w:rFonts w:ascii="Times New Roman" w:hAnsi="Times New Roman" w:cs="Times New Roman"/>
          <w:sz w:val="28"/>
          <w:szCs w:val="28"/>
          <w:lang w:val="en-GB"/>
        </w:rPr>
        <w:t>52(1). https://www.apa.org/monitor/01/lab-work-games.</w:t>
      </w:r>
    </w:p>
    <w:p w14:paraId="19048D51" w14:textId="77777777" w:rsidR="00A45C9F" w:rsidRDefault="00A45C9F" w:rsidP="00A45C9F">
      <w:pPr>
        <w:pStyle w:val="lead"/>
        <w:shd w:val="clear" w:color="auto" w:fill="FFFFFF"/>
        <w:spacing w:before="0" w:beforeAutospacing="0" w:after="300" w:afterAutospacing="0" w:line="480" w:lineRule="auto"/>
        <w:ind w:left="720" w:hanging="720"/>
        <w:rPr>
          <w:sz w:val="28"/>
          <w:szCs w:val="28"/>
        </w:rPr>
      </w:pPr>
      <w:r>
        <w:rPr>
          <w:sz w:val="28"/>
          <w:szCs w:val="28"/>
        </w:rPr>
        <w:t xml:space="preserve">WHO. (1998). The Role of Physical Activity in Healthy Ageing. Geneva: </w:t>
      </w:r>
      <w:r w:rsidRPr="00EB3407">
        <w:rPr>
          <w:i/>
          <w:iCs/>
          <w:sz w:val="28"/>
          <w:szCs w:val="28"/>
        </w:rPr>
        <w:t>World Health Organisation.</w:t>
      </w:r>
    </w:p>
    <w:p w14:paraId="5EAE0DCD" w14:textId="77777777" w:rsidR="00A45C9F" w:rsidRDefault="00A45C9F" w:rsidP="00A45C9F">
      <w:pPr>
        <w:pStyle w:val="lead"/>
        <w:shd w:val="clear" w:color="auto" w:fill="FFFFFF"/>
        <w:spacing w:before="0" w:beforeAutospacing="0" w:after="300" w:afterAutospacing="0" w:line="480" w:lineRule="auto"/>
        <w:ind w:left="720" w:hanging="720"/>
        <w:rPr>
          <w:sz w:val="28"/>
          <w:szCs w:val="28"/>
        </w:rPr>
      </w:pPr>
      <w:r>
        <w:rPr>
          <w:sz w:val="28"/>
          <w:szCs w:val="28"/>
        </w:rPr>
        <w:t xml:space="preserve">WHO (2015). World report on ageing and health. Geneva: </w:t>
      </w:r>
      <w:r w:rsidRPr="0093338C">
        <w:rPr>
          <w:i/>
          <w:iCs/>
          <w:sz w:val="28"/>
          <w:szCs w:val="28"/>
        </w:rPr>
        <w:t>World Health Organisation.</w:t>
      </w:r>
    </w:p>
    <w:p w14:paraId="56546636" w14:textId="77777777" w:rsidR="00A45C9F" w:rsidRDefault="00A45C9F" w:rsidP="00A45C9F">
      <w:pPr>
        <w:spacing w:line="480" w:lineRule="auto"/>
        <w:ind w:left="720" w:hanging="720"/>
        <w:rPr>
          <w:rFonts w:ascii="Times New Roman" w:hAnsi="Times New Roman" w:cs="Times New Roman"/>
          <w:sz w:val="28"/>
          <w:szCs w:val="28"/>
          <w:lang w:val="en-GB"/>
        </w:rPr>
      </w:pPr>
      <w:r w:rsidRPr="00906160">
        <w:rPr>
          <w:rFonts w:ascii="Times New Roman" w:hAnsi="Times New Roman" w:cs="Times New Roman"/>
          <w:sz w:val="28"/>
          <w:szCs w:val="28"/>
          <w:lang w:val="en-GB"/>
        </w:rPr>
        <w:t>Wilson,</w:t>
      </w:r>
      <w:r>
        <w:rPr>
          <w:rFonts w:ascii="Times New Roman" w:hAnsi="Times New Roman" w:cs="Times New Roman"/>
          <w:sz w:val="28"/>
          <w:szCs w:val="28"/>
          <w:lang w:val="en-GB"/>
        </w:rPr>
        <w:t xml:space="preserve"> R.S., Wang, T., Yu, L., Grodstein, F., Bennett, D.A., Boyle, P.A.</w:t>
      </w:r>
      <w:r w:rsidRPr="00906160">
        <w:rPr>
          <w:rFonts w:ascii="Times New Roman" w:hAnsi="Times New Roman" w:cs="Times New Roman"/>
          <w:sz w:val="28"/>
          <w:szCs w:val="28"/>
          <w:lang w:val="en-GB"/>
        </w:rPr>
        <w:t xml:space="preserve"> </w:t>
      </w:r>
      <w:r>
        <w:rPr>
          <w:rFonts w:ascii="Times New Roman" w:hAnsi="Times New Roman" w:cs="Times New Roman"/>
          <w:sz w:val="28"/>
          <w:szCs w:val="28"/>
          <w:lang w:val="en-GB"/>
        </w:rPr>
        <w:t>(</w:t>
      </w:r>
      <w:r w:rsidRPr="00906160">
        <w:rPr>
          <w:rFonts w:ascii="Times New Roman" w:hAnsi="Times New Roman" w:cs="Times New Roman"/>
          <w:sz w:val="28"/>
          <w:szCs w:val="28"/>
          <w:lang w:val="en-GB"/>
        </w:rPr>
        <w:t>2021</w:t>
      </w:r>
      <w:r>
        <w:rPr>
          <w:rFonts w:ascii="Times New Roman" w:hAnsi="Times New Roman" w:cs="Times New Roman"/>
          <w:sz w:val="28"/>
          <w:szCs w:val="28"/>
          <w:lang w:val="en-GB"/>
        </w:rPr>
        <w:t xml:space="preserve">). Cognitive Activity and Onset A of Incident Alzheimer Disease Dementia. </w:t>
      </w:r>
      <w:r w:rsidRPr="009965A2">
        <w:rPr>
          <w:rFonts w:ascii="Times New Roman" w:hAnsi="Times New Roman" w:cs="Times New Roman"/>
          <w:i/>
          <w:iCs/>
          <w:sz w:val="28"/>
          <w:szCs w:val="28"/>
          <w:lang w:val="en-GB"/>
        </w:rPr>
        <w:t>American Academy of Neurology</w:t>
      </w:r>
      <w:r w:rsidRPr="000706DE">
        <w:rPr>
          <w:rFonts w:ascii="Times New Roman" w:hAnsi="Times New Roman" w:cs="Times New Roman"/>
          <w:i/>
          <w:iCs/>
          <w:sz w:val="28"/>
          <w:szCs w:val="28"/>
          <w:lang w:val="en-GB"/>
        </w:rPr>
        <w:t>,</w:t>
      </w:r>
      <w:r>
        <w:rPr>
          <w:rFonts w:ascii="Times New Roman" w:hAnsi="Times New Roman" w:cs="Times New Roman"/>
          <w:sz w:val="28"/>
          <w:szCs w:val="28"/>
          <w:lang w:val="en-GB"/>
        </w:rPr>
        <w:t xml:space="preserve"> 97 (9) e922-e929, DOI:10.121 2/WNL.0000000000012388, PubMed:34261788.</w:t>
      </w:r>
    </w:p>
    <w:p w14:paraId="7EE1FF4E" w14:textId="77777777" w:rsidR="00A45C9F" w:rsidRPr="00EF05EC" w:rsidRDefault="00A45C9F" w:rsidP="00A45C9F">
      <w:pPr>
        <w:pStyle w:val="lead"/>
        <w:shd w:val="clear" w:color="auto" w:fill="FFFFFF"/>
        <w:spacing w:before="0" w:beforeAutospacing="0" w:after="300" w:afterAutospacing="0" w:line="480" w:lineRule="auto"/>
        <w:ind w:left="720" w:hanging="720"/>
        <w:rPr>
          <w:sz w:val="28"/>
          <w:szCs w:val="28"/>
        </w:rPr>
      </w:pPr>
      <w:r>
        <w:rPr>
          <w:sz w:val="28"/>
          <w:szCs w:val="28"/>
        </w:rPr>
        <w:lastRenderedPageBreak/>
        <w:t>W</w:t>
      </w:r>
      <w:r w:rsidRPr="00EF05EC">
        <w:rPr>
          <w:sz w:val="28"/>
          <w:szCs w:val="28"/>
        </w:rPr>
        <w:t xml:space="preserve">illiams, K., &amp; Kemper, S. (2010). Exploring Interventions to Reduce Cognitive Decline in Aging. </w:t>
      </w:r>
      <w:r w:rsidRPr="00EF05EC">
        <w:rPr>
          <w:i/>
          <w:iCs/>
          <w:sz w:val="28"/>
          <w:szCs w:val="28"/>
        </w:rPr>
        <w:t>Journal of psychosocial nursing and mental health services</w:t>
      </w:r>
      <w:r w:rsidRPr="00EF05EC">
        <w:rPr>
          <w:sz w:val="28"/>
          <w:szCs w:val="28"/>
        </w:rPr>
        <w:t xml:space="preserve">, </w:t>
      </w:r>
      <w:r w:rsidRPr="00EF05EC">
        <w:rPr>
          <w:i/>
          <w:iCs/>
          <w:sz w:val="28"/>
          <w:szCs w:val="28"/>
        </w:rPr>
        <w:t>48</w:t>
      </w:r>
      <w:r w:rsidRPr="00EF05EC">
        <w:rPr>
          <w:sz w:val="28"/>
          <w:szCs w:val="28"/>
        </w:rPr>
        <w:t xml:space="preserve">(5), 42. </w:t>
      </w:r>
      <w:hyperlink r:id="rId11" w:history="1">
        <w:r w:rsidRPr="00EF05EC">
          <w:rPr>
            <w:rStyle w:val="Hyperlink"/>
            <w:sz w:val="28"/>
            <w:szCs w:val="28"/>
          </w:rPr>
          <w:t>https://doi.org/10.3928/02793695-20100331-03</w:t>
        </w:r>
      </w:hyperlink>
    </w:p>
    <w:p w14:paraId="3F0C3D6F"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World health organization. (2020). Social Determinants of Health. </w:t>
      </w:r>
      <w:hyperlink r:id="rId12" w:history="1">
        <w:r w:rsidRPr="00E33690">
          <w:rPr>
            <w:rStyle w:val="Hyperlink"/>
            <w:sz w:val="28"/>
            <w:szCs w:val="28"/>
          </w:rPr>
          <w:t>www.who</w:t>
        </w:r>
      </w:hyperlink>
      <w:r>
        <w:rPr>
          <w:color w:val="333333"/>
          <w:sz w:val="28"/>
          <w:szCs w:val="28"/>
        </w:rPr>
        <w:t>. Int/social_determinants/thecommission/countrywork/within/socialparticipation/en/index.html</w:t>
      </w:r>
    </w:p>
    <w:p w14:paraId="539DACF4"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r>
        <w:rPr>
          <w:color w:val="333333"/>
          <w:sz w:val="28"/>
          <w:szCs w:val="28"/>
        </w:rPr>
        <w:t xml:space="preserve">Yamada, M., Hapsari, E.D., Matsuo, H. (2015). Behaviours toward noncommunicable Diseases Prevention and Their |Relationship with Physical Health Status among Community-dwelling, Middle-aged and Older Women in Indonesia. </w:t>
      </w:r>
      <w:r w:rsidRPr="004E6F8E">
        <w:rPr>
          <w:i/>
          <w:iCs/>
          <w:color w:val="333333"/>
          <w:sz w:val="28"/>
          <w:szCs w:val="28"/>
        </w:rPr>
        <w:t>Int. J. Environ. Res. Public Health</w:t>
      </w:r>
      <w:r>
        <w:rPr>
          <w:color w:val="333333"/>
          <w:sz w:val="28"/>
          <w:szCs w:val="28"/>
        </w:rPr>
        <w:t>. 17, 2332</w:t>
      </w:r>
    </w:p>
    <w:p w14:paraId="6301007A" w14:textId="77777777" w:rsidR="00A45C9F" w:rsidRPr="00476769" w:rsidRDefault="00A45C9F" w:rsidP="00A45C9F">
      <w:pPr>
        <w:spacing w:line="480" w:lineRule="auto"/>
        <w:ind w:left="720" w:hanging="720"/>
        <w:rPr>
          <w:rFonts w:ascii="Times New Roman" w:hAnsi="Times New Roman" w:cs="Times New Roman"/>
          <w:sz w:val="28"/>
          <w:szCs w:val="28"/>
          <w:lang w:val="en-GB"/>
        </w:rPr>
      </w:pPr>
      <w:r>
        <w:rPr>
          <w:rFonts w:ascii="Times New Roman" w:hAnsi="Times New Roman" w:cs="Times New Roman"/>
          <w:sz w:val="28"/>
          <w:szCs w:val="28"/>
          <w:lang w:val="en-GB"/>
        </w:rPr>
        <w:t>Yang, Y., Shields, G.S., Guo, C., Lin. Y. (2018). Executive function performance in obesity and overweight individuals: A meta-analysis and review</w:t>
      </w:r>
      <w:r w:rsidRPr="006D2886">
        <w:rPr>
          <w:rFonts w:ascii="Times New Roman" w:hAnsi="Times New Roman" w:cs="Times New Roman"/>
          <w:i/>
          <w:iCs/>
          <w:sz w:val="28"/>
          <w:szCs w:val="28"/>
          <w:lang w:val="en-GB"/>
        </w:rPr>
        <w:t>. Neurosci</w:t>
      </w:r>
      <w:r>
        <w:rPr>
          <w:rFonts w:ascii="Times New Roman" w:hAnsi="Times New Roman" w:cs="Times New Roman"/>
          <w:i/>
          <w:iCs/>
          <w:sz w:val="28"/>
          <w:szCs w:val="28"/>
          <w:lang w:val="en-GB"/>
        </w:rPr>
        <w:t>ence</w:t>
      </w:r>
      <w:r w:rsidRPr="006D2886">
        <w:rPr>
          <w:rFonts w:ascii="Times New Roman" w:hAnsi="Times New Roman" w:cs="Times New Roman"/>
          <w:i/>
          <w:iCs/>
          <w:sz w:val="28"/>
          <w:szCs w:val="28"/>
          <w:lang w:val="en-GB"/>
        </w:rPr>
        <w:t xml:space="preserve"> Biobehav</w:t>
      </w:r>
      <w:r>
        <w:rPr>
          <w:rFonts w:ascii="Times New Roman" w:hAnsi="Times New Roman" w:cs="Times New Roman"/>
          <w:i/>
          <w:iCs/>
          <w:sz w:val="28"/>
          <w:szCs w:val="28"/>
          <w:lang w:val="en-GB"/>
        </w:rPr>
        <w:t>iour</w:t>
      </w:r>
      <w:r w:rsidRPr="006D2886">
        <w:rPr>
          <w:rFonts w:ascii="Times New Roman" w:hAnsi="Times New Roman" w:cs="Times New Roman"/>
          <w:i/>
          <w:iCs/>
          <w:sz w:val="28"/>
          <w:szCs w:val="28"/>
          <w:lang w:val="en-GB"/>
        </w:rPr>
        <w:t xml:space="preserve"> Rev</w:t>
      </w:r>
      <w:r>
        <w:rPr>
          <w:rFonts w:ascii="Times New Roman" w:hAnsi="Times New Roman" w:cs="Times New Roman"/>
          <w:i/>
          <w:iCs/>
          <w:sz w:val="28"/>
          <w:szCs w:val="28"/>
          <w:lang w:val="en-GB"/>
        </w:rPr>
        <w:t>iew</w:t>
      </w:r>
      <w:r>
        <w:rPr>
          <w:rFonts w:ascii="Times New Roman" w:hAnsi="Times New Roman" w:cs="Times New Roman"/>
          <w:sz w:val="28"/>
          <w:szCs w:val="28"/>
          <w:lang w:val="en-GB"/>
        </w:rPr>
        <w:t>: 201;.84:225-244. Doi:10.1016/j.neubiorev.2017.11.020.</w:t>
      </w:r>
    </w:p>
    <w:p w14:paraId="387C417B" w14:textId="77777777" w:rsidR="00A45C9F" w:rsidRDefault="00A45C9F" w:rsidP="00A45C9F">
      <w:pPr>
        <w:pStyle w:val="lead"/>
        <w:shd w:val="clear" w:color="auto" w:fill="FFFFFF"/>
        <w:spacing w:before="0" w:beforeAutospacing="0" w:after="300" w:afterAutospacing="0" w:line="480" w:lineRule="auto"/>
        <w:ind w:left="720" w:hanging="720"/>
        <w:rPr>
          <w:color w:val="333333"/>
          <w:sz w:val="28"/>
          <w:szCs w:val="28"/>
        </w:rPr>
      </w:pPr>
    </w:p>
    <w:p w14:paraId="0171763B" w14:textId="77777777" w:rsidR="00011129" w:rsidRDefault="00011129"/>
    <w:sectPr w:rsidR="000111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30556"/>
    <w:multiLevelType w:val="multilevel"/>
    <w:tmpl w:val="BAF85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0428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C9F"/>
    <w:rsid w:val="00011129"/>
    <w:rsid w:val="00A45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B1361"/>
  <w15:chartTrackingRefBased/>
  <w15:docId w15:val="{3816FD24-15A4-48E3-94BC-C60FD37F9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C9F"/>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5C9F"/>
    <w:rPr>
      <w:color w:val="0563C1" w:themeColor="hyperlink"/>
      <w:u w:val="single"/>
    </w:rPr>
  </w:style>
  <w:style w:type="paragraph" w:customStyle="1" w:styleId="lead">
    <w:name w:val="lead"/>
    <w:basedOn w:val="Normal"/>
    <w:rsid w:val="00A45C9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A45C9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A45C9F"/>
    <w:rPr>
      <w:i/>
      <w:iCs/>
    </w:rPr>
  </w:style>
  <w:style w:type="character" w:styleId="Strong">
    <w:name w:val="Strong"/>
    <w:basedOn w:val="DefaultParagraphFont"/>
    <w:uiPriority w:val="22"/>
    <w:qFormat/>
    <w:rsid w:val="00A45C9F"/>
    <w:rPr>
      <w:b/>
      <w:bCs/>
    </w:rPr>
  </w:style>
  <w:style w:type="character" w:styleId="UnresolvedMention">
    <w:name w:val="Unresolved Mention"/>
    <w:basedOn w:val="DefaultParagraphFont"/>
    <w:uiPriority w:val="99"/>
    <w:semiHidden/>
    <w:unhideWhenUsed/>
    <w:rsid w:val="00A45C9F"/>
    <w:rPr>
      <w:color w:val="605E5C"/>
      <w:shd w:val="clear" w:color="auto" w:fill="E1DFDD"/>
    </w:rPr>
  </w:style>
  <w:style w:type="paragraph" w:styleId="Header">
    <w:name w:val="header"/>
    <w:basedOn w:val="Normal"/>
    <w:link w:val="HeaderChar"/>
    <w:uiPriority w:val="99"/>
    <w:unhideWhenUsed/>
    <w:rsid w:val="00A45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C9F"/>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39462.534630.AD"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who"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928/02793695-20100331-03" TargetMode="External"/><Relationship Id="rId5" Type="http://schemas.openxmlformats.org/officeDocument/2006/relationships/styles" Target="styles.xml"/><Relationship Id="rId10" Type="http://schemas.openxmlformats.org/officeDocument/2006/relationships/hyperlink" Target="https://doi/10.1177/19714009211002778" TargetMode="External"/><Relationship Id="rId4" Type="http://schemas.openxmlformats.org/officeDocument/2006/relationships/numbering" Target="numbering.xml"/><Relationship Id="rId9" Type="http://schemas.openxmlformats.org/officeDocument/2006/relationships/hyperlink" Target="https://doi.org/10.3390/socsci811029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dab63816d650d58cabe3f48067afab4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b071a37898fd3317a8958954c6146a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490A0C-8410-419D-9ABE-D18C05D2BC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CFA08F-69B2-4377-B5E4-12BEC522664C}">
  <ds:schemaRefs>
    <ds:schemaRef ds:uri="http://schemas.microsoft.com/sharepoint/v3/contenttype/forms"/>
  </ds:schemaRefs>
</ds:datastoreItem>
</file>

<file path=customXml/itemProps3.xml><?xml version="1.0" encoding="utf-8"?>
<ds:datastoreItem xmlns:ds="http://schemas.openxmlformats.org/officeDocument/2006/customXml" ds:itemID="{4EFFC679-C1C8-40B3-AA91-008DEDED88D4}">
  <ds:schemaRefs>
    <ds:schemaRef ds:uri="7b23fa32-4003-4364-bee1-595462966394"/>
    <ds:schemaRef ds:uri="http://schemas.openxmlformats.org/package/2006/metadata/core-properties"/>
    <ds:schemaRef ds:uri="http://purl.org/dc/elements/1.1/"/>
    <ds:schemaRef ds:uri="http://schemas.microsoft.com/office/2006/metadata/properties"/>
    <ds:schemaRef ds:uri="http://purl.org/dc/terms/"/>
    <ds:schemaRef ds:uri="http://www.w3.org/XML/1998/namespace"/>
    <ds:schemaRef ds:uri="http://purl.org/dc/dcmitype/"/>
    <ds:schemaRef ds:uri="http://schemas.microsoft.com/office/2006/documentManagement/types"/>
    <ds:schemaRef ds:uri="http://schemas.microsoft.com/office/infopath/2007/PartnerControls"/>
    <ds:schemaRef ds:uri="f54e4810-f1f5-4bce-aa8e-e4722dc561b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5133</Words>
  <Characters>28749</Characters>
  <Application>Microsoft Office Word</Application>
  <DocSecurity>0</DocSecurity>
  <Lines>1513</Lines>
  <Paragraphs>338</Paragraphs>
  <ScaleCrop>false</ScaleCrop>
  <Company/>
  <LinksUpToDate>false</LinksUpToDate>
  <CharactersWithSpaces>33544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Jones</dc:creator>
  <cp:keywords/>
  <dc:description/>
  <cp:lastModifiedBy>Stanley Jones</cp:lastModifiedBy>
  <cp:revision>1</cp:revision>
  <dcterms:created xsi:type="dcterms:W3CDTF">2022-11-20T22:09:00Z</dcterms:created>
  <dcterms:modified xsi:type="dcterms:W3CDTF">2022-11-20T22:11:00Z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46f07c06-2f02-4464-95c2-5233f9fa68d2</vt:lpwstr>
  </property>
  <property fmtid="{D5CDD505-2E9C-101B-9397-08002B2CF9AE}" pid="3" name="ContentTypeId">
    <vt:lpwstr>0x0101000033FA223336B44AB78A5EBBE6527CC3</vt:lpwstr>
  </property>
</Properties>
</file>