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Arial" w:hAnsi="Arial" w:eastAsia="宋体" w:cs="Arial"/>
          <w:b/>
          <w:bCs/>
          <w:sz w:val="40"/>
          <w:szCs w:val="40"/>
          <w:lang w:val="en-US" w:eastAsia="zh-CN"/>
        </w:rPr>
      </w:pPr>
      <w:r>
        <w:rPr>
          <w:rFonts w:hint="eastAsia" w:ascii="Arial" w:hAnsi="Arial" w:eastAsia="宋体" w:cs="Arial"/>
          <w:b/>
          <w:bCs/>
          <w:sz w:val="40"/>
          <w:szCs w:val="40"/>
          <w:lang w:val="en-US" w:eastAsia="zh-CN"/>
        </w:rPr>
        <w:t>Contemporary Issues in Performance Management (</w:t>
      </w:r>
      <w:r>
        <w:rPr>
          <w:rFonts w:hint="default" w:ascii="Arial" w:hAnsi="Arial" w:eastAsia="宋体" w:cs="Arial"/>
          <w:b/>
          <w:bCs/>
          <w:sz w:val="40"/>
          <w:szCs w:val="40"/>
          <w:lang w:val="en-US" w:eastAsia="zh-CN"/>
        </w:rPr>
        <w:t>BMM70</w:t>
      </w:r>
      <w:r>
        <w:rPr>
          <w:rFonts w:hint="eastAsia" w:ascii="Arial" w:hAnsi="Arial" w:eastAsia="宋体" w:cs="Arial"/>
          <w:b/>
          <w:bCs/>
          <w:sz w:val="40"/>
          <w:szCs w:val="40"/>
          <w:lang w:val="en-US" w:eastAsia="zh-CN"/>
        </w:rPr>
        <w:t>17</w:t>
      </w:r>
      <w:r>
        <w:rPr>
          <w:rFonts w:hint="default" w:ascii="Arial" w:hAnsi="Arial" w:eastAsia="宋体" w:cs="Arial"/>
          <w:b/>
          <w:bCs/>
          <w:sz w:val="40"/>
          <w:szCs w:val="40"/>
          <w:lang w:val="en-US" w:eastAsia="zh-CN"/>
        </w:rPr>
        <w:t>)</w:t>
      </w:r>
    </w:p>
    <w:p>
      <w:pPr>
        <w:jc w:val="center"/>
        <w:rPr>
          <w:rFonts w:hint="default" w:ascii="Arial" w:hAnsi="Arial" w:eastAsia="宋体" w:cs="Arial"/>
          <w:sz w:val="40"/>
          <w:szCs w:val="40"/>
          <w:lang w:val="en-US" w:eastAsia="zh-CN"/>
        </w:rPr>
      </w:pPr>
    </w:p>
    <w:p>
      <w:pPr>
        <w:jc w:val="both"/>
        <w:rPr>
          <w:rFonts w:hint="default" w:ascii="Arial" w:hAnsi="Arial" w:eastAsia="宋体" w:cs="Arial"/>
          <w:sz w:val="40"/>
          <w:szCs w:val="40"/>
          <w:lang w:val="en-US" w:eastAsia="zh-CN"/>
        </w:rPr>
      </w:pPr>
    </w:p>
    <w:p>
      <w:pPr>
        <w:jc w:val="center"/>
        <w:rPr>
          <w:rFonts w:hint="default" w:ascii="Arial" w:hAnsi="Arial" w:cs="Arial"/>
          <w:b/>
          <w:bCs/>
          <w:sz w:val="36"/>
          <w:szCs w:val="36"/>
        </w:rPr>
      </w:pPr>
      <w:r>
        <w:rPr>
          <w:rFonts w:ascii="宋体" w:hAnsi="宋体" w:eastAsia="宋体" w:cs="宋体"/>
          <w:sz w:val="24"/>
          <w:szCs w:val="24"/>
        </w:rPr>
        <w:drawing>
          <wp:inline distT="0" distB="0" distL="114300" distR="114300">
            <wp:extent cx="2867660" cy="3185795"/>
            <wp:effectExtent l="0" t="0" r="8890" b="1460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0"/>
                    <a:stretch>
                      <a:fillRect/>
                    </a:stretch>
                  </pic:blipFill>
                  <pic:spPr>
                    <a:xfrm>
                      <a:off x="0" y="0"/>
                      <a:ext cx="2867660" cy="3185795"/>
                    </a:xfrm>
                    <a:prstGeom prst="rect">
                      <a:avLst/>
                    </a:prstGeom>
                    <a:noFill/>
                    <a:ln w="9525">
                      <a:noFill/>
                    </a:ln>
                  </pic:spPr>
                </pic:pic>
              </a:graphicData>
            </a:graphic>
          </wp:inline>
        </w:drawing>
      </w:r>
    </w:p>
    <w:p>
      <w:pPr>
        <w:jc w:val="both"/>
        <w:rPr>
          <w:rFonts w:hint="eastAsia" w:ascii="Arial" w:hAnsi="Arial" w:eastAsia="黑体" w:cs="Arial"/>
          <w:b/>
          <w:bCs/>
          <w:sz w:val="36"/>
          <w:szCs w:val="36"/>
          <w:lang w:val="en-US" w:eastAsia="zh-CN"/>
        </w:rPr>
      </w:pPr>
    </w:p>
    <w:p>
      <w:pPr>
        <w:jc w:val="both"/>
        <w:rPr>
          <w:rFonts w:hint="eastAsia" w:ascii="Arial" w:hAnsi="Arial" w:eastAsia="黑体" w:cs="Arial"/>
          <w:b/>
          <w:bCs/>
          <w:sz w:val="36"/>
          <w:szCs w:val="36"/>
          <w:lang w:val="en-US" w:eastAsia="zh-CN"/>
        </w:rPr>
      </w:pPr>
    </w:p>
    <w:p>
      <w:pPr>
        <w:jc w:val="both"/>
        <w:rPr>
          <w:rFonts w:hint="eastAsia" w:ascii="Arial" w:hAnsi="Arial" w:eastAsia="黑体" w:cs="Arial"/>
          <w:b/>
          <w:bCs/>
          <w:sz w:val="36"/>
          <w:szCs w:val="36"/>
          <w:lang w:val="en-US" w:eastAsia="zh-CN"/>
        </w:rPr>
      </w:pPr>
    </w:p>
    <w:p>
      <w:pPr>
        <w:ind w:firstLine="1606" w:firstLineChars="500"/>
        <w:jc w:val="both"/>
        <w:rPr>
          <w:rFonts w:hint="eastAsia" w:ascii="Arial" w:hAnsi="Arial" w:eastAsia="黑体" w:cs="Arial"/>
          <w:b/>
          <w:bCs/>
          <w:sz w:val="32"/>
          <w:szCs w:val="32"/>
          <w:lang w:val="en-US" w:eastAsia="zh-CN"/>
        </w:rPr>
      </w:pPr>
      <w:r>
        <w:rPr>
          <w:rFonts w:hint="default" w:ascii="Arial" w:hAnsi="Arial" w:eastAsia="黑体" w:cs="Arial"/>
          <w:b/>
          <w:bCs/>
          <w:sz w:val="32"/>
          <w:szCs w:val="32"/>
          <w:lang w:eastAsia="en-US"/>
        </w:rPr>
        <w:t>Assignment Title</w:t>
      </w:r>
      <w:r>
        <w:rPr>
          <w:rFonts w:hint="eastAsia" w:ascii="Arial" w:hAnsi="Arial" w:eastAsia="黑体" w:cs="Arial"/>
          <w:b/>
          <w:bCs/>
          <w:sz w:val="32"/>
          <w:szCs w:val="32"/>
          <w:lang w:val="en-US" w:eastAsia="zh-CN"/>
        </w:rPr>
        <w:t>:</w:t>
      </w:r>
    </w:p>
    <w:p>
      <w:pPr>
        <w:ind w:firstLine="1606" w:firstLineChars="500"/>
        <w:jc w:val="both"/>
        <w:rPr>
          <w:rFonts w:hint="eastAsia" w:ascii="Arial" w:hAnsi="Arial" w:eastAsia="黑体" w:cs="Arial"/>
          <w:b/>
          <w:bCs/>
          <w:sz w:val="32"/>
          <w:szCs w:val="32"/>
          <w:lang w:val="en-US" w:eastAsia="zh-CN"/>
        </w:rPr>
      </w:pPr>
      <w:r>
        <w:rPr>
          <w:rFonts w:hint="eastAsia" w:ascii="Arial" w:hAnsi="Arial" w:eastAsia="黑体" w:cs="Arial"/>
          <w:b/>
          <w:bCs/>
          <w:sz w:val="32"/>
          <w:szCs w:val="32"/>
          <w:lang w:val="en-US" w:eastAsia="zh-CN"/>
        </w:rPr>
        <w:t>Portal Fabrication Plc  and Troy Brands</w:t>
      </w:r>
    </w:p>
    <w:p>
      <w:pPr>
        <w:ind w:firstLine="1606" w:firstLineChars="500"/>
        <w:jc w:val="both"/>
        <w:rPr>
          <w:rFonts w:hint="eastAsia" w:ascii="Arial" w:hAnsi="Arial" w:eastAsia="黑体" w:cs="Arial"/>
          <w:b/>
          <w:bCs/>
          <w:sz w:val="32"/>
          <w:szCs w:val="32"/>
          <w:lang w:val="en-US" w:eastAsia="zh-CN"/>
        </w:rPr>
      </w:pPr>
      <w:bookmarkStart w:id="8" w:name="_GoBack"/>
      <w:bookmarkEnd w:id="8"/>
    </w:p>
    <w:p>
      <w:pPr>
        <w:ind w:firstLine="1606" w:firstLineChars="500"/>
        <w:jc w:val="both"/>
        <w:rPr>
          <w:rFonts w:hint="default" w:ascii="Arial" w:hAnsi="Arial" w:eastAsia="黑体" w:cs="Arial"/>
          <w:b/>
          <w:bCs/>
          <w:sz w:val="32"/>
          <w:szCs w:val="32"/>
          <w:lang w:eastAsia="en-US"/>
        </w:rPr>
      </w:pPr>
      <w:r>
        <w:rPr>
          <w:rFonts w:hint="eastAsia" w:ascii="Arial" w:hAnsi="Arial" w:eastAsia="黑体" w:cs="Arial"/>
          <w:b/>
          <w:bCs/>
          <w:sz w:val="32"/>
          <w:szCs w:val="32"/>
          <w:lang w:val="en-US" w:eastAsia="zh-CN"/>
        </w:rPr>
        <w:t>T</w:t>
      </w:r>
      <w:r>
        <w:rPr>
          <w:rFonts w:hint="default" w:ascii="Arial" w:hAnsi="Arial" w:eastAsia="黑体" w:cs="Arial"/>
          <w:b/>
          <w:bCs/>
          <w:sz w:val="32"/>
          <w:szCs w:val="32"/>
          <w:lang w:eastAsia="en-US"/>
        </w:rPr>
        <w:t>utor’s name</w:t>
      </w:r>
      <w:r>
        <w:rPr>
          <w:rFonts w:hint="eastAsia" w:ascii="Arial" w:hAnsi="Arial" w:eastAsia="黑体" w:cs="Arial"/>
          <w:b/>
          <w:bCs/>
          <w:sz w:val="32"/>
          <w:szCs w:val="32"/>
          <w:lang w:val="en-US" w:eastAsia="zh-CN"/>
        </w:rPr>
        <w:t>:</w:t>
      </w:r>
      <w:r>
        <w:rPr>
          <w:rFonts w:hint="default" w:ascii="Arial" w:hAnsi="Arial" w:eastAsia="黑体" w:cs="Arial"/>
          <w:b/>
          <w:bCs/>
          <w:sz w:val="32"/>
          <w:szCs w:val="32"/>
          <w:lang w:eastAsia="zh-CN"/>
        </w:rPr>
        <w:t>Marie Pitson</w:t>
      </w:r>
    </w:p>
    <w:p>
      <w:pPr>
        <w:jc w:val="both"/>
        <w:rPr>
          <w:rFonts w:hint="default" w:ascii="Arial" w:hAnsi="Arial" w:cs="Arial"/>
          <w:sz w:val="32"/>
          <w:szCs w:val="32"/>
        </w:rPr>
      </w:pPr>
    </w:p>
    <w:p>
      <w:pPr>
        <w:ind w:firstLine="1606" w:firstLineChars="500"/>
        <w:jc w:val="both"/>
        <w:rPr>
          <w:rFonts w:hint="eastAsia" w:ascii="Arial" w:hAnsi="Arial" w:eastAsia="黑体" w:cs="Arial"/>
          <w:b/>
          <w:bCs/>
          <w:sz w:val="32"/>
          <w:szCs w:val="32"/>
          <w:lang w:val="en-US" w:eastAsia="zh-CN"/>
        </w:rPr>
      </w:pPr>
      <w:r>
        <w:rPr>
          <w:rFonts w:hint="eastAsia" w:ascii="Arial" w:hAnsi="Arial" w:eastAsia="黑体" w:cs="Arial"/>
          <w:b/>
          <w:bCs/>
          <w:sz w:val="32"/>
          <w:szCs w:val="32"/>
          <w:lang w:val="en-US" w:eastAsia="zh-CN"/>
        </w:rPr>
        <w:t>Name of student:Shu Wang</w:t>
      </w:r>
    </w:p>
    <w:p>
      <w:pPr>
        <w:jc w:val="both"/>
        <w:rPr>
          <w:rFonts w:hint="default" w:ascii="Arial" w:hAnsi="Arial" w:eastAsia="黑体" w:cs="Arial"/>
          <w:b/>
          <w:bCs/>
          <w:sz w:val="32"/>
          <w:szCs w:val="32"/>
          <w:lang w:val="en-US" w:eastAsia="zh-CN"/>
        </w:rPr>
      </w:pPr>
    </w:p>
    <w:p>
      <w:pPr>
        <w:ind w:firstLine="1606" w:firstLineChars="500"/>
        <w:jc w:val="both"/>
        <w:rPr>
          <w:rFonts w:hint="eastAsia" w:ascii="Arial" w:hAnsi="Arial" w:eastAsia="黑体" w:cs="Arial"/>
          <w:b/>
          <w:bCs/>
          <w:sz w:val="32"/>
          <w:szCs w:val="32"/>
          <w:lang w:val="en-US" w:eastAsia="zh-CN"/>
        </w:rPr>
      </w:pPr>
      <w:r>
        <w:rPr>
          <w:rFonts w:hint="eastAsia" w:ascii="Arial" w:hAnsi="Arial" w:eastAsia="黑体" w:cs="Arial"/>
          <w:b/>
          <w:bCs/>
          <w:sz w:val="32"/>
          <w:szCs w:val="32"/>
          <w:lang w:val="en-US" w:eastAsia="zh-CN"/>
        </w:rPr>
        <w:t>Student</w:t>
      </w:r>
      <w:r>
        <w:rPr>
          <w:rFonts w:hint="default" w:ascii="Arial" w:hAnsi="Arial" w:eastAsia="黑体" w:cs="Arial"/>
          <w:b/>
          <w:bCs/>
          <w:sz w:val="32"/>
          <w:szCs w:val="32"/>
        </w:rPr>
        <w:t xml:space="preserve"> number</w:t>
      </w:r>
      <w:r>
        <w:rPr>
          <w:rFonts w:hint="eastAsia" w:ascii="Arial" w:hAnsi="Arial" w:eastAsia="黑体" w:cs="Arial"/>
          <w:b/>
          <w:bCs/>
          <w:sz w:val="32"/>
          <w:szCs w:val="32"/>
          <w:lang w:val="en-US" w:eastAsia="zh-CN"/>
        </w:rPr>
        <w:t>:2207081</w:t>
      </w:r>
    </w:p>
    <w:p>
      <w:pPr>
        <w:jc w:val="both"/>
        <w:rPr>
          <w:rFonts w:hint="default" w:ascii="Arial" w:hAnsi="Arial" w:eastAsia="黑体" w:cs="Arial"/>
          <w:b/>
          <w:bCs/>
          <w:sz w:val="40"/>
          <w:szCs w:val="40"/>
          <w:lang w:val="en-US" w:eastAsia="zh-CN"/>
        </w:rPr>
        <w:sectPr>
          <w:footerReference r:id="rId5" w:type="first"/>
          <w:pgSz w:w="11906" w:h="16838"/>
          <w:pgMar w:top="1440" w:right="1440" w:bottom="1440" w:left="1440" w:header="708" w:footer="708" w:gutter="0"/>
          <w:pgNumType w:fmt="decimal"/>
          <w:cols w:space="708" w:num="1"/>
          <w:docGrid w:linePitch="360" w:charSpace="0"/>
        </w:sectPr>
      </w:pPr>
    </w:p>
    <w:sdt>
      <w:sdtPr>
        <w:rPr>
          <w:rFonts w:ascii="Times New Roman" w:hAnsi="Times New Roman" w:cs="Times New Roman" w:eastAsiaTheme="minorHAnsi"/>
          <w:color w:val="5B9BD5" w:themeColor="accent1"/>
          <w:sz w:val="24"/>
          <w:szCs w:val="24"/>
          <w:lang w:val="en-GB"/>
          <w14:textFill>
            <w14:solidFill>
              <w14:schemeClr w14:val="accent1"/>
            </w14:solidFill>
          </w14:textFill>
        </w:rPr>
        <w:id w:val="-1522475554"/>
        <w:docPartObj>
          <w:docPartGallery w:val="autotext"/>
        </w:docPartObj>
      </w:sdtPr>
      <w:sdtEndPr>
        <w:rPr>
          <w:rFonts w:ascii="Times New Roman" w:hAnsi="Times New Roman" w:cs="Times New Roman" w:eastAsiaTheme="minorHAnsi"/>
          <w:color w:val="auto"/>
          <w:sz w:val="24"/>
          <w:szCs w:val="24"/>
          <w:lang w:val="en-GB"/>
        </w:rPr>
      </w:sdtEndPr>
      <w:sdtContent>
        <w:p>
          <w:pPr>
            <w:pStyle w:val="2"/>
            <w:keepNext/>
            <w:keepLines/>
            <w:pageBreakBefore w:val="0"/>
            <w:widowControl/>
            <w:kinsoku/>
            <w:wordWrap/>
            <w:overflowPunct/>
            <w:topLinePunct w:val="0"/>
            <w:autoSpaceDE/>
            <w:autoSpaceDN/>
            <w:bidi w:val="0"/>
            <w:adjustRightInd/>
            <w:snapToGrid/>
            <w:spacing w:before="0" w:line="360" w:lineRule="auto"/>
            <w:jc w:val="center"/>
            <w:textAlignment w:val="auto"/>
            <w:rPr>
              <w:rFonts w:ascii="Times New Roman" w:hAnsi="Times New Roman" w:cs="Times New Roman"/>
              <w:b/>
              <w:bCs/>
              <w:color w:val="auto"/>
              <w:sz w:val="24"/>
              <w:szCs w:val="24"/>
            </w:rPr>
          </w:pPr>
          <w:bookmarkStart w:id="0" w:name="_Toc129339185"/>
          <w:r>
            <w:rPr>
              <w:rFonts w:ascii="Times New Roman" w:hAnsi="Times New Roman" w:cs="Times New Roman"/>
              <w:b/>
              <w:bCs/>
              <w:color w:val="auto"/>
              <w:sz w:val="24"/>
              <w:szCs w:val="24"/>
            </w:rPr>
            <w:t>Executive Summary</w:t>
          </w:r>
          <w:bookmarkEnd w:id="0"/>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assignment focuses on two case studies. The first case study is of Portal Fabrication plc. The company specialises in producing car buffing system machines. Furthermore, this company has two major divisions; Manufacturing and sales and service. To improve coordination between these two divisions and increase shareholder wealth, the company and its Board are embracing the total shareholder return (TSR) as the primary corporate metric for measuring the performance of the two divisions. On the other hand, the second case study focuses on Troyland Limited, a shoe designer and manufacturer serving two social classes; middle- and upper-class clients. The company specialises in producing footwear such as sandals, boots, and related accessories. The company manages its operation through its four units; procurement and storage, production and design, selling, and administration. The case study seeks to examine the growth challenges that the company is facing and the need for reengineering its processes. </w:t>
          </w: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tabs>
              <w:tab w:val="left" w:pos="4005"/>
            </w:tabs>
            <w:spacing w:line="360" w:lineRule="auto"/>
            <w:jc w:val="both"/>
            <w:rPr>
              <w:rFonts w:ascii="Times New Roman" w:hAnsi="Times New Roman" w:cs="Times New Roman"/>
              <w:sz w:val="24"/>
              <w:szCs w:val="24"/>
            </w:rPr>
          </w:pPr>
          <w:r>
            <w:rPr>
              <w:rFonts w:ascii="Times New Roman" w:hAnsi="Times New Roman" w:cs="Times New Roman"/>
              <w:sz w:val="24"/>
              <w:szCs w:val="24"/>
            </w:rPr>
            <w:tab/>
          </w:r>
        </w:p>
        <w:p>
          <w:pPr>
            <w:spacing w:line="360" w:lineRule="auto"/>
            <w:jc w:val="both"/>
            <w:rPr>
              <w:rFonts w:ascii="Times New Roman" w:hAnsi="Times New Roman" w:cs="Times New Roman"/>
              <w:sz w:val="24"/>
              <w:szCs w:val="24"/>
            </w:rPr>
          </w:pPr>
        </w:p>
        <w:sdt>
          <w:sdtPr>
            <w:rPr>
              <w:rFonts w:ascii="Times New Roman" w:hAnsi="Times New Roman" w:cs="Times New Roman" w:eastAsiaTheme="minorHAnsi"/>
              <w:b/>
              <w:bCs/>
              <w:color w:val="auto"/>
              <w:sz w:val="24"/>
              <w:szCs w:val="24"/>
              <w:lang w:val="en-GB"/>
            </w:rPr>
            <w:id w:val="-1297214018"/>
            <w:docPartObj>
              <w:docPartGallery w:val="Table of Contents"/>
              <w:docPartUnique/>
            </w:docPartObj>
          </w:sdtPr>
          <w:sdtEndPr>
            <w:rPr>
              <w:rFonts w:ascii="Times New Roman" w:hAnsi="Times New Roman" w:cs="Times New Roman" w:eastAsiaTheme="minorHAnsi"/>
              <w:b/>
              <w:bCs/>
              <w:color w:val="auto"/>
              <w:sz w:val="24"/>
              <w:szCs w:val="24"/>
              <w:lang w:val="en-GB"/>
            </w:rPr>
          </w:sdtEndPr>
          <w:sdtContent>
            <w:p>
              <w:pPr>
                <w:pStyle w:val="14"/>
                <w:spacing w:line="360" w:lineRule="auto"/>
                <w:jc w:val="both"/>
                <w:rPr>
                  <w:rFonts w:ascii="Times New Roman" w:hAnsi="Times New Roman" w:cs="Times New Roman"/>
                  <w:b/>
                  <w:bCs/>
                  <w:color w:val="auto"/>
                  <w:sz w:val="24"/>
                  <w:szCs w:val="24"/>
                  <w:lang w:val="en-GB"/>
                </w:rPr>
              </w:pPr>
              <w:r>
                <w:rPr>
                  <w:rFonts w:ascii="Times New Roman" w:hAnsi="Times New Roman" w:cs="Times New Roman"/>
                  <w:b/>
                  <w:bCs/>
                  <w:color w:val="auto"/>
                  <w:sz w:val="24"/>
                  <w:szCs w:val="24"/>
                  <w:lang w:val="en-GB"/>
                </w:rPr>
                <w:t>Table of Contents</w:t>
              </w:r>
            </w:p>
            <w:p>
              <w:pPr>
                <w:pStyle w:val="6"/>
                <w:tabs>
                  <w:tab w:val="right" w:leader="dot" w:pos="9016"/>
                </w:tabs>
                <w:spacing w:line="360" w:lineRule="auto"/>
                <w:jc w:val="both"/>
                <w:rPr>
                  <w:rFonts w:ascii="Times New Roman" w:hAnsi="Times New Roman" w:cs="Times New Roman" w:eastAsiaTheme="minorEastAsia"/>
                  <w:sz w:val="24"/>
                  <w:szCs w:val="24"/>
                  <w:lang w:eastAsia="en-GB"/>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"_Toc129339185" </w:instrText>
              </w:r>
              <w:r>
                <w:fldChar w:fldCharType="separate"/>
              </w:r>
              <w:r>
                <w:rPr>
                  <w:rStyle w:val="10"/>
                  <w:rFonts w:ascii="Times New Roman" w:hAnsi="Times New Roman" w:cs="Times New Roman"/>
                  <w:sz w:val="24"/>
                  <w:szCs w:val="24"/>
                </w:rPr>
                <w:t>Executive Summary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_Toc129339185 \h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016"/>
                </w:tabs>
                <w:spacing w:line="360" w:lineRule="auto"/>
                <w:jc w:val="both"/>
                <w:rPr>
                  <w:rFonts w:ascii="Times New Roman" w:hAnsi="Times New Roman" w:cs="Times New Roman" w:eastAsiaTheme="minorEastAsia"/>
                  <w:sz w:val="24"/>
                  <w:szCs w:val="24"/>
                  <w:lang w:eastAsia="en-GB"/>
                </w:rPr>
              </w:pPr>
              <w:r>
                <w:fldChar w:fldCharType="begin"/>
              </w:r>
              <w:r>
                <w:instrText xml:space="preserve"> HYPERLINK \l "_Toc129339186" </w:instrText>
              </w:r>
              <w:r>
                <w:fldChar w:fldCharType="separate"/>
              </w:r>
              <w:r>
                <w:rPr>
                  <w:rStyle w:val="10"/>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_Toc129339186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016"/>
                </w:tabs>
                <w:spacing w:line="360" w:lineRule="auto"/>
                <w:jc w:val="both"/>
                <w:rPr>
                  <w:rFonts w:ascii="Times New Roman" w:hAnsi="Times New Roman" w:cs="Times New Roman" w:eastAsiaTheme="minorEastAsia"/>
                  <w:sz w:val="24"/>
                  <w:szCs w:val="24"/>
                  <w:lang w:eastAsia="en-GB"/>
                </w:rPr>
              </w:pPr>
              <w:r>
                <w:fldChar w:fldCharType="begin"/>
              </w:r>
              <w:r>
                <w:instrText xml:space="preserve"> HYPERLINK \l "_Toc129339187" </w:instrText>
              </w:r>
              <w:r>
                <w:fldChar w:fldCharType="separate"/>
              </w:r>
              <w:r>
                <w:rPr>
                  <w:rStyle w:val="10"/>
                  <w:rFonts w:ascii="Times New Roman" w:hAnsi="Times New Roman" w:cs="Times New Roman"/>
                  <w:sz w:val="24"/>
                  <w:szCs w:val="24"/>
                </w:rPr>
                <w:t>Main Findings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_Toc129339187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016"/>
                </w:tabs>
                <w:spacing w:line="360" w:lineRule="auto"/>
                <w:jc w:val="both"/>
                <w:rPr>
                  <w:rFonts w:ascii="Times New Roman" w:hAnsi="Times New Roman" w:cs="Times New Roman" w:eastAsiaTheme="minorEastAsia"/>
                  <w:sz w:val="24"/>
                  <w:szCs w:val="24"/>
                  <w:lang w:eastAsia="en-GB"/>
                </w:rPr>
              </w:pPr>
              <w:r>
                <w:fldChar w:fldCharType="begin"/>
              </w:r>
              <w:r>
                <w:instrText xml:space="preserve"> HYPERLINK \l "_Toc129339188" </w:instrText>
              </w:r>
              <w:r>
                <w:fldChar w:fldCharType="separate"/>
              </w:r>
              <w:r>
                <w:rPr>
                  <w:rStyle w:val="10"/>
                  <w:rFonts w:ascii="Times New Roman" w:hAnsi="Times New Roman" w:cs="Times New Roman"/>
                  <w:sz w:val="24"/>
                  <w:szCs w:val="24"/>
                </w:rPr>
                <w:t>Task 1 – Portal Fabrication PLC</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_Toc129339188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016"/>
                </w:tabs>
                <w:spacing w:line="360" w:lineRule="auto"/>
                <w:jc w:val="both"/>
                <w:rPr>
                  <w:rFonts w:ascii="Times New Roman" w:hAnsi="Times New Roman" w:cs="Times New Roman" w:eastAsiaTheme="minorEastAsia"/>
                  <w:sz w:val="24"/>
                  <w:szCs w:val="24"/>
                  <w:lang w:eastAsia="en-GB"/>
                </w:rPr>
              </w:pPr>
              <w:r>
                <w:fldChar w:fldCharType="begin"/>
              </w:r>
              <w:r>
                <w:instrText xml:space="preserve"> HYPERLINK \l "_Toc129339189" </w:instrText>
              </w:r>
              <w:r>
                <w:fldChar w:fldCharType="separate"/>
              </w:r>
              <w:r>
                <w:rPr>
                  <w:rStyle w:val="10"/>
                  <w:rFonts w:ascii="Times New Roman" w:hAnsi="Times New Roman" w:cs="Times New Roman"/>
                  <w:sz w:val="24"/>
                  <w:szCs w:val="24"/>
                </w:rPr>
                <w:t>Task 2 – Troy Brands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_Toc129339189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016"/>
                </w:tabs>
                <w:spacing w:line="360" w:lineRule="auto"/>
                <w:jc w:val="both"/>
                <w:rPr>
                  <w:rFonts w:ascii="Times New Roman" w:hAnsi="Times New Roman" w:cs="Times New Roman" w:eastAsiaTheme="minorEastAsia"/>
                  <w:sz w:val="24"/>
                  <w:szCs w:val="24"/>
                  <w:lang w:eastAsia="en-GB"/>
                </w:rPr>
              </w:pPr>
              <w:r>
                <w:fldChar w:fldCharType="begin"/>
              </w:r>
              <w:r>
                <w:instrText xml:space="preserve"> HYPERLINK \l "_Toc129339190" </w:instrText>
              </w:r>
              <w:r>
                <w:fldChar w:fldCharType="separate"/>
              </w:r>
              <w:r>
                <w:rPr>
                  <w:rStyle w:val="10"/>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_Toc129339190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016"/>
                </w:tabs>
                <w:spacing w:line="360" w:lineRule="auto"/>
                <w:jc w:val="both"/>
                <w:rPr>
                  <w:rFonts w:ascii="Times New Roman" w:hAnsi="Times New Roman" w:cs="Times New Roman" w:eastAsiaTheme="minorEastAsia"/>
                  <w:sz w:val="24"/>
                  <w:szCs w:val="24"/>
                  <w:lang w:eastAsia="en-GB"/>
                </w:rPr>
              </w:pPr>
              <w:r>
                <w:fldChar w:fldCharType="begin"/>
              </w:r>
              <w:r>
                <w:instrText xml:space="preserve"> HYPERLINK \l "_Toc129339191" </w:instrText>
              </w:r>
              <w:r>
                <w:fldChar w:fldCharType="separate"/>
              </w:r>
              <w:r>
                <w:rPr>
                  <w:rStyle w:val="10"/>
                  <w:rFonts w:ascii="Times New Roman" w:hAnsi="Times New Roman" w:cs="Times New Roman"/>
                  <w:sz w:val="24"/>
                  <w:szCs w:val="24"/>
                </w:rPr>
                <w:t>Bibliography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_Toc129339191 \h </w:instrText>
              </w:r>
              <w:r>
                <w:rPr>
                  <w:rFonts w:ascii="Times New Roman" w:hAnsi="Times New Roman" w:cs="Times New Roman"/>
                  <w:sz w:val="24"/>
                  <w:szCs w:val="24"/>
                </w:rPr>
                <w:fldChar w:fldCharType="separate"/>
              </w:r>
              <w:r>
                <w:rPr>
                  <w:rFonts w:ascii="Times New Roman" w:hAnsi="Times New Roman" w:cs="Times New Roman"/>
                  <w:sz w:val="24"/>
                  <w:szCs w:val="24"/>
                </w:rPr>
                <w:t>17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016"/>
                </w:tabs>
                <w:spacing w:line="360" w:lineRule="auto"/>
                <w:jc w:val="both"/>
                <w:rPr>
                  <w:rFonts w:ascii="Times New Roman" w:hAnsi="Times New Roman" w:cs="Times New Roman" w:eastAsiaTheme="minorEastAsia"/>
                  <w:sz w:val="24"/>
                  <w:szCs w:val="24"/>
                  <w:lang w:eastAsia="en-GB"/>
                </w:rPr>
              </w:pPr>
              <w:r>
                <w:fldChar w:fldCharType="begin"/>
              </w:r>
              <w:r>
                <w:instrText xml:space="preserve"> HYPERLINK \l "_Toc129339192" </w:instrText>
              </w:r>
              <w:r>
                <w:fldChar w:fldCharType="separate"/>
              </w:r>
              <w:r>
                <w:rPr>
                  <w:rStyle w:val="10"/>
                  <w:rFonts w:ascii="Times New Roman" w:hAnsi="Times New Roman" w:cs="Times New Roman"/>
                  <w:sz w:val="24"/>
                  <w:szCs w:val="24"/>
                </w:rPr>
                <w:t>Appendix</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_Toc129339192 \h </w:instrText>
              </w:r>
              <w:r>
                <w:rPr>
                  <w:rFonts w:ascii="Times New Roman" w:hAnsi="Times New Roman" w:cs="Times New Roman"/>
                  <w:sz w:val="24"/>
                  <w:szCs w:val="24"/>
                </w:rPr>
                <w:fldChar w:fldCharType="separate"/>
              </w:r>
              <w:r>
                <w:rPr>
                  <w:rFonts w:ascii="Times New Roman" w:hAnsi="Times New Roman" w:cs="Times New Roman"/>
                  <w:sz w:val="24"/>
                  <w:szCs w:val="24"/>
                </w:rPr>
                <w:t>20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360" w:lineRule="auto"/>
                <w:jc w:val="both"/>
                <w:rPr>
                  <w:rFonts w:ascii="Times New Roman" w:hAnsi="Times New Roman" w:cs="Times New Roman"/>
                  <w:sz w:val="24"/>
                  <w:szCs w:val="24"/>
                </w:rPr>
              </w:pPr>
              <w:r>
                <w:rPr>
                  <w:rFonts w:ascii="Times New Roman" w:hAnsi="Times New Roman" w:cs="Times New Roman"/>
                  <w:b/>
                  <w:bCs/>
                  <w:sz w:val="24"/>
                  <w:szCs w:val="24"/>
                </w:rPr>
                <w:fldChar w:fldCharType="end"/>
              </w:r>
              <w:r>
                <w:rPr>
                  <w:rFonts w:ascii="Times New Roman" w:hAnsi="Times New Roman" w:cs="Times New Roman"/>
                  <w:b/>
                  <w:bCs/>
                  <w:sz w:val="24"/>
                  <w:szCs w:val="24"/>
                </w:rPr>
                <w:t xml:space="preserve"> </w:t>
              </w:r>
            </w:p>
          </w:sdtContent>
        </w:sdt>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pStyle w:val="2"/>
            <w:spacing w:line="360" w:lineRule="auto"/>
            <w:jc w:val="both"/>
            <w:rPr>
              <w:rFonts w:ascii="Times New Roman" w:hAnsi="Times New Roman" w:cs="Times New Roman"/>
              <w:b/>
              <w:bCs/>
              <w:color w:val="auto"/>
              <w:sz w:val="24"/>
              <w:szCs w:val="24"/>
            </w:rPr>
          </w:pPr>
          <w:bookmarkStart w:id="1" w:name="_Toc129339186"/>
          <w:r>
            <w:rPr>
              <w:rFonts w:ascii="Times New Roman" w:hAnsi="Times New Roman" w:cs="Times New Roman"/>
              <w:b/>
              <w:bCs/>
              <w:color w:val="auto"/>
              <w:sz w:val="24"/>
              <w:szCs w:val="24"/>
            </w:rPr>
            <w:t>Introduction</w:t>
          </w:r>
          <w:bookmarkEnd w:id="1"/>
        </w:p>
        <w:p>
          <w:pPr>
            <w:spacing w:line="360" w:lineRule="auto"/>
            <w:jc w:val="both"/>
            <w:rPr>
              <w:rFonts w:ascii="Times New Roman" w:hAnsi="Times New Roman" w:cs="Times New Roman"/>
              <w:sz w:val="24"/>
              <w:szCs w:val="24"/>
            </w:rPr>
          </w:pPr>
          <w:r>
            <w:rPr>
              <w:rFonts w:ascii="Times New Roman" w:hAnsi="Times New Roman" w:cs="Times New Roman"/>
              <w:sz w:val="24"/>
              <w:szCs w:val="24"/>
            </w:rPr>
            <w:t>This report consists of two case studies. The first case study (Portal Fabrication plc) primarily covers the company's efforts to improve coordination between its two divisions. The two divisions are manufacturing or sales and service. Portal Fabrication has been quite effective over the last half a decade as far as the production of car buffing machines is concerned. Further, this process has been supported by a three-year warranty that has played a vital role in guaranteeing repair services and maintenance of the machine elements without incurring additional costs to the consumers. Based on the information presented in the case study, the company's primary objective is to significantly increase its shareholder wealth by utilising the total shareholder return (TSR) and return on Investment (ROI) in assessing the productivity of the two divisions. The second case study (of Troyland Footwear Brand) dwells more on the firm's effort toward expanding its product variety and consumer base. Troyland Footwear Limited is a medium-sized footwear manufacturer, designer, and retailer. The company serves customers from the middle- and upper-class social stratification with various footwear products such as sandals, shoes, boots, and other accessories. The company began as a sole proprietorship, confined to a single small store, which then expanded to e-commerce in 2014. Generally, the two case studies are unique and present distinct challenges and opportunities for assessment and analysis.</w:t>
          </w:r>
        </w:p>
        <w:p>
          <w:pPr>
            <w:pStyle w:val="2"/>
            <w:spacing w:line="360" w:lineRule="auto"/>
            <w:jc w:val="both"/>
            <w:rPr>
              <w:rFonts w:ascii="Times New Roman" w:hAnsi="Times New Roman" w:cs="Times New Roman"/>
              <w:b/>
              <w:bCs/>
              <w:color w:val="auto"/>
              <w:sz w:val="24"/>
              <w:szCs w:val="24"/>
            </w:rPr>
          </w:pPr>
          <w:bookmarkStart w:id="2" w:name="_Toc129339187"/>
          <w:r>
            <w:rPr>
              <w:rFonts w:ascii="Times New Roman" w:hAnsi="Times New Roman" w:cs="Times New Roman"/>
              <w:b/>
              <w:bCs/>
              <w:color w:val="auto"/>
              <w:sz w:val="24"/>
              <w:szCs w:val="24"/>
            </w:rPr>
            <w:t>Main Findings</w:t>
          </w:r>
          <w:bookmarkEnd w:id="2"/>
        </w:p>
        <w:p>
          <w:pPr>
            <w:spacing w:line="360" w:lineRule="auto"/>
            <w:jc w:val="both"/>
            <w:rPr>
              <w:rFonts w:ascii="Times New Roman" w:hAnsi="Times New Roman" w:cs="Times New Roman"/>
              <w:sz w:val="24"/>
              <w:szCs w:val="24"/>
            </w:rPr>
          </w:pPr>
          <w:r>
            <w:rPr>
              <w:rFonts w:ascii="Times New Roman" w:hAnsi="Times New Roman" w:cs="Times New Roman"/>
              <w:sz w:val="24"/>
              <w:szCs w:val="24"/>
            </w:rPr>
            <w:t>Performance management is the process of consistently monitoring and improving a workforce, team, or firm's performance. In addition, performance management encompasses establishing clear and straightforward objectives, adequately setting up key performance indicators (KPIs), continuously issuing regular feedback and training, conducting needs assessments based on training and development, and constantly conducting performance evaluations (Armstrong, 2021). The primary objective of performance management is to align personal and company goals, improve performance to increase workforce productivity and guarantee that workers strive towards achieving the desired output. Performance management is also critical because it presents a crucial framework for acknowledging and rewarding high-performing teams and individuals and establishing corrective frameworks for addressing poor-performing employees. Effective performance management plays a significant role in assisting organizations in adequately optimising their resources, thereby enhancing their productivity and capacity to achieve their long-term strategic goals.</w:t>
          </w:r>
        </w:p>
        <w:p>
          <w:pPr>
            <w:pStyle w:val="3"/>
            <w:spacing w:line="360" w:lineRule="auto"/>
            <w:jc w:val="center"/>
            <w:rPr>
              <w:rFonts w:ascii="Times New Roman" w:hAnsi="Times New Roman" w:cs="Times New Roman"/>
              <w:b/>
              <w:bCs/>
              <w:color w:val="auto"/>
              <w:sz w:val="24"/>
              <w:szCs w:val="24"/>
            </w:rPr>
          </w:pPr>
          <w:bookmarkStart w:id="3" w:name="_Toc129339188"/>
          <w:r>
            <w:rPr>
              <w:rFonts w:ascii="Times New Roman" w:hAnsi="Times New Roman" w:cs="Times New Roman"/>
              <w:b/>
              <w:bCs/>
              <w:color w:val="auto"/>
              <w:sz w:val="24"/>
              <w:szCs w:val="24"/>
            </w:rPr>
            <w:t>Task 1 – Portal Fabrication PLC</w:t>
          </w:r>
          <w:bookmarkEnd w:id="3"/>
        </w:p>
        <w:p>
          <w:pPr>
            <w:pStyle w:val="16"/>
            <w:numPr>
              <w:ilvl w:val="0"/>
              <w:numId w:val="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Divisional performance at Portal and the proposed measures of divisional performance.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Portal Fabrication Plc is a firm that specialises in manufacturing car buffing machines that are being used in mechanic warehouses and workshops. Furthermore, it is worth acknowledging that this company has succeeded in establishing and effectively maintaining a reliable and loyal consumer base by manufacturing the best quality machinery supported by a warranty valid for three years. Most importantly, the company has invested in two essential divisions. These divisions are; Manufacturing/sales and service divisions. Based on the case study, the company's Board is now focusing on embracing strategies to step up effective coordination between the two divisions, benefiting the company in general.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main concern facing the company's Board is that the performance of the divisional managers needs to be adequately evaluated primarily by utilising contemporary divisional performance measures. Generally, the Board embraces the TSR approach as the primary organizational metric for performance. The company also uses the ROI as its primary relative metric for performance regarding the two divisions. According to the stipulated current data in the case study, the manufacturing and sales division generated £880 million in its sales revenue. On the other hand, the service division made £17 million. In this respect, the statistics indicate that the cumulative operating costs of the manufacturing and sales division stood at £494 million. In contrast, the operating costs of the service division were £11 million. It is also worth acknowledging that the manufacturing and sales division’s operating profit was £6 million. The costs associated with the apportioned head office amounted to £85 million for the manufacturing and sales division and £1 million for the service division. The company's profits before tax were £301 million (Manufacturing and sales division), while the service division generated £38 million.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Return on investments (ROI)</w:t>
          </w:r>
        </w:p>
        <w:p>
          <w:pPr>
            <w:pStyle w:val="16"/>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the manufacturing and sales division </w:t>
          </w:r>
        </w:p>
        <w:p>
          <w:pPr>
            <w:pStyle w:val="16"/>
            <w:spacing w:line="360" w:lineRule="auto"/>
            <w:jc w:val="both"/>
            <w:rPr>
              <w:rFonts w:ascii="Times New Roman" w:hAnsi="Times New Roman" w:cs="Times New Roman"/>
              <w:sz w:val="24"/>
              <w:szCs w:val="24"/>
            </w:rPr>
          </w:pPr>
        </w:p>
        <w:p>
          <w:pPr>
            <w:pStyle w:val="16"/>
            <w:spacing w:line="360" w:lineRule="auto"/>
            <w:jc w:val="both"/>
            <w:rPr>
              <w:rFonts w:ascii="Times New Roman" w:hAnsi="Times New Roman" w:cs="Times New Roman" w:eastAsiaTheme="minorEastAsia"/>
              <w:sz w:val="24"/>
              <w:szCs w:val="24"/>
            </w:rPr>
          </w:pPr>
          <m:oMath>
            <m:f>
              <m:fPr>
                <m:ctrlPr>
                  <w:rPr>
                    <w:rFonts w:ascii="Cambria Math" w:hAnsi="Cambria Math" w:cs="Times New Roman"/>
                    <w:sz w:val="24"/>
                    <w:szCs w:val="24"/>
                  </w:rPr>
                </m:ctrlPr>
              </m:fPr>
              <m:num>
                <m:r>
                  <m:rPr>
                    <m:sty m:val="p"/>
                  </m:rPr>
                  <w:rPr>
                    <w:rFonts w:ascii="Cambria Math" w:hAnsi="Cambria Math" w:cs="Times New Roman"/>
                    <w:sz w:val="24"/>
                    <w:szCs w:val="24"/>
                  </w:rPr>
                  <m:t>Operating Profit</m:t>
                </m:r>
                <m:ctrlPr>
                  <w:rPr>
                    <w:rFonts w:ascii="Cambria Math" w:hAnsi="Cambria Math" w:cs="Times New Roman"/>
                    <w:sz w:val="24"/>
                    <w:szCs w:val="24"/>
                  </w:rPr>
                </m:ctrlPr>
              </m:num>
              <m:den>
                <m:r>
                  <m:rPr>
                    <m:sty m:val="p"/>
                  </m:rPr>
                  <w:rPr>
                    <w:rFonts w:ascii="Cambria Math" w:hAnsi="Cambria Math" w:cs="Times New Roman"/>
                    <w:sz w:val="24"/>
                    <w:szCs w:val="24"/>
                  </w:rPr>
                  <m:t>Capital Employed</m:t>
                </m:r>
                <m:ctrlPr>
                  <w:rPr>
                    <w:rFonts w:ascii="Cambria Math" w:hAnsi="Cambria Math" w:cs="Times New Roman"/>
                    <w:sz w:val="24"/>
                    <w:szCs w:val="24"/>
                  </w:rPr>
                </m:ctrlPr>
              </m:den>
            </m:f>
          </m:oMath>
          <w:r>
            <w:rPr>
              <w:rFonts w:ascii="Times New Roman" w:hAnsi="Times New Roman" w:cs="Times New Roman" w:eastAsiaTheme="minorEastAsia"/>
              <w:sz w:val="24"/>
              <w:szCs w:val="24"/>
            </w:rPr>
            <w:t xml:space="preserve"> = </w:t>
          </w:r>
          <m:oMath>
            <m:f>
              <w:bookmarkStart w:id="4" w:name="_Hlk134287581"/>
              <m:fPr>
                <m:ctrlPr>
                  <w:rPr>
                    <w:rFonts w:ascii="Cambria Math" w:hAnsi="Cambria Math" w:cs="Times New Roman" w:eastAsiaTheme="minorEastAsia"/>
                    <w:sz w:val="24"/>
                    <w:szCs w:val="24"/>
                  </w:rPr>
                </m:ctrlPr>
              </m:fPr>
              <m:num>
                <m:r>
                  <m:rPr>
                    <m:sty m:val="p"/>
                  </m:rPr>
                  <w:rPr>
                    <w:rFonts w:ascii="Cambria Math" w:hAnsi="Cambria Math" w:cs="Times New Roman" w:eastAsiaTheme="minorEastAsia"/>
                    <w:sz w:val="24"/>
                    <w:szCs w:val="24"/>
                  </w:rPr>
                  <m:t>£386m</m:t>
                </m:r>
                <m:ctrlPr>
                  <w:rPr>
                    <w:rFonts w:ascii="Cambria Math" w:hAnsi="Cambria Math" w:cs="Times New Roman" w:eastAsiaTheme="minorEastAsia"/>
                    <w:sz w:val="24"/>
                    <w:szCs w:val="24"/>
                  </w:rPr>
                </m:ctrlPr>
              </m:num>
              <m:den>
                <m:r>
                  <m:rPr>
                    <m:sty m:val="p"/>
                  </m:rPr>
                  <w:rPr>
                    <w:rFonts w:ascii="Cambria Math" w:hAnsi="Cambria Math" w:cs="Times New Roman" w:eastAsiaTheme="minorEastAsia"/>
                    <w:sz w:val="24"/>
                    <w:szCs w:val="24"/>
                  </w:rPr>
                  <m:t>£1294m</m:t>
                </m:r>
                <m:ctrlPr>
                  <w:rPr>
                    <w:rFonts w:ascii="Cambria Math" w:hAnsi="Cambria Math" w:cs="Times New Roman" w:eastAsiaTheme="minorEastAsia"/>
                    <w:sz w:val="24"/>
                    <w:szCs w:val="24"/>
                  </w:rPr>
                </m:ctrlPr>
              </m:den>
            </m:f>
          </m:oMath>
          <w:bookmarkEnd w:id="4"/>
          <w:r>
            <w:rPr>
              <w:rFonts w:ascii="Times New Roman" w:hAnsi="Times New Roman" w:cs="Times New Roman" w:eastAsiaTheme="minorEastAsia"/>
              <w:sz w:val="24"/>
              <w:szCs w:val="24"/>
            </w:rPr>
            <w:t xml:space="preserve"> = 0.298 </w:t>
          </w:r>
        </w:p>
        <w:p>
          <w:pPr>
            <w:pStyle w:val="16"/>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ROI (M/S) = 29.8%</w:t>
          </w:r>
        </w:p>
        <w:p>
          <w:pPr>
            <w:pStyle w:val="16"/>
            <w:numPr>
              <w:ilvl w:val="0"/>
              <w:numId w:val="2"/>
            </w:num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For the service division</w:t>
          </w:r>
        </w:p>
        <w:p>
          <w:pPr>
            <w:pStyle w:val="16"/>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ROI = </w:t>
          </w:r>
          <m:oMath>
            <m:f>
              <m:fPr>
                <m:ctrlPr>
                  <w:rPr>
                    <w:rFonts w:ascii="Cambria Math" w:hAnsi="Cambria Math" w:cs="Times New Roman" w:eastAsiaTheme="minorEastAsia"/>
                    <w:sz w:val="24"/>
                    <w:szCs w:val="24"/>
                  </w:rPr>
                </m:ctrlPr>
              </m:fPr>
              <m:num>
                <m:r>
                  <m:rPr>
                    <m:sty m:val="p"/>
                  </m:rPr>
                  <w:rPr>
                    <w:rFonts w:ascii="Cambria Math" w:hAnsi="Cambria Math" w:cs="Times New Roman" w:eastAsiaTheme="minorEastAsia"/>
                    <w:sz w:val="24"/>
                    <w:szCs w:val="24"/>
                  </w:rPr>
                  <m:t>£6m</m:t>
                </m:r>
                <m:ctrlPr>
                  <w:rPr>
                    <w:rFonts w:ascii="Cambria Math" w:hAnsi="Cambria Math" w:cs="Times New Roman" w:eastAsiaTheme="minorEastAsia"/>
                    <w:sz w:val="24"/>
                    <w:szCs w:val="24"/>
                  </w:rPr>
                </m:ctrlPr>
              </m:num>
              <m:den>
                <m:r>
                  <m:rPr>
                    <m:sty m:val="p"/>
                  </m:rPr>
                  <w:rPr>
                    <w:rFonts w:ascii="Cambria Math" w:hAnsi="Cambria Math" w:cs="Times New Roman" w:eastAsiaTheme="minorEastAsia"/>
                    <w:sz w:val="24"/>
                    <w:szCs w:val="24"/>
                  </w:rPr>
                  <m:t>£38m</m:t>
                </m:r>
                <m:ctrlPr>
                  <w:rPr>
                    <w:rFonts w:ascii="Cambria Math" w:hAnsi="Cambria Math" w:cs="Times New Roman" w:eastAsiaTheme="minorEastAsia"/>
                    <w:sz w:val="24"/>
                    <w:szCs w:val="24"/>
                  </w:rPr>
                </m:ctrlPr>
              </m:den>
            </m:f>
          </m:oMath>
          <w:r>
            <w:rPr>
              <w:rFonts w:ascii="Times New Roman" w:hAnsi="Times New Roman" w:cs="Times New Roman" w:eastAsiaTheme="minorEastAsia"/>
              <w:sz w:val="24"/>
              <w:szCs w:val="24"/>
            </w:rPr>
            <w:t xml:space="preserve"> = 0.158</w:t>
          </w:r>
        </w:p>
        <w:p>
          <w:pPr>
            <w:pStyle w:val="16"/>
            <w:spacing w:line="360" w:lineRule="auto"/>
            <w:jc w:val="both"/>
            <w:rPr>
              <w:rFonts w:ascii="Times New Roman" w:hAnsi="Times New Roman" w:cs="Times New Roman" w:eastAsiaTheme="minorEastAsia"/>
              <w:sz w:val="24"/>
              <w:szCs w:val="24"/>
            </w:rPr>
          </w:pPr>
        </w:p>
        <w:p>
          <w:pPr>
            <w:pStyle w:val="16"/>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b/>
              <w:bCs/>
              <w:sz w:val="24"/>
              <w:szCs w:val="24"/>
            </w:rPr>
            <w:t>ROI (S)</w:t>
          </w:r>
          <w:r>
            <w:rPr>
              <w:rFonts w:ascii="Times New Roman" w:hAnsi="Times New Roman" w:cs="Times New Roman" w:eastAsiaTheme="minorEastAsia"/>
              <w:sz w:val="24"/>
              <w:szCs w:val="24"/>
            </w:rPr>
            <w:t xml:space="preserve"> = 15.8%</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From these calculations, it is essential to note that ROI is an important metric that compares the operating profits against the amount of capital invested within a division (DeNisi &amp; Murphy, 2017). Furthermore, this metric also compares the performance levels of different organizational divisions. However, the primary limitation of this metric is that it needs to account for the cost of capital. </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The Residual Income (RI) is an additional important metric suggested by the Board. The RI can be obtained by deducting the cost of capital from the operating profit (Cunha et al., 2018). The subsequent step in this calculation is to divide the outcome by the capital employed. According to the company's statistics, the notional cost of utilised capital stands at 9% p.a. In this respect, the RI associated with the manufacturing and sales division is;</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£269.5m = (£386m- (9% </w:t>
          </w:r>
          <m:oMath>
            <m:r>
              <m:rPr/>
              <w:rPr>
                <w:rFonts w:ascii="Cambria Math" w:hAnsi="Cambria Math" w:cs="Times New Roman" w:eastAsiaTheme="minorEastAsia"/>
                <w:sz w:val="24"/>
                <w:szCs w:val="24"/>
              </w:rPr>
              <m:t>×</m:t>
            </m:r>
          </m:oMath>
          <w:r>
            <w:rPr>
              <w:rFonts w:ascii="Times New Roman" w:hAnsi="Times New Roman" w:cs="Times New Roman" w:eastAsiaTheme="minorEastAsia"/>
              <w:sz w:val="24"/>
              <w:szCs w:val="24"/>
            </w:rPr>
            <w:t xml:space="preserve"> £1294m))</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RI (M/S) = 269.5m</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RI (S) = (£6m- (9% </w:t>
          </w:r>
          <m:oMath>
            <m:r>
              <m:rPr/>
              <w:rPr>
                <w:rFonts w:ascii="Cambria Math" w:hAnsi="Cambria Math" w:cs="Times New Roman" w:eastAsiaTheme="minorEastAsia"/>
                <w:sz w:val="24"/>
                <w:szCs w:val="24"/>
              </w:rPr>
              <m:t>×</m:t>
            </m:r>
          </m:oMath>
          <w:r>
            <w:rPr>
              <w:rFonts w:ascii="Times New Roman" w:hAnsi="Times New Roman" w:cs="Times New Roman" w:eastAsiaTheme="minorEastAsia"/>
              <w:sz w:val="24"/>
              <w:szCs w:val="24"/>
            </w:rPr>
            <w:t xml:space="preserve"> £38m))</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RI (S) = 2.58m</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The Economic Value Added (EVATM) is a critical metric the Board has considered. This metric is calculated based on deducting the cost of capital from the operating profit. After deducting the cost of capital, the result is multiplied by the capital employed. Based on the case study, the notional cost of capital is 0.009 0r 9%. Here, the manufacturing and sales division's EVATM is;</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(£386m – (9% </w:t>
          </w:r>
          <m:oMath>
            <m:r>
              <m:rPr/>
              <w:rPr>
                <w:rFonts w:ascii="Cambria Math" w:hAnsi="Cambria Math" w:cs="Times New Roman" w:eastAsiaTheme="minorEastAsia"/>
                <w:sz w:val="24"/>
                <w:szCs w:val="24"/>
              </w:rPr>
              <m:t>×</m:t>
            </m:r>
          </m:oMath>
          <w:r>
            <w:rPr>
              <w:rFonts w:ascii="Times New Roman" w:hAnsi="Times New Roman" w:cs="Times New Roman" w:eastAsiaTheme="minorEastAsia"/>
              <w:sz w:val="24"/>
              <w:szCs w:val="24"/>
            </w:rPr>
            <w:t xml:space="preserve"> £1294m)) </w:t>
          </w:r>
          <m:oMath>
            <m:r>
              <m:rPr/>
              <w:rPr>
                <w:rFonts w:ascii="Cambria Math" w:hAnsi="Cambria Math" w:cs="Times New Roman" w:eastAsiaTheme="minorEastAsia"/>
                <w:sz w:val="24"/>
                <w:szCs w:val="24"/>
              </w:rPr>
              <m:t>×</m:t>
            </m:r>
          </m:oMath>
          <w:r>
            <w:rPr>
              <w:rFonts w:ascii="Times New Roman" w:hAnsi="Times New Roman" w:cs="Times New Roman" w:eastAsiaTheme="minorEastAsia"/>
              <w:sz w:val="24"/>
              <w:szCs w:val="24"/>
            </w:rPr>
            <w:t xml:space="preserve"> £1294</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 348m</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ROI is one of the most superficial metrics to calculate and compare (Cunha et al., 2019). However, one of the leading limitations of this metric is that it does not account for the cost of capital. The primary advantage of RI and EVATM is that it accounts for the cost of capital. However, the main disadvantage of these measures is that they could be more complex to calculate and compare. In general, all of these measures have their advantages and limitations. Therefore, the company's Board must consider the measure best suits their assessment of the two divisions' performance. Portal PLC proposes measuring divisional performance using ROI, Ri, and EVATM. In this case, using multiple metrics for evaluating divisional proficiency can provide an all-encompassing appraisal, even though each metric has advantages and disadvantages. In any case, the Board must exercise caution before implementing new performance evaluations since this can have unintended consequences, such as encouraging managers' focus on short-term financial returns at the expense of long-term investment in growth and innovative activities. In addition to generating more income from outsourcing warranty services and using their technical skills for other purposes, the Board should also consider where the service department stands. A review of costs versus benefits around changing the existing internal recharge agreement between M/S and service is necessary (Bellisario &amp; Pavlov, 2018). This is necessary for the Board to determine whether tailoring transfer pricing methodologies would ensure company goals are achieved. The consideration of implementing a new information system based on an accessible, integrated, and single database for all firm locations is currently under discussion by the Board. If implemented wisely, such a system has the potential to offer significant benefits, such as better accessibility to data along with up-to-date information on operations, thus improving overall management. Before taking any steps, the Board must evaluate all possible expenses and risks.</w:t>
          </w:r>
        </w:p>
        <w:p>
          <w:pPr>
            <w:pStyle w:val="16"/>
            <w:numPr>
              <w:ilvl w:val="0"/>
              <w:numId w:val="1"/>
            </w:numPr>
            <w:tabs>
              <w:tab w:val="left" w:pos="2325"/>
            </w:tabs>
            <w:spacing w:line="360" w:lineRule="auto"/>
            <w:jc w:val="both"/>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The criteria for designing a transfer pricing system</w:t>
          </w:r>
          <w:r>
            <w:rPr>
              <w:rFonts w:ascii="Times New Roman" w:hAnsi="Times New Roman" w:cs="Times New Roman" w:eastAsiaTheme="minorEastAsia"/>
              <w:b/>
              <w:bCs/>
              <w:sz w:val="24"/>
              <w:szCs w:val="24"/>
            </w:rPr>
            <w:tab/>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When different departments in a company exchange goods or services with each other, it is necessary to determine their worth using a process called transfer pricing. In this respect, the target is to distribute income and expenses uniformly across all divisions to reduce tax liabilities. While designing a transfer pricing framework, it is essential to consider multiple factors, including compliance with local laws and their impact on taxes. Furthermore, to determine the transfer pricing for services between M/S divisions, the Board could use either market price or cost-plus modes. Utilising existing values of products and services offered in an open marketplace as a benchmark for fixing transfer prices relates to employing the market price approach. The Service Division, in this instance, will charge M/S Division at Market Price for any Warranty Repairs due to limited options. Regarding providers of this specific repair, it is difficult to determine what would be considered a fair market price (Bruskin et al., 2017). Therefore, the aforementioned method cannot be employed in this case. One can tell how much money is being made by looking at a particular division's markup, which represents their profit margin, and the addition of markup on repairs that fall under warranty is done by the service department, which determines what will be charged as transfer price for these services provided to M/S. It is worth mentioning that this method is the best choice for the case because it provides a more accessible avenue for determining the cost of production for the various repairs covered by the warranty.</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In calculating the transfer price using the cost-plus method, it is important first to evaluate the production cost for the repairs covered by the warranty. Generally, this would incorporate elements such as the costs of the parts, the overhead, and labour costs (Wigert &amp; Harter, 2017). From the case study, the M/S division sells approximately 550000 units annually. Based on the records from the past, about 8% of these sales demanded a form of repair within the three years covered by the warranty. In this case, the number of repairs covered by the warranty can be calculated as below;</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550,000 </w:t>
          </w:r>
          <m:oMath>
            <m:r>
              <m:rPr/>
              <w:rPr>
                <w:rFonts w:ascii="Cambria Math" w:hAnsi="Cambria Math" w:cs="Times New Roman" w:eastAsiaTheme="minorEastAsia"/>
                <w:sz w:val="24"/>
                <w:szCs w:val="24"/>
              </w:rPr>
              <m:t>×</m:t>
            </m:r>
          </m:oMath>
          <w:r>
            <w:rPr>
              <w:rFonts w:ascii="Times New Roman" w:hAnsi="Times New Roman" w:cs="Times New Roman" w:eastAsiaTheme="minorEastAsia"/>
              <w:sz w:val="24"/>
              <w:szCs w:val="24"/>
            </w:rPr>
            <w:t xml:space="preserve"> 8% = 44,000</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The cost of parts per repair is stipulated as £85. Additionally, the aggregate repair duration is 4 hours. Thus, the labour cost for each repair is calculated as below:</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4 </w:t>
          </w:r>
          <m:oMath>
            <m:r>
              <m:rPr/>
              <w:rPr>
                <w:rFonts w:ascii="Cambria Math" w:hAnsi="Cambria Math" w:cs="Times New Roman" w:eastAsiaTheme="minorEastAsia"/>
                <w:sz w:val="24"/>
                <w:szCs w:val="24"/>
              </w:rPr>
              <m:t>×</m:t>
            </m:r>
          </m:oMath>
          <w:r>
            <w:rPr>
              <w:rFonts w:ascii="Times New Roman" w:hAnsi="Times New Roman" w:cs="Times New Roman" w:eastAsiaTheme="minorEastAsia"/>
              <w:sz w:val="24"/>
              <w:szCs w:val="24"/>
            </w:rPr>
            <w:t xml:space="preserve"> £18 = £72</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The variable overhead cost for each repair:</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4 </w:t>
          </w:r>
          <m:oMath>
            <m:r>
              <m:rPr/>
              <w:rPr>
                <w:rFonts w:ascii="Cambria Math" w:hAnsi="Cambria Math" w:cs="Times New Roman" w:eastAsiaTheme="minorEastAsia"/>
                <w:sz w:val="24"/>
                <w:szCs w:val="24"/>
              </w:rPr>
              <m:t>×</m:t>
            </m:r>
          </m:oMath>
          <w:r>
            <w:rPr>
              <w:rFonts w:ascii="Times New Roman" w:hAnsi="Times New Roman" w:cs="Times New Roman" w:eastAsiaTheme="minorEastAsia"/>
              <w:sz w:val="24"/>
              <w:szCs w:val="24"/>
            </w:rPr>
            <w:t xml:space="preserve"> £12 = £48</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The fixed overhead cost for each repair:</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4 × £25 = £100</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In general, the cumulative cost of production for each of the repairs is:</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£85 + £72 + £48 + £100 = £305</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In calculating the transfer price using the cost-plus method, it is vital to incorporate a markup to the production cost. Suppose that the service division intends to incur a profit margin of 20% on the various repairs covered by the warranty policy. Hence, the transfer price would be calculated as follows:</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£305 x 1.20 = £366.</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Another strategy that the company can consider is using other transfer pricing methods, such as negotiated pricing. The company can also employ a hybrid approach incorporating mixed elements, market price, and cost-plus strategies. Apart from calculating the transfer price, the company can also consider evaluating the impacts of the internal recharge agreement on the performances of both divisions. The Board is also considering the RI and EV divisional performance metrics.</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b/>
              <w:bCs/>
              <w:sz w:val="24"/>
              <w:szCs w:val="24"/>
            </w:rPr>
            <w:t xml:space="preserve">RI </w:t>
          </w:r>
          <w:r>
            <w:rPr>
              <w:rFonts w:ascii="Times New Roman" w:hAnsi="Times New Roman" w:cs="Times New Roman" w:eastAsiaTheme="minorEastAsia"/>
              <w:sz w:val="24"/>
              <w:szCs w:val="24"/>
            </w:rPr>
            <w:t>for both divisions are calculated as follows;</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M/S division:</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RI = Operating Profits. – (The capital invested </w:t>
          </w:r>
          <m:oMath>
            <m:r>
              <m:rPr/>
              <w:rPr>
                <w:rFonts w:ascii="Cambria Math" w:hAnsi="Cambria Math" w:cs="Times New Roman" w:eastAsiaTheme="minorEastAsia"/>
                <w:sz w:val="24"/>
                <w:szCs w:val="24"/>
              </w:rPr>
              <m:t>×</m:t>
            </m:r>
          </m:oMath>
          <w:r>
            <w:rPr>
              <w:rFonts w:ascii="Times New Roman" w:hAnsi="Times New Roman" w:cs="Times New Roman" w:eastAsiaTheme="minorEastAsia"/>
              <w:sz w:val="24"/>
              <w:szCs w:val="24"/>
            </w:rPr>
            <w:t xml:space="preserve"> Minimum needed return rate)</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Therefore,</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RI = £386m - (£1,294m x 9%) = £374.354m</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S division</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RI = £6m - (£38m x 9%) = £2.58</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 EVA for both divisions is calculated as follows:</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For the M/S division,</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EVA = Operating profit - (Capital employed x WACC)</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However, WACC = (Equity Cost x Equity Proportion) + Debt Cost x (1 - Tax Rate) x Debt proportion)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(9% x 0.733) + (5.5% x (1 - 0.3) x 0.267)</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6.98%WACC</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sz w:val="24"/>
              <w:szCs w:val="24"/>
            </w:rPr>
            <w:t xml:space="preserve">EVA= Operating profits. – (Capital invested </w:t>
          </w:r>
          <m:oMath>
            <m:r>
              <m:rPr/>
              <w:rPr>
                <w:rFonts w:ascii="Cambria Math" w:hAnsi="Cambria Math" w:cs="Times New Roman"/>
                <w:sz w:val="24"/>
                <w:szCs w:val="24"/>
              </w:rPr>
              <m:t>×</m:t>
            </m:r>
          </m:oMath>
          <w:r>
            <w:rPr>
              <w:rFonts w:ascii="Times New Roman" w:hAnsi="Times New Roman" w:cs="Times New Roman" w:eastAsiaTheme="minorEastAsia"/>
              <w:sz w:val="24"/>
              <w:szCs w:val="24"/>
            </w:rPr>
            <w:t xml:space="preserve"> WACC)</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Thus,</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EVA = £386m - (£1,294m x 9%) </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 £269.54m</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For the service Division</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EVA = £6m - (£38m x 6.98%)</w:t>
          </w:r>
        </w:p>
        <w:p>
          <w:pPr>
            <w:spacing w:line="360" w:lineRule="auto"/>
            <w:jc w:val="both"/>
            <w:rPr>
              <w:rFonts w:ascii="Times New Roman" w:hAnsi="Times New Roman" w:cs="Times New Roman" w:eastAsiaTheme="minorEastAsia"/>
              <w:sz w:val="24"/>
              <w:szCs w:val="24"/>
            </w:rPr>
          </w:pPr>
          <w:r>
            <w:rPr>
              <w:rFonts w:ascii="Times New Roman" w:hAnsi="Times New Roman" w:cs="Times New Roman" w:eastAsiaTheme="minorEastAsia"/>
              <w:sz w:val="24"/>
              <w:szCs w:val="24"/>
            </w:rPr>
            <w:t>= £3.35m</w:t>
          </w:r>
        </w:p>
        <w:p>
          <w:pPr>
            <w:pStyle w:val="16"/>
            <w:numPr>
              <w:ilvl w:val="0"/>
              <w:numId w:val="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The potential impact of the introduction of the new executive information system at Portal on performance management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An executive information system (EIS) is a computerised information system that plays a significant role in issuing executives and other company stakeholders involved in decision-making and easy access to the internal and outside information specific to the organization. One of the main attributes of an EIS is that it incorporates a graphical user interface which allows the user to read data in different formats, including charts, graphical representations, and tables. There are various ways through which the EIS can improve performance management in an organization. For instance, it can issue company decision-makers and executives timely, precise, and relevant company data. Thus, this can allow these stakeholders to make well-informed decisions about the company's operations. Additionally, having easy and quick access to information can allow company management to identify patterns and trends and subsequently assume the best course of action to boost performance and productivity (Beeri et al., 2019). The EIS can also allow executives to monitor the KPIs and assess progress toward achieving the company's strategic objectives. The EIS can benefit the Portal Fabrication PLC in various ways. For instance, it can assist the company in improving its performance by providing the executives with real-time information on sales, profits, and expenses. Such information can assist executives in making well-informed decisions regarding company operations and the best approaches to improve performance. Some KPIs that the EIS may help monitor include; consumer satisfaction and systems uptime. Monitoring these KPIs is instrumental because they guarantee consumer loyalty and satisfaction. Lastly, an EIS can assist executives in evaluating the potential opportunities for revenue growth and expense minimization by accessing information and raw data from different divisions within the organization.</w:t>
          </w:r>
        </w:p>
        <w:p>
          <w:pPr>
            <w:pStyle w:val="3"/>
            <w:spacing w:line="360" w:lineRule="auto"/>
            <w:jc w:val="center"/>
            <w:rPr>
              <w:rFonts w:ascii="Times New Roman" w:hAnsi="Times New Roman" w:cs="Times New Roman"/>
              <w:b/>
              <w:bCs/>
              <w:color w:val="auto"/>
              <w:sz w:val="24"/>
              <w:szCs w:val="24"/>
            </w:rPr>
          </w:pPr>
          <w:bookmarkStart w:id="5" w:name="_Toc129339189"/>
          <w:r>
            <w:rPr>
              <w:rFonts w:ascii="Times New Roman" w:hAnsi="Times New Roman" w:cs="Times New Roman"/>
              <w:b/>
              <w:bCs/>
              <w:color w:val="auto"/>
              <w:sz w:val="24"/>
              <w:szCs w:val="24"/>
            </w:rPr>
            <w:t>Task 2 – Troy Brands</w:t>
          </w:r>
          <w:bookmarkEnd w:id="5"/>
        </w:p>
        <w:p>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w:t>
          </w:r>
          <w:r>
            <w:rPr>
              <w:rFonts w:ascii="Times New Roman" w:hAnsi="Times New Roman" w:cs="Times New Roman"/>
              <w:b/>
              <w:bCs/>
              <w:sz w:val="24"/>
              <w:szCs w:val="24"/>
            </w:rPr>
            <w:tab/>
          </w:r>
          <w:r>
            <w:rPr>
              <w:rFonts w:ascii="Times New Roman" w:hAnsi="Times New Roman" w:cs="Times New Roman"/>
              <w:b/>
              <w:bCs/>
              <w:sz w:val="24"/>
              <w:szCs w:val="24"/>
            </w:rPr>
            <w:t>The growth predicament fronting the Troyland footwear brand</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Troyland Footwear is a shoe company that owns the brand Troy and is private and limited. Ms. Plummer Evelyn founded the company to manufacture medium-size designer shoes for retail. Ms. Evelyn, the company's sole proprietor, projected to serve the shoes and accessory needs of the upper- and middle-class families in London by opening a tiny store in 2008. However, when the company grew in time to earn the status of limited liability, with employees increasing to sixteen in 2022. The increase in the number of employees and company activities necessitated specialization in handling tasks at departmental levels. The growth of Troyland Footwear into a large limited company has caused its management and founder to experience serious operation challenges. Troyland Footwear has had challenges collecting raw materials for production since the European Union sanctioned the entry of Uzbekistan cotton into European countries. The sanction was imposed due to the inhuman conditions cotton harvesters had to work in. Troyland Footwear sourced its fabric resource for embellishments and insoles from Uzbekistan from 2008 to 2015. The fabric was later transported to Bangladesh for processing, where it was weaved, styled, and cut before being transported to Troy's London warehouses. The two countries were great resources to the company since they offered cheap labour and raw materials, which enabled it to earn high-profit margins of almost 80%. However, when the 2016 sanction on Uzbekistan cotton was imposed, the company began experiencing diminishing returns.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European Union leaders found out that cotton workers in the Asian nation, Uzbekistan, were highly oppressed under the leadership of President Islam Karimov. The Uzbekistan Republic was labelled under the Environmental Justice Foundation Act as a major global exploitative enterprise. The workers or farmers were expected to earn low prices from cotton sales so that politicians could earn a bigger portion of profits gained through cotton sales. Conversely, cotton farmers suffered immensely from inhumane working conditions and low pay. Fortunately, the NGOs and media managed to cover the story and expose cases of human rights infringements. For instance, cases like child labour and forced labour were rampant in the cotton industry. Hence, a ban on purchasing raw cotton from Uzbekistan was justifiable, and Troy footwear suffered from exposure to that collateral damage. The company, since then, has had to incur extra charges in finding raw materials for production by sourcing cotton elsewhere. The Brexit agenda and the COVID pandemic largely contributed to diminishing sales of Troy's footwear brand. Brexit played the role of unmasking the primary flaws in the English economy. It was a disruption that exacerbated low productivity, declining global competitiveness, minimal business investments, and a lack of planning in the government to help solve existing problems. The effects of the disruptions caused precariousness in businesses and reduced productivity. For instance, some firms prepared for Brexit by directing their resources to activities that do not increase production, such as planning. The covid-19 pandemic, on the other hand, increased depression prevalence and production uncertainties. For instance, people feared catching the virus and became reluctant on return-to-work agreements. Their behaviour during the pandemic increased exhaustion, burnout, and low productivity.</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Brexit and the COVID pandemic also contributed to the depreciation of the sterling pound compared to the euro. This further affected Troy's shoe sales on an annual basis, in the sense that the number of purchases made by consumers significantly reduced. Brexit contributed to the pound's fall by 16% in 2016 when British voted to abandon the European Union (Lee, 2019). This vote caused mixed reactions among politicians, and there was the anticipation of trade frictions between British and its greatest counterpart, in addition to the uncertain political environment, which led to the selling of the pound by banks. The COVID pandemic measures also affected the pound by disrupting the trade of raw materials in Asian countries. European companies like Troyland Footwear depend on inputs from Asian countries to produce their products. Thus, such disruptions inhibit production. The pandemic also disrupted supply chains and intensified global inflation in many economies, affecting commodity consumption and thus weakening global currencies. Troy's capital management is affected by its high dependence on liquidated sales. High dependence on liquidated sales is a practice that limits the company from utilising bulk payment terms and trade discounts (Bauwens et al., 2019). For instance, Troyland footwear company could have benefited from available cost savings, among other benefits, were it not dependent on cash sales. Exploring cost-saving strategies would help Troy in rising through its financial ranks. Hence, it is wise for Troy's management to reconsider its sales strategy, among other approaches that promote financial flexibility. Troyland footwear is also challenged by credits availed by their key suppliers. Japanese suppliers, for instance, offer a 30-day credit on their supplies which any other cheap subcontractor cannot offer the company has traded with. The supply conditions make management of the company's working capital very difficult.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Troyland Footwear is experiencing difficulties deciding whether to continue with its old luxury branding approach or change it to penetration pricing. Penetration pricing is a policy determining prices that will help the company secure a market share. However, the decision is very critical since it will directly affect the company's overall profitability and future expansion projections. The company's pricing schemes will influence consumer perception of the brand and consequently impact revenue generation. Troyland footwear company is currently fronted with the need to reengineer its business processes to keep up with its fast growth. The company now needs diversification of its operations in sectors like retailing apparel. This diversification can be in the form of investment in time resources to optimise profitability. Failure to carry out such reinvention processes may result in losses for the company (Kroll &amp; Moynihan, 2018). For instance, Troy's reengineering calls for careful analysis of outcomes and decisions made in the company. The rigorous analysis of decisions will put the company on the right path for making decisions that can accelerate its expansion plans and pricing strategy. </w:t>
          </w:r>
        </w:p>
        <w:p>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b)</w:t>
          </w:r>
          <w:r>
            <w:rPr>
              <w:rFonts w:ascii="Times New Roman" w:hAnsi="Times New Roman" w:cs="Times New Roman"/>
              <w:b/>
              <w:bCs/>
              <w:sz w:val="24"/>
              <w:szCs w:val="24"/>
            </w:rPr>
            <w:tab/>
          </w:r>
          <w:r>
            <w:rPr>
              <w:rFonts w:ascii="Times New Roman" w:hAnsi="Times New Roman" w:cs="Times New Roman"/>
              <w:b/>
              <w:bCs/>
              <w:sz w:val="24"/>
              <w:szCs w:val="24"/>
            </w:rPr>
            <w:t>Qualitative and quantitative performance</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Balance Scorecard (BSC) is a common management instrument that can aid in estimating a company's performance using qualitative and quantitative terms. Four major perspectives govern the BSC; they include customer perspective, growth perspective, financial perspective, learning perspective, and central business perspective (Maestrini et al., 2019). The perspectives can be analysed using both qualitative and quantitative. Qualitative performance is used to assess an institution's performance and is generally subjective. Analysis of qualitative performance enables companies to measure non-financial metrics of a firm, such as level of employee engagement, innovation, customer satisfaction, and social responsibility. The non-financial metrics are significant indicators of a company's positioning among its competitors and can help prove with certainty that the firm has achieved its objectives. For instance, some customers perceive the BSC scorecard as a promoter of company scores (NPS) rather than an actual measure of qualitative performance. The occurrence of such perceptions on consumers' end normally indicates the level of consumer loyalty and satisfaction (Kaydos, 2020). Hence, companies must always ensure they receive little criticism about their products and alternatively take advantage of the complaints to make adjustments.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Troyland footwear company can be easily analysed using the non-metric performance analysis system since they have made their working capital data public. The data avail the company's sales composition, current assets and liabilities, market share, financial performance, income statement, and non-financial information on customer satisfaction reports. Publicising these amounts of data is good for the company since it allows for transparency so employees and customers can trust their BSC scorecard. It also allows any customer or company to calculate the BSC scorecard of the company using the data to prove its rating or findings. BSC scorecard rating is essential for companies since it enables them to track their professional employee perception towards the firm (Roscoe et al., 2019). Using the data, a company can tell whether it attracts many professional employees and their level of retention of high-value workers. They can also acquire measurements of operation errors occurring in a company and the time taken to complete tasks using the statistics on Continuing Professional Development (CPD). Moreover, investigation of consumer perception and working rate of employees is not done for laying off purposes but is aimed at retaining good employees and increasing customer satisfaction. Troyland Footwear's financial positioning can also be measured by assessing its balance sheets and income statements. Troyland footwear limited company performance can also be measured on a quantitative performance basis. Quantitative performance measurement is a numerical strategy used to analyse the performance of firms using data on their financial metrics. Such data usually contain the company's profit margins, return on investment (ROI), market share, and revenue growth rate. Measuring that data type helps keep many companies in check to ensure they stay within and achieve their financial goals (Bacon, 2023). The BSC scorecard, for instance, can be used to tell a firm's financial positioning by quantifying its annual revenue collection and growth rate performance.</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Troyland Footwear can utilise its data on working capital to assess its quantitative performance and succeed in improving it. First, the company can use the data to calculate the company's ratios on working capital. The data can assist the company in noting their current ratio, conversion cycle of their earnings, and quick ratios. Such ratios are essential in tracking and computing the company's operational efficacy and liquidity value (Mone et al., 2018). Troyland can reap the benefits of the ratios when they constantly organise benchmarks to analyse and improve their performance using the ratios. For instance, they can use the current ratio to know when there is a need to make a short-term adjustment on current assets. Second, Troyland can assess its sales composition using data in its working capital appendix to identify potential consumers. The data can help them locate their major consumers and assess their number so they do not make poor production decisions or marketing strategies. London, for instance, is a key consumer of Troyland shoe brands, and the company is aware that they do not need to use extra resources in advertising their products to that market. Troyland can instead investigate market changes and their grip on the market to pump more products, particularly for London. Third, Troyland can use its working capital data to analyse its financial performance. Data on the company's financial performance, as outlined in the third appendix of working capital information, show Troy's gross profit margins, operating expenses, revenue, and cost of sales. Monitoring such metrics can help the firm know departments that need changes to improve overall production. For instance, if the company learns that there is increasing sales cost, the management's hand will be forced to adjust their outsourcing by reducing the number of suppliers to minimise production costs. Troyland can also use the data to investigate the profit earned by the company after taxation to know its operating profit margins.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Lastly, Troyland can use the information on their non-financial metrics to know their level of consumer satisfaction. The company can also quantify the data to assess their task completion time and employee retention rate. Using such metrics and striving to keep higher metrics standards will relieve Troyland from spending extra resources in correcting operation errors. For instance, if Troyland's data indicate low consumer satisfaction rates, the company may have to invent new ways of changing its products and services. Doing this will help the company maintain a tight grip on its market share and expand it successively.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Troyland Footwear can generally use qualitative and quantitative data to improve its performance in many areas and earn high revenue. According to financial metric patterns, quantitative performance data can be used to measure a company's accurate profit margins, revenue growth speed, and return on investment data. Whereas, according to internal business metrics, quantitative data on performance can help provide accurate information on inventory turnover and production efficacies. On the other end, qualitative performance metrics can be used by the company to see the need for innovations and work towards improving product quality (Hashem, 2020). Also, Troyland can utilise data on their quantitative performance to assess the need for employee training and increase employee retention using qualitative measures simultaneously.</w:t>
          </w:r>
        </w:p>
        <w:p>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w:t>
          </w:r>
          <w:r>
            <w:rPr>
              <w:rFonts w:ascii="Times New Roman" w:hAnsi="Times New Roman" w:cs="Times New Roman"/>
              <w:b/>
              <w:bCs/>
              <w:sz w:val="24"/>
              <w:szCs w:val="24"/>
            </w:rPr>
            <w:tab/>
          </w:r>
          <w:r>
            <w:rPr>
              <w:rFonts w:ascii="Times New Roman" w:hAnsi="Times New Roman" w:cs="Times New Roman"/>
              <w:b/>
              <w:bCs/>
              <w:sz w:val="24"/>
              <w:szCs w:val="24"/>
            </w:rPr>
            <w:t>The need for business process reengineering</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Troyland Footwear Limited is encountering significant problems that demand business process reengineering to guarantee that the organization maintains its competitive edge and profitability. One of the leading growth challenges this company faces is the ban on raw materials procurement in Uzbekistan. Essentially, this ban has impacted the company's growth by significantly reducing the cumulative profits the business has been earning over time. Consequently, Troyland must strive to find alternative sources of raw materials that would give it an ultimate opportunity to reengineer its procurement processes to guarantee cost-effectiveness and high profitability (Petrillo et al., 2018). Additionally, the company needs to consider addressing the economic implications of Brexit regarding its sales. As presented in the case study, the quantity of orders made by consumers has significantly dropped, and the sterling pound has lost its value against the euro. Consequently, this has tremendously affected the company's recorded annual sales adversely. Therefore, reengineering the sales procedure is an important step for the company, which would help it ensure that it effectively adapts to the dynamic market conditions and maintains its position of constantly generating revenue. Another significant challenge facing Troyland is its dire need to expand its market shares. In this case, it is worth mentioning that this company is in a great dilemma on whether to stick to its luxury brand strategy or t transform its current pricing policy to penetrative pricing to sustain its market shares. In this respect, the company needs to re-engineer its pricing and marketing strategies to improve its capacity to attract more consumers and increase its revenue generation capacity. Further, Troyland must address the challenge associated with its capital management. Here, the current leadership team that averages two months can be minimised if the company shuns initiating its purchases from Japan. However, sourcing from Japanese suppliers has several advantages. In this case, one of the main advantages is that the Japanese suppliers offer a one-month (30 days) credit. In general, it is imperative to reengineer the company's capital management domain to guarantee that the business optimises its cash flows while maintaining a positive relationship with its suppliers.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Troyland Footwear must prioritise the diversification of its commodities. Although the company specialises in producing goods such as boots, sandals, and related accessories, it needs to seize the opportunity of expanding its retailing division, specialising in handbags to retailing in fashion products, bags, wallets, and cosmetic products. In this respect, the company needs to re-engineer its production line to cover the new product offering to meet a broad spectrum of consumer demands. Additionally, the company must consider addressing the challenge of the flattened span of control in which all the workers are answerable to Ms. Evelyn Plummer. Therefore, reengineering its organizational structure to guarantee that it can operate smoothly and more effectively, thereby leading to a better decision-making framework and proper delegation of duties (Sureka et al., 2021). To achieve the company’s long-term objectives, Troyland Limited must actively implement business process reengineering. It is worth acknowledging that business process reengineering is an important strategy encompassing restructuring the various business processes intending to significantly improve some of the most important performance metrics, such as cost, quality, efficiency, speed, and service. In addition, this form of reengineering incorporates remodelling the way work is implemented and the different procedures that back it.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Most importantly, to begin with, business process reengineering, it is important to identify the procedures that require restructuring and the achievement of company objectives. Troy Land Footwear Limited requires reengineering its procurement, sales, and marketing procedures. Thus, to identify areas of inefficiency and waste as a second step, the company must first analyse the current process and identify redundancies and bottlenecks necessary for streamlining current processes (Sureka et al., 2021). The company could reduce costs and time spent during procurement by sourcing its raw materials from available countries at a relatively lower cost. After that comes designing the updated methods. In this case, developing newer processes requires creating process maps while identifying advanced technologies and a redesigned organizational structure. In the case of sales, it may be necessary for a corporation to overhaul its website such that it becomes simpler for users while also including extra payment alternatives (Petrillo et al., 2018). In this case, the ability to implement new procedures lies within Troyland Limited. Effective implementation of new processes necessitates employee training, up-to-date technology, and careful examination. So, we take, for example, a production process; the action required might call for reconfiguring the assembly line or introducing some new machinery. One must monitor the implementation process closely to ensure it meets its objectives and that employees adjust well to new processes.</w:t>
          </w:r>
        </w:p>
        <w:p>
          <w:pPr>
            <w:pStyle w:val="2"/>
            <w:spacing w:line="360" w:lineRule="auto"/>
            <w:jc w:val="both"/>
            <w:rPr>
              <w:rFonts w:ascii="Times New Roman" w:hAnsi="Times New Roman" w:cs="Times New Roman"/>
              <w:b/>
              <w:bCs/>
              <w:color w:val="auto"/>
              <w:sz w:val="24"/>
              <w:szCs w:val="24"/>
            </w:rPr>
          </w:pPr>
          <w:bookmarkStart w:id="6" w:name="_Toc129339190"/>
          <w:r>
            <w:rPr>
              <w:rFonts w:ascii="Times New Roman" w:hAnsi="Times New Roman" w:cs="Times New Roman"/>
              <w:b/>
              <w:bCs/>
              <w:color w:val="auto"/>
              <w:sz w:val="24"/>
              <w:szCs w:val="24"/>
            </w:rPr>
            <w:t>Conclusion</w:t>
          </w:r>
          <w:bookmarkEnd w:id="6"/>
        </w:p>
        <w:p>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the case studies of the two companies operating in different industries, Portal Fabrication plc and Troyland Footwear Limited, have provided insights into their challenges. For the Portal Fabrication PLC, the Board expressed concern about the divisional performance measure and the internal recharge agreement between the manufacturing/sales and service divisions. After evaluating the proposed divisional performance measures, Residual Income, and Economic Value Added, their advantages, and disadvantages were assessed. Appropriate calculations were used to evaluate the two transfer pricing methods discussed: market price and cost plus. The service division proposed outsourcing the warranty service work and implementing a new integrated information system. The increase in costs following the ban on importing footwear from Uzbekistan was emphasised in Troy Land Footwear's case study. Not having adequate solutions to address reliance on only one source for raw materials and labour was a considerable risk for the company. Looking at cost analysis and gross profits, it is possible to tell exactly what impact banning has had on a company's profitability. The topics covered in their discussion included the company's structure and flat span of control. Monitoring and adapting to changes in the business ecosystem are crucial factors for remaining competitive and profitable, and both case studies provide evidence. Furthermore, achieving business goals and maximising shareholder return can be accomplished by adopting appropriate performance measures. Transfer pricing practices and up-to-date information systems complement these performance metrics.</w:t>
          </w:r>
        </w:p>
        <w:p>
          <w:pPr>
            <w:pStyle w:val="2"/>
            <w:spacing w:line="360"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References</w:t>
          </w:r>
        </w:p>
        <w:p>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Armstrong, M. (2021). Performance management. [online] Available from http://117.240.231.117:8081/jspui/bitstream/123456789/437/1/performance%20management%201.pdf</w:t>
          </w:r>
        </w:p>
        <w:p>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Bacon, C. R. (2023). Practical portfolio performance measurement and attribution. John Wiley &amp; Sons.</w:t>
          </w:r>
        </w:p>
        <w:p>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Bauwens, R., Audenaert, M., Huisman, J., &amp; Decramer, A. (2019). Performance management fairness and burnout: implications for organizational citizenship behaviors. Studies in Higher Education, 44(3), 584-598. </w:t>
          </w:r>
        </w:p>
        <w:p>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Beeri, I., Uster, A., &amp; Vigoda-Gadot, E. (2019). Does performance management relate to good governance? A study of its relationship with citizens’ satisfaction with and trust in Israeli local government. Public Performance &amp; Management Review, 42(2), 241-279. </w:t>
          </w:r>
        </w:p>
        <w:p>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Bellisario, A., &amp; Pavlov, A. (2018). Performance management practices in lean manufacturing organizations: a systematic review of research evidence. Production Planning &amp; Control, 29(5), 367-385. </w:t>
          </w:r>
        </w:p>
        <w:p>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Bruskin, S. N., Brezhneva, A. N., Dyakonova, L. P., Kitova, O. V., Savinova, V. M., Danko, T. P., &amp; Sekerin, V. D. (2017). Business performance management models based on the digital corporation’s paradigm. </w:t>
          </w:r>
        </w:p>
        <w:p>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Cunha, M. P. E., Vieira, D. V., Rego, A., &amp; Clegg, S. (2018). Why does performance management not perform? International journal of productivity and performance management, 67(4), 673-692. </w:t>
          </w:r>
        </w:p>
        <w:p>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DeNisi, A. S., &amp; Murphy, K. R. (2017). Performance appraisal and performance management: 100 years of progress? Journal of applied psychology, 102(3), 421. </w:t>
          </w:r>
        </w:p>
        <w:p>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Hashem, G. (2020). Organizational enablers of business process reengineering implementation: An empirical study on the service sector. International Journal of Productivity and Performance Management, 69(2), 321-343. </w:t>
          </w:r>
        </w:p>
        <w:p>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Kaydos, W. (2020). Operational performance measurement: increasing total productivity. CRC press.</w:t>
          </w:r>
        </w:p>
        <w:p>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Kroll, A., &amp; Moynihan, D. P. (2018). The design and practice of integrating evidence: Connecting performance management with program evaluation. Public Administration Review, 78(2), 183-194.</w:t>
          </w:r>
        </w:p>
        <w:p>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Lee, H. W. (2019). Moderators of the motivational effects of performance management: A comprehensive exploration based on expectancy theory. Public Personnel Management, 48(1), 27-55. </w:t>
          </w:r>
        </w:p>
        <w:p>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Maestrini, V., Luzzini, D., Maccarrone, P., &amp; Caniato, F. (2017). Supply chain performance measurement systems: A systematic review and research agenda. International Journal of Production Economics, 183, 299-315.</w:t>
          </w:r>
        </w:p>
        <w:p>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Mone, E. M., London, M., &amp; Mone, E. M. (2018). Employee engagement through effective performance management: A practical guide for managers. Routledge.</w:t>
          </w:r>
        </w:p>
        <w:p>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Petrillo, A., Di Bona, G., Forcina, A., &amp; Silvestri, A. (2018). Building excellence through the Agile Reengineering Performance Model (ARPM): A strategic business model for organizations. Business Process Management Journal. </w:t>
          </w:r>
        </w:p>
        <w:p>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Roscoe, S., Subramanian, N., Jabbour, C. J., &amp; Chong, T. (2019). Green human resource management and the enablers of green organisational culture: Enhancing a firm's environmental performance for sustainable development. Business Strategy and the Environment, 28(5), 737-749. </w:t>
          </w:r>
        </w:p>
        <w:p>
          <w:pPr>
            <w:spacing w:line="360" w:lineRule="auto"/>
            <w:ind w:left="720" w:hanging="720"/>
          </w:pPr>
          <w:r>
            <w:rPr>
              <w:rFonts w:ascii="Times New Roman" w:hAnsi="Times New Roman" w:cs="Times New Roman"/>
              <w:sz w:val="24"/>
              <w:szCs w:val="24"/>
            </w:rPr>
            <w:t>Sureka, R., Kumar, S., Kumar Mangla, S., &amp; Hourneaux Junior, F. (2021). Fifteen years of international journal of productivity and performance management (2004–2018). International Journal of Productivity and Performance Management, 70(5), 1092-1117</w:t>
          </w:r>
          <w:r>
            <w:t>.</w:t>
          </w:r>
        </w:p>
        <w:p>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Wigert, B. E. N., &amp; Harter, J. I. M. (2017). Re-engineering performance management. Gallup. com. Viewed: March, 6, 2019.</w:t>
          </w: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sdtContent>
    </w:sdt>
    <w:p>
      <w:pPr>
        <w:spacing w:line="360" w:lineRule="auto"/>
        <w:jc w:val="both"/>
        <w:rPr>
          <w:rFonts w:ascii="Times New Roman" w:hAnsi="Times New Roman" w:cs="Times New Roman"/>
          <w:sz w:val="24"/>
          <w:szCs w:val="24"/>
        </w:rPr>
      </w:pPr>
    </w:p>
    <w:p>
      <w:pPr>
        <w:pStyle w:val="2"/>
        <w:spacing w:line="360" w:lineRule="auto"/>
        <w:jc w:val="center"/>
        <w:rPr>
          <w:rFonts w:ascii="Times New Roman" w:hAnsi="Times New Roman" w:cs="Times New Roman"/>
          <w:b/>
          <w:bCs/>
          <w:color w:val="auto"/>
          <w:sz w:val="24"/>
          <w:szCs w:val="24"/>
        </w:rPr>
      </w:pPr>
      <w:bookmarkStart w:id="7" w:name="_Toc129339192"/>
      <w:r>
        <w:rPr>
          <w:rFonts w:ascii="Times New Roman" w:hAnsi="Times New Roman" w:cs="Times New Roman"/>
          <w:b/>
          <w:bCs/>
          <w:color w:val="auto"/>
          <w:sz w:val="24"/>
          <w:szCs w:val="24"/>
        </w:rPr>
        <w:br w:type="page"/>
      </w:r>
    </w:p>
    <w:p>
      <w:pPr>
        <w:pStyle w:val="2"/>
        <w:spacing w:line="360"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Appendix</w:t>
      </w:r>
      <w:bookmarkEnd w:id="7"/>
    </w:p>
    <w:p/>
    <w:p>
      <w:r>
        <w:drawing>
          <wp:inline distT="0" distB="0" distL="0" distR="0">
            <wp:extent cx="5944235" cy="2914015"/>
            <wp:effectExtent l="0" t="0" r="0" b="635"/>
            <wp:docPr id="598670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670787"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944235" cy="2914015"/>
                    </a:xfrm>
                    <a:prstGeom prst="rect">
                      <a:avLst/>
                    </a:prstGeom>
                    <a:noFill/>
                  </pic:spPr>
                </pic:pic>
              </a:graphicData>
            </a:graphic>
          </wp:inline>
        </w:drawing>
      </w:r>
    </w:p>
    <w:p/>
    <w:p>
      <w:r>
        <w:drawing>
          <wp:inline distT="0" distB="0" distL="0" distR="0">
            <wp:extent cx="5944235" cy="4432300"/>
            <wp:effectExtent l="0" t="0" r="0" b="6350"/>
            <wp:docPr id="19568035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803579"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944235" cy="4432300"/>
                    </a:xfrm>
                    <a:prstGeom prst="rect">
                      <a:avLst/>
                    </a:prstGeom>
                    <a:noFill/>
                  </pic:spPr>
                </pic:pic>
              </a:graphicData>
            </a:graphic>
          </wp:inline>
        </w:drawing>
      </w:r>
    </w:p>
    <w:p>
      <w:r>
        <w:drawing>
          <wp:inline distT="0" distB="0" distL="0" distR="0">
            <wp:extent cx="5944235" cy="3017520"/>
            <wp:effectExtent l="0" t="0" r="0" b="0"/>
            <wp:docPr id="13245173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517351"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944235" cy="3017520"/>
                    </a:xfrm>
                    <a:prstGeom prst="rect">
                      <a:avLst/>
                    </a:prstGeom>
                    <a:noFill/>
                  </pic:spPr>
                </pic:pic>
              </a:graphicData>
            </a:graphic>
          </wp:inline>
        </w:drawing>
      </w:r>
    </w:p>
    <w:sectPr>
      <w:footerReference r:id="rId8" w:type="first"/>
      <w:headerReference r:id="rId6" w:type="default"/>
      <w:footerReference r:id="rId7" w:type="default"/>
      <w:pgSz w:w="11906" w:h="16838"/>
      <w:pgMar w:top="1440" w:right="1440" w:bottom="1440" w:left="1440" w:header="708" w:footer="708" w:gutter="0"/>
      <w:pgNumType w:fmt="decimal" w:start="1"/>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Calibri">
    <w:panose1 w:val="020F0502020204030204"/>
    <w:charset w:val="86"/>
    <w:family w:val="swiss"/>
    <w:pitch w:val="default"/>
    <w:sig w:usb0="E0002EFF" w:usb1="C000247B" w:usb2="00000009" w:usb3="00000000" w:csb0="200001FF" w:csb1="00000000"/>
  </w:font>
  <w:font w:name="Calibri">
    <w:panose1 w:val="020F0502020204030204"/>
    <w:charset w:val="00"/>
    <w:family w:val="auto"/>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E55EDE"/>
    <w:multiLevelType w:val="multilevel"/>
    <w:tmpl w:val="1BE55EDE"/>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4C0C3C45"/>
    <w:multiLevelType w:val="multilevel"/>
    <w:tmpl w:val="4C0C3C4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dlMzY1YjYyM2M0MzM5Y2YxY2E5YzlmMjE4MGM2OTQifQ=="/>
  </w:docVars>
  <w:rsids>
    <w:rsidRoot w:val="007D1947"/>
    <w:rsid w:val="000232C6"/>
    <w:rsid w:val="00062ECD"/>
    <w:rsid w:val="00071406"/>
    <w:rsid w:val="000C14D9"/>
    <w:rsid w:val="000C4FAE"/>
    <w:rsid w:val="000D3C82"/>
    <w:rsid w:val="000E2FF4"/>
    <w:rsid w:val="00107936"/>
    <w:rsid w:val="00115B96"/>
    <w:rsid w:val="00142773"/>
    <w:rsid w:val="00145AD8"/>
    <w:rsid w:val="00166E7F"/>
    <w:rsid w:val="001B000B"/>
    <w:rsid w:val="001C3ADA"/>
    <w:rsid w:val="001C3F53"/>
    <w:rsid w:val="002301EE"/>
    <w:rsid w:val="00274A1C"/>
    <w:rsid w:val="00292977"/>
    <w:rsid w:val="00294783"/>
    <w:rsid w:val="002A5A23"/>
    <w:rsid w:val="00324CCD"/>
    <w:rsid w:val="0039377E"/>
    <w:rsid w:val="003D6905"/>
    <w:rsid w:val="003E0E5D"/>
    <w:rsid w:val="003F394A"/>
    <w:rsid w:val="003F3B2A"/>
    <w:rsid w:val="003F6A81"/>
    <w:rsid w:val="00480872"/>
    <w:rsid w:val="004A11F6"/>
    <w:rsid w:val="004D41C2"/>
    <w:rsid w:val="004D519C"/>
    <w:rsid w:val="005014C5"/>
    <w:rsid w:val="00521B50"/>
    <w:rsid w:val="005B52C5"/>
    <w:rsid w:val="00600585"/>
    <w:rsid w:val="00601AAC"/>
    <w:rsid w:val="00626684"/>
    <w:rsid w:val="00654B33"/>
    <w:rsid w:val="00657A45"/>
    <w:rsid w:val="00693E27"/>
    <w:rsid w:val="007A1731"/>
    <w:rsid w:val="007D1947"/>
    <w:rsid w:val="007D439F"/>
    <w:rsid w:val="008229DA"/>
    <w:rsid w:val="008D4C45"/>
    <w:rsid w:val="00931CAA"/>
    <w:rsid w:val="0099681F"/>
    <w:rsid w:val="00A05FEB"/>
    <w:rsid w:val="00A12B58"/>
    <w:rsid w:val="00A4233F"/>
    <w:rsid w:val="00A81827"/>
    <w:rsid w:val="00AA2A91"/>
    <w:rsid w:val="00AA48F2"/>
    <w:rsid w:val="00B20EBB"/>
    <w:rsid w:val="00B30F3F"/>
    <w:rsid w:val="00B75771"/>
    <w:rsid w:val="00B8251F"/>
    <w:rsid w:val="00BC1251"/>
    <w:rsid w:val="00C62856"/>
    <w:rsid w:val="00C813D2"/>
    <w:rsid w:val="00CA09F3"/>
    <w:rsid w:val="00CA7590"/>
    <w:rsid w:val="00CF5C64"/>
    <w:rsid w:val="00D26382"/>
    <w:rsid w:val="00D653D6"/>
    <w:rsid w:val="00D854A5"/>
    <w:rsid w:val="00DF3B0A"/>
    <w:rsid w:val="00E74C39"/>
    <w:rsid w:val="00E91208"/>
    <w:rsid w:val="00F313B8"/>
    <w:rsid w:val="00F348EF"/>
    <w:rsid w:val="00F42CAE"/>
    <w:rsid w:val="00F80A3C"/>
    <w:rsid w:val="00F90C68"/>
    <w:rsid w:val="00FA1FFC"/>
    <w:rsid w:val="00FC7417"/>
    <w:rsid w:val="00FE047F"/>
    <w:rsid w:val="0A0874C9"/>
    <w:rsid w:val="3470502D"/>
    <w:rsid w:val="537B403C"/>
    <w:rsid w:val="65E153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3"/>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4">
    <w:name w:val="footer"/>
    <w:basedOn w:val="1"/>
    <w:link w:val="19"/>
    <w:unhideWhenUsed/>
    <w:uiPriority w:val="99"/>
    <w:pPr>
      <w:tabs>
        <w:tab w:val="center" w:pos="4680"/>
        <w:tab w:val="right" w:pos="9360"/>
      </w:tabs>
      <w:spacing w:after="0" w:line="240" w:lineRule="auto"/>
    </w:pPr>
  </w:style>
  <w:style w:type="paragraph" w:styleId="5">
    <w:name w:val="header"/>
    <w:basedOn w:val="1"/>
    <w:link w:val="18"/>
    <w:unhideWhenUsed/>
    <w:uiPriority w:val="99"/>
    <w:pPr>
      <w:tabs>
        <w:tab w:val="center" w:pos="4680"/>
        <w:tab w:val="right" w:pos="9360"/>
      </w:tabs>
      <w:spacing w:after="0" w:line="240" w:lineRule="auto"/>
    </w:pPr>
  </w:style>
  <w:style w:type="paragraph" w:styleId="6">
    <w:name w:val="toc 1"/>
    <w:basedOn w:val="1"/>
    <w:next w:val="1"/>
    <w:unhideWhenUsed/>
    <w:uiPriority w:val="39"/>
    <w:pPr>
      <w:spacing w:after="100"/>
    </w:pPr>
  </w:style>
  <w:style w:type="paragraph" w:styleId="7">
    <w:name w:val="toc 2"/>
    <w:basedOn w:val="1"/>
    <w:next w:val="1"/>
    <w:unhideWhenUsed/>
    <w:uiPriority w:val="39"/>
    <w:pPr>
      <w:spacing w:after="100"/>
      <w:ind w:left="220"/>
    </w:pPr>
  </w:style>
  <w:style w:type="character" w:styleId="10">
    <w:name w:val="Hyperlink"/>
    <w:basedOn w:val="9"/>
    <w:unhideWhenUsed/>
    <w:uiPriority w:val="99"/>
    <w:rPr>
      <w:color w:val="0563C1" w:themeColor="hyperlink"/>
      <w:u w:val="single"/>
      <w14:textFill>
        <w14:solidFill>
          <w14:schemeClr w14:val="hlink"/>
        </w14:solidFill>
      </w14:textFill>
    </w:rPr>
  </w:style>
  <w:style w:type="paragraph" w:styleId="11">
    <w:name w:val="No Spacing"/>
    <w:link w:val="12"/>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2">
    <w:name w:val="No Spacing Char"/>
    <w:basedOn w:val="9"/>
    <w:link w:val="11"/>
    <w:uiPriority w:val="1"/>
    <w:rPr>
      <w:rFonts w:eastAsiaTheme="minorEastAsia"/>
      <w:lang w:val="en-US"/>
    </w:rPr>
  </w:style>
  <w:style w:type="character" w:customStyle="1" w:styleId="13">
    <w:name w:val="Heading 1 Char"/>
    <w:basedOn w:val="9"/>
    <w:link w:val="2"/>
    <w:uiPriority w:val="9"/>
    <w:rPr>
      <w:rFonts w:asciiTheme="majorHAnsi" w:hAnsiTheme="majorHAnsi" w:eastAsiaTheme="majorEastAsia" w:cstheme="majorBidi"/>
      <w:color w:val="2E75B6" w:themeColor="accent1" w:themeShade="BF"/>
      <w:sz w:val="32"/>
      <w:szCs w:val="32"/>
    </w:rPr>
  </w:style>
  <w:style w:type="paragraph" w:customStyle="1" w:styleId="14">
    <w:name w:val="TOC Heading"/>
    <w:basedOn w:val="2"/>
    <w:next w:val="1"/>
    <w:unhideWhenUsed/>
    <w:qFormat/>
    <w:uiPriority w:val="39"/>
    <w:pPr>
      <w:outlineLvl w:val="9"/>
    </w:pPr>
    <w:rPr>
      <w:lang w:val="en-US"/>
    </w:rPr>
  </w:style>
  <w:style w:type="character" w:customStyle="1" w:styleId="15">
    <w:name w:val="Heading 2 Char"/>
    <w:basedOn w:val="9"/>
    <w:link w:val="3"/>
    <w:uiPriority w:val="9"/>
    <w:rPr>
      <w:rFonts w:asciiTheme="majorHAnsi" w:hAnsiTheme="majorHAnsi" w:eastAsiaTheme="majorEastAsia" w:cstheme="majorBidi"/>
      <w:color w:val="2E75B6" w:themeColor="accent1" w:themeShade="BF"/>
      <w:sz w:val="26"/>
      <w:szCs w:val="26"/>
    </w:rPr>
  </w:style>
  <w:style w:type="paragraph" w:styleId="16">
    <w:name w:val="List Paragraph"/>
    <w:basedOn w:val="1"/>
    <w:qFormat/>
    <w:uiPriority w:val="34"/>
    <w:pPr>
      <w:ind w:left="720"/>
      <w:contextualSpacing/>
    </w:pPr>
  </w:style>
  <w:style w:type="character" w:styleId="17">
    <w:name w:val="Placeholder Text"/>
    <w:basedOn w:val="9"/>
    <w:semiHidden/>
    <w:uiPriority w:val="99"/>
    <w:rPr>
      <w:color w:val="808080"/>
    </w:rPr>
  </w:style>
  <w:style w:type="character" w:customStyle="1" w:styleId="18">
    <w:name w:val="Header Char"/>
    <w:basedOn w:val="9"/>
    <w:link w:val="5"/>
    <w:uiPriority w:val="99"/>
  </w:style>
  <w:style w:type="character" w:customStyle="1" w:styleId="19">
    <w:name w:val="Footer Char"/>
    <w:basedOn w:val="9"/>
    <w:link w:val="4"/>
    <w:uiPriority w:val="99"/>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B15A26-42CA-B54F-9963-1E6D880921F8}">
  <ds:schemaRefs/>
</ds:datastoreItem>
</file>

<file path=docProps/app.xml><?xml version="1.0" encoding="utf-8"?>
<Properties xmlns="http://schemas.openxmlformats.org/officeDocument/2006/extended-properties" xmlns:vt="http://schemas.openxmlformats.org/officeDocument/2006/docPropsVTypes">
  <Template>Normal.dotm</Template>
  <Company>University of Wales Trinity Saint David</Company>
  <Pages>22</Pages>
  <Words>5941</Words>
  <Characters>34172</Characters>
  <Lines>288</Lines>
  <Paragraphs>81</Paragraphs>
  <TotalTime>1</TotalTime>
  <ScaleCrop>false</ScaleCrop>
  <LinksUpToDate>false</LinksUpToDate>
  <CharactersWithSpaces>40071</CharactersWithSpaces>
  <Application>WPS Office_11.1.0.13012_F1E327BC-269C-435d-A152-05C5408002CA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2023-05-07T10:14:00Z</dcterms:created>
  <dc:creator>ADMIN</dc:creator>
  <cp:lastModifiedBy>Anson</cp:lastModifiedBy>
  <dcterms:modified xsi:type="dcterms:W3CDTF">2023-05-10T12:04:50Z</dcterms:modified>
  <dc:title>BMMB7017: Portal Fabrication PLC AND Troy Brands</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2052-11.1.0.13012</vt:lpwstr>
  </property>
  <property fmtid="{D5CDD505-2E9C-101B-9397-08002B2CF9AE}" pid="3" name="ICV">
    <vt:lpwstr>E85E3CE41B104391B3912BA721A56041</vt:lpwstr>
  </property>
</Properties>
</file>