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82298" w14:textId="77777777" w:rsidR="00DD5969" w:rsidRDefault="00DD5969" w:rsidP="00DD5969">
      <w:pPr>
        <w:spacing w:before="212"/>
        <w:jc w:val="center"/>
        <w:rPr>
          <w:rFonts w:ascii="Arial"/>
          <w:b/>
          <w:sz w:val="56"/>
        </w:rPr>
      </w:pPr>
      <w:r>
        <w:rPr>
          <w:rFonts w:ascii="Arial"/>
          <w:b/>
          <w:noProof/>
          <w:sz w:val="56"/>
        </w:rPr>
        <w:drawing>
          <wp:inline distT="0" distB="0" distL="0" distR="0" wp14:anchorId="508580CF" wp14:editId="2CAB5AFE">
            <wp:extent cx="3524324" cy="140493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6193D1EC" w14:textId="77777777" w:rsidR="00DD5969" w:rsidRPr="0066224E" w:rsidRDefault="00DD5969" w:rsidP="00DD5969">
      <w:pPr>
        <w:spacing w:before="212"/>
        <w:jc w:val="center"/>
        <w:rPr>
          <w:rFonts w:ascii="Arial"/>
          <w:b/>
          <w:sz w:val="36"/>
          <w:szCs w:val="36"/>
        </w:rPr>
      </w:pPr>
    </w:p>
    <w:p w14:paraId="5B9AE89A" w14:textId="77777777" w:rsidR="00DD5969" w:rsidRDefault="00DD5969" w:rsidP="00DD5969">
      <w:pPr>
        <w:spacing w:before="212"/>
        <w:rPr>
          <w:rFonts w:ascii="Arial"/>
          <w:b/>
          <w:sz w:val="56"/>
        </w:rPr>
      </w:pPr>
    </w:p>
    <w:p w14:paraId="7EE9271E" w14:textId="103194B9" w:rsidR="00DD5969" w:rsidRPr="0000375B" w:rsidRDefault="00DD5969" w:rsidP="00DD5969">
      <w:pPr>
        <w:spacing w:before="212"/>
        <w:rPr>
          <w:rFonts w:ascii="Arial"/>
          <w:b/>
          <w:sz w:val="48"/>
          <w:szCs w:val="48"/>
          <w:lang w:val="fr-FR"/>
        </w:rPr>
      </w:pPr>
      <w:r w:rsidRPr="0000375B">
        <w:rPr>
          <w:rFonts w:ascii="Arial"/>
          <w:b/>
          <w:sz w:val="48"/>
          <w:szCs w:val="48"/>
          <w:lang w:val="fr-FR"/>
        </w:rPr>
        <w:t>MODULE CODE:</w:t>
      </w:r>
      <w:r w:rsidR="0000375B" w:rsidRPr="0000375B">
        <w:rPr>
          <w:rFonts w:ascii="Arial"/>
          <w:b/>
          <w:sz w:val="48"/>
          <w:szCs w:val="48"/>
          <w:lang w:val="fr-FR"/>
        </w:rPr>
        <w:t>EC</w:t>
      </w:r>
      <w:r w:rsidR="0000375B">
        <w:rPr>
          <w:rFonts w:ascii="Arial"/>
          <w:b/>
          <w:sz w:val="48"/>
          <w:szCs w:val="48"/>
          <w:lang w:val="fr-FR"/>
        </w:rPr>
        <w:t>AD</w:t>
      </w:r>
      <w:r w:rsidR="004B09BF">
        <w:rPr>
          <w:rFonts w:ascii="Arial"/>
          <w:b/>
          <w:sz w:val="48"/>
          <w:szCs w:val="48"/>
          <w:lang w:val="fr-FR"/>
        </w:rPr>
        <w:t>5011</w:t>
      </w:r>
    </w:p>
    <w:p w14:paraId="5051A2D5" w14:textId="77777777" w:rsidR="00347EA1" w:rsidRPr="0000375B" w:rsidRDefault="00347EA1" w:rsidP="00DD5969">
      <w:pPr>
        <w:spacing w:before="212"/>
        <w:rPr>
          <w:rFonts w:ascii="Arial"/>
          <w:b/>
          <w:sz w:val="48"/>
          <w:szCs w:val="48"/>
          <w:lang w:val="fr-FR"/>
        </w:rPr>
      </w:pPr>
    </w:p>
    <w:p w14:paraId="7681432B" w14:textId="183399F1" w:rsidR="00DD5969" w:rsidRPr="00DD5969" w:rsidRDefault="00DD5969" w:rsidP="00DD5969">
      <w:pPr>
        <w:spacing w:before="3"/>
        <w:rPr>
          <w:rFonts w:ascii="Arial"/>
          <w:b/>
          <w:sz w:val="48"/>
          <w:szCs w:val="48"/>
        </w:rPr>
      </w:pPr>
      <w:r w:rsidRPr="00DD5969">
        <w:rPr>
          <w:rFonts w:ascii="Arial"/>
          <w:b/>
          <w:sz w:val="48"/>
          <w:szCs w:val="48"/>
        </w:rPr>
        <w:t>STUDENT NAME:</w:t>
      </w:r>
      <w:r w:rsidR="00B63F21">
        <w:rPr>
          <w:rFonts w:ascii="Arial"/>
          <w:b/>
          <w:sz w:val="48"/>
          <w:szCs w:val="48"/>
        </w:rPr>
        <w:t xml:space="preserve"> Charlotte Howell</w:t>
      </w:r>
    </w:p>
    <w:p w14:paraId="0D16D138" w14:textId="77777777" w:rsidR="00DD5969" w:rsidRPr="00DD5969" w:rsidRDefault="00DD5969" w:rsidP="00DD5969">
      <w:pPr>
        <w:spacing w:before="3"/>
        <w:rPr>
          <w:rFonts w:ascii="Arial"/>
          <w:b/>
          <w:sz w:val="48"/>
          <w:szCs w:val="48"/>
        </w:rPr>
      </w:pPr>
    </w:p>
    <w:p w14:paraId="18107AFF" w14:textId="59978E4E"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B63F21">
        <w:rPr>
          <w:rFonts w:ascii="Arial"/>
          <w:b/>
          <w:sz w:val="48"/>
          <w:szCs w:val="48"/>
        </w:rPr>
        <w:t xml:space="preserve"> 203</w:t>
      </w:r>
      <w:r w:rsidR="00CB7C6F">
        <w:rPr>
          <w:rFonts w:ascii="Arial"/>
          <w:b/>
          <w:sz w:val="48"/>
          <w:szCs w:val="48"/>
        </w:rPr>
        <w:t>8966</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rPr>
      </w:pPr>
    </w:p>
    <w:p w14:paraId="467BE871" w14:textId="77777777" w:rsidR="00347EA1" w:rsidRDefault="00347EA1" w:rsidP="00DD5969">
      <w:pPr>
        <w:ind w:left="100"/>
        <w:rPr>
          <w:rFonts w:ascii="Arial"/>
          <w:b/>
          <w:sz w:val="47"/>
        </w:rPr>
      </w:pPr>
    </w:p>
    <w:p w14:paraId="69F83F2B" w14:textId="77777777" w:rsidR="00DD5969" w:rsidRDefault="00DD5969" w:rsidP="00DD5969">
      <w:pPr>
        <w:jc w:val="center"/>
        <w:rPr>
          <w:rFonts w:ascii="Arial"/>
          <w:b/>
          <w:sz w:val="40"/>
        </w:rPr>
      </w:pPr>
    </w:p>
    <w:p w14:paraId="3A56DF45" w14:textId="77777777" w:rsidR="0000375B" w:rsidRDefault="0000375B" w:rsidP="00DD5969">
      <w:pPr>
        <w:jc w:val="center"/>
        <w:rPr>
          <w:rFonts w:ascii="Arial"/>
          <w:b/>
          <w:sz w:val="40"/>
        </w:rPr>
      </w:pPr>
    </w:p>
    <w:p w14:paraId="35E77934" w14:textId="77777777" w:rsidR="0000375B" w:rsidRPr="00192D3C" w:rsidRDefault="0000375B" w:rsidP="00DD5969">
      <w:pPr>
        <w:jc w:val="center"/>
        <w:rPr>
          <w:rFonts w:ascii="Arial"/>
          <w:b/>
          <w:sz w:val="40"/>
        </w:rPr>
      </w:pPr>
    </w:p>
    <w:p w14:paraId="35F8404C" w14:textId="4AF3D4F3" w:rsidR="00E243A8" w:rsidRPr="00A605C0" w:rsidRDefault="00B103B9" w:rsidP="00DD5969">
      <w:pPr>
        <w:rPr>
          <w:b/>
          <w:bCs/>
          <w:sz w:val="32"/>
          <w:szCs w:val="32"/>
          <w:u w:val="single"/>
        </w:rPr>
      </w:pPr>
      <w:r w:rsidRPr="00E243A8">
        <w:rPr>
          <w:b/>
          <w:bCs/>
          <w:sz w:val="32"/>
          <w:szCs w:val="32"/>
          <w:u w:val="single"/>
        </w:rPr>
        <w:lastRenderedPageBreak/>
        <w:t>AI Acknowledgement</w:t>
      </w:r>
    </w:p>
    <w:p w14:paraId="44C358F6" w14:textId="762F553A" w:rsidR="00DD5969" w:rsidRDefault="00DD5969" w:rsidP="00DD5969">
      <w:r w:rsidRPr="00DD5969">
        <w:t xml:space="preserve">I acknowledge the use of </w:t>
      </w:r>
      <w:proofErr w:type="spellStart"/>
      <w:r w:rsidR="00A605C0">
        <w:t>Grammaly</w:t>
      </w:r>
      <w:proofErr w:type="spellEnd"/>
      <w:r w:rsidRPr="00DD5969">
        <w:t xml:space="preserve">  </w:t>
      </w:r>
      <w:hyperlink r:id="rId6" w:history="1">
        <w:r w:rsidR="009E0D11" w:rsidRPr="000A6159">
          <w:rPr>
            <w:rStyle w:val="Hyperlink"/>
          </w:rPr>
          <w:t>https://www.grammarly.com/</w:t>
        </w:r>
      </w:hyperlink>
      <w:r w:rsidR="009E0D11">
        <w:t xml:space="preserve"> </w:t>
      </w:r>
      <w:r w:rsidRPr="00DD5969">
        <w:t xml:space="preserve">on </w:t>
      </w:r>
      <w:r w:rsidR="00D70F19">
        <w:t xml:space="preserve">03/03/2025 </w:t>
      </w:r>
      <w:r w:rsidR="00B01A2A">
        <w:t>using the prompt.</w:t>
      </w:r>
    </w:p>
    <w:p w14:paraId="520F7A44" w14:textId="1E692552" w:rsidR="00B01A2A" w:rsidRPr="00067419" w:rsidRDefault="004A4BB9" w:rsidP="004A4BB9">
      <w:pPr>
        <w:pStyle w:val="ListParagraph"/>
        <w:numPr>
          <w:ilvl w:val="0"/>
          <w:numId w:val="1"/>
        </w:numPr>
      </w:pPr>
      <w:r w:rsidRPr="00067419">
        <w:t>Please check the following text for readability, grammar and s</w:t>
      </w:r>
      <w:r w:rsidR="00067419">
        <w:t>pe</w:t>
      </w:r>
      <w:r w:rsidR="0080281B">
        <w:t>lling</w:t>
      </w:r>
      <w:r w:rsidRPr="00067419">
        <w:t>.</w:t>
      </w:r>
    </w:p>
    <w:p w14:paraId="0831DBA9" w14:textId="77777777" w:rsidR="001579F2" w:rsidRDefault="0040473E" w:rsidP="00306D6A">
      <w:r w:rsidRPr="00DD5969">
        <w:t xml:space="preserve">I acknowledge the use of </w:t>
      </w:r>
      <w:r>
        <w:t>MyBib</w:t>
      </w:r>
      <w:r w:rsidR="00CE596A" w:rsidRPr="00CE596A">
        <w:t xml:space="preserve"> </w:t>
      </w:r>
      <w:hyperlink r:id="rId7" w:history="1">
        <w:r w:rsidR="001821EC" w:rsidRPr="000A6159">
          <w:rPr>
            <w:rStyle w:val="Hyperlink"/>
          </w:rPr>
          <w:t>https://www.mybib.com/</w:t>
        </w:r>
      </w:hyperlink>
      <w:r w:rsidR="001821EC">
        <w:t xml:space="preserve"> </w:t>
      </w:r>
      <w:r w:rsidRPr="00DD5969">
        <w:t xml:space="preserve">on </w:t>
      </w:r>
      <w:r>
        <w:t xml:space="preserve">03/03/2025 </w:t>
      </w:r>
      <w:r w:rsidR="001579F2">
        <w:t>using the prompt.</w:t>
      </w:r>
    </w:p>
    <w:p w14:paraId="0F1EC60E" w14:textId="27A8EA6B" w:rsidR="0040473E" w:rsidRPr="00DD5969" w:rsidRDefault="001579F2" w:rsidP="001579F2">
      <w:pPr>
        <w:pStyle w:val="ListParagraph"/>
        <w:numPr>
          <w:ilvl w:val="0"/>
          <w:numId w:val="2"/>
        </w:numPr>
      </w:pPr>
      <w:r>
        <w:t>Please</w:t>
      </w:r>
      <w:r w:rsidR="00A42D94">
        <w:t xml:space="preserve"> store and</w:t>
      </w:r>
      <w:r w:rsidR="0040473E" w:rsidRPr="00DD5969">
        <w:t xml:space="preserve"> </w:t>
      </w:r>
      <w:r w:rsidR="0040473E">
        <w:t xml:space="preserve">check my </w:t>
      </w:r>
      <w:r w:rsidR="00A42D94">
        <w:t>references</w:t>
      </w:r>
      <w:r>
        <w:t xml:space="preserve"> are correct</w:t>
      </w:r>
      <w:r w:rsidR="0040473E" w:rsidRPr="00DD5969">
        <w:t xml:space="preserve">. </w:t>
      </w:r>
    </w:p>
    <w:p w14:paraId="4479C8F2" w14:textId="77777777" w:rsidR="0040473E" w:rsidRPr="00DD5969" w:rsidRDefault="0040473E" w:rsidP="00DD5969"/>
    <w:p w14:paraId="4008D193" w14:textId="77777777" w:rsidR="00E243A8" w:rsidRDefault="00DD5969" w:rsidP="00DD5969">
      <w:r w:rsidRPr="00DD5969">
        <w:t xml:space="preserve">I confirm that I have not presented any AI generated text as my own work. </w:t>
      </w:r>
    </w:p>
    <w:p w14:paraId="2F521E63" w14:textId="278451DF" w:rsidR="0000375B" w:rsidRPr="00067419" w:rsidRDefault="00DD5969">
      <w:r w:rsidRPr="00DD5969">
        <w:t xml:space="preserve">I confirm </w:t>
      </w:r>
      <w:r w:rsidR="00E243A8">
        <w:t xml:space="preserve">that </w:t>
      </w:r>
      <w:r w:rsidRPr="00DD5969">
        <w:t>I have copies of my drafts, notes, and other resources I used before and after the use of AI tools which I may be asked to provide in evidence.</w:t>
      </w:r>
    </w:p>
    <w:p w14:paraId="36D1742B" w14:textId="77777777" w:rsidR="0000375B" w:rsidRDefault="0000375B">
      <w:pPr>
        <w:rPr>
          <w:sz w:val="16"/>
          <w:szCs w:val="16"/>
        </w:rPr>
      </w:pPr>
    </w:p>
    <w:p w14:paraId="5154171D" w14:textId="77777777" w:rsidR="0000375B" w:rsidRDefault="0000375B">
      <w:pPr>
        <w:rPr>
          <w:b/>
          <w:bCs/>
        </w:rPr>
      </w:pPr>
      <w:r w:rsidRPr="0000375B">
        <w:rPr>
          <w:b/>
          <w:bCs/>
        </w:rPr>
        <w:t xml:space="preserve">Targets from my </w:t>
      </w:r>
      <w:bookmarkStart w:id="0" w:name="_Int_dcoAivX8"/>
      <w:r w:rsidRPr="0000375B">
        <w:rPr>
          <w:b/>
          <w:bCs/>
        </w:rPr>
        <w:t>previous</w:t>
      </w:r>
      <w:bookmarkEnd w:id="0"/>
      <w:r w:rsidRPr="0000375B">
        <w:rPr>
          <w:b/>
          <w:bCs/>
        </w:rPr>
        <w:t xml:space="preserve"> assignment</w:t>
      </w:r>
    </w:p>
    <w:p w14:paraId="17A7A376" w14:textId="77777777" w:rsidR="0000375B" w:rsidRDefault="0000375B">
      <w:pPr>
        <w:rPr>
          <w:b/>
          <w:bCs/>
        </w:rPr>
      </w:pPr>
    </w:p>
    <w:tbl>
      <w:tblPr>
        <w:tblStyle w:val="TableGrid"/>
        <w:tblW w:w="0" w:type="auto"/>
        <w:tblLook w:val="04A0" w:firstRow="1" w:lastRow="0" w:firstColumn="1" w:lastColumn="0" w:noHBand="0" w:noVBand="1"/>
      </w:tblPr>
      <w:tblGrid>
        <w:gridCol w:w="4508"/>
        <w:gridCol w:w="4508"/>
      </w:tblGrid>
      <w:tr w:rsidR="0000375B" w14:paraId="551E84E1" w14:textId="77777777" w:rsidTr="0000375B">
        <w:tc>
          <w:tcPr>
            <w:tcW w:w="4508" w:type="dxa"/>
          </w:tcPr>
          <w:p w14:paraId="672FF086" w14:textId="6A0E023B" w:rsidR="0000375B" w:rsidRPr="0000375B" w:rsidRDefault="0000375B" w:rsidP="00DD5969">
            <w:pPr>
              <w:rPr>
                <w:b/>
                <w:bCs/>
              </w:rPr>
            </w:pPr>
            <w:r w:rsidRPr="0000375B">
              <w:rPr>
                <w:b/>
                <w:bCs/>
              </w:rPr>
              <w:t>Target</w:t>
            </w:r>
          </w:p>
        </w:tc>
        <w:tc>
          <w:tcPr>
            <w:tcW w:w="4508" w:type="dxa"/>
          </w:tcPr>
          <w:p w14:paraId="352B31B4" w14:textId="3C8264E3" w:rsidR="0000375B" w:rsidRPr="0000375B" w:rsidRDefault="0000375B" w:rsidP="00DD5969">
            <w:pPr>
              <w:rPr>
                <w:b/>
                <w:bCs/>
              </w:rPr>
            </w:pPr>
            <w:r w:rsidRPr="0000375B">
              <w:rPr>
                <w:b/>
                <w:bCs/>
              </w:rPr>
              <w:t>How I have addressed it in this work</w:t>
            </w:r>
          </w:p>
        </w:tc>
      </w:tr>
      <w:tr w:rsidR="0000375B" w14:paraId="0DC71ABF" w14:textId="77777777" w:rsidTr="0000375B">
        <w:tc>
          <w:tcPr>
            <w:tcW w:w="4508" w:type="dxa"/>
          </w:tcPr>
          <w:p w14:paraId="52EB84A3" w14:textId="77777777" w:rsidR="0000375B" w:rsidRDefault="0000375B" w:rsidP="00DD5969">
            <w:pPr>
              <w:rPr>
                <w:sz w:val="16"/>
                <w:szCs w:val="16"/>
              </w:rPr>
            </w:pPr>
          </w:p>
          <w:p w14:paraId="76BEE28D" w14:textId="02672065" w:rsidR="0000375B" w:rsidRDefault="003762DB" w:rsidP="00DD5969">
            <w:pPr>
              <w:rPr>
                <w:sz w:val="16"/>
                <w:szCs w:val="16"/>
              </w:rPr>
            </w:pPr>
            <w:r>
              <w:rPr>
                <w:sz w:val="16"/>
                <w:szCs w:val="16"/>
              </w:rPr>
              <w:t xml:space="preserve">Aim to make effective </w:t>
            </w:r>
            <w:r w:rsidR="00586D07">
              <w:rPr>
                <w:sz w:val="16"/>
                <w:szCs w:val="16"/>
              </w:rPr>
              <w:t>Use of PowerPoint to support your presentation</w:t>
            </w:r>
            <w:r w:rsidR="00641DA6">
              <w:rPr>
                <w:sz w:val="16"/>
                <w:szCs w:val="16"/>
              </w:rPr>
              <w:t xml:space="preserve">. </w:t>
            </w:r>
            <w:r w:rsidR="00586D07">
              <w:rPr>
                <w:sz w:val="16"/>
                <w:szCs w:val="16"/>
              </w:rPr>
              <w:t xml:space="preserve">Avoid reading off </w:t>
            </w:r>
            <w:r w:rsidR="00641DA6">
              <w:rPr>
                <w:sz w:val="16"/>
                <w:szCs w:val="16"/>
              </w:rPr>
              <w:t xml:space="preserve">the </w:t>
            </w:r>
            <w:r w:rsidR="00586D07">
              <w:rPr>
                <w:sz w:val="16"/>
                <w:szCs w:val="16"/>
              </w:rPr>
              <w:t>slides and make use of images or diagrams.</w:t>
            </w:r>
          </w:p>
          <w:p w14:paraId="0EDC9850" w14:textId="77777777" w:rsidR="0000375B" w:rsidRDefault="0000375B" w:rsidP="00DD5969">
            <w:pPr>
              <w:rPr>
                <w:sz w:val="16"/>
                <w:szCs w:val="16"/>
              </w:rPr>
            </w:pPr>
          </w:p>
        </w:tc>
        <w:tc>
          <w:tcPr>
            <w:tcW w:w="4508" w:type="dxa"/>
          </w:tcPr>
          <w:p w14:paraId="3FCBF01B" w14:textId="34461365" w:rsidR="0000375B" w:rsidRDefault="00641DA6" w:rsidP="00DD5969">
            <w:pPr>
              <w:rPr>
                <w:sz w:val="16"/>
                <w:szCs w:val="16"/>
              </w:rPr>
            </w:pPr>
            <w:r>
              <w:rPr>
                <w:sz w:val="16"/>
                <w:szCs w:val="16"/>
              </w:rPr>
              <w:t>Not applicable.</w:t>
            </w:r>
          </w:p>
        </w:tc>
      </w:tr>
      <w:tr w:rsidR="0000375B" w14:paraId="2411A5A2" w14:textId="77777777" w:rsidTr="0000375B">
        <w:tc>
          <w:tcPr>
            <w:tcW w:w="4508" w:type="dxa"/>
          </w:tcPr>
          <w:p w14:paraId="4A120529" w14:textId="77777777" w:rsidR="0000375B" w:rsidRDefault="0000375B" w:rsidP="00DD5969">
            <w:pPr>
              <w:rPr>
                <w:sz w:val="16"/>
                <w:szCs w:val="16"/>
              </w:rPr>
            </w:pPr>
          </w:p>
          <w:p w14:paraId="73ED8D37" w14:textId="52C10791" w:rsidR="0000375B" w:rsidRDefault="00586D07" w:rsidP="00DD5969">
            <w:pPr>
              <w:rPr>
                <w:sz w:val="16"/>
                <w:szCs w:val="16"/>
              </w:rPr>
            </w:pPr>
            <w:r>
              <w:rPr>
                <w:sz w:val="16"/>
                <w:szCs w:val="16"/>
              </w:rPr>
              <w:t>Avoid using capital letters throughout presentation.</w:t>
            </w:r>
          </w:p>
          <w:p w14:paraId="2A59CA2F" w14:textId="77777777" w:rsidR="0000375B" w:rsidRDefault="0000375B" w:rsidP="00DD5969">
            <w:pPr>
              <w:rPr>
                <w:sz w:val="16"/>
                <w:szCs w:val="16"/>
              </w:rPr>
            </w:pPr>
          </w:p>
        </w:tc>
        <w:tc>
          <w:tcPr>
            <w:tcW w:w="4508" w:type="dxa"/>
          </w:tcPr>
          <w:p w14:paraId="51AE3AC6" w14:textId="0DA90223" w:rsidR="0000375B" w:rsidRDefault="00641DA6" w:rsidP="00DD5969">
            <w:pPr>
              <w:rPr>
                <w:sz w:val="16"/>
                <w:szCs w:val="16"/>
              </w:rPr>
            </w:pPr>
            <w:r>
              <w:rPr>
                <w:sz w:val="16"/>
                <w:szCs w:val="16"/>
              </w:rPr>
              <w:t>Not applicable.</w:t>
            </w:r>
          </w:p>
        </w:tc>
      </w:tr>
      <w:tr w:rsidR="0000375B" w14:paraId="7E9C0FF5" w14:textId="77777777" w:rsidTr="0000375B">
        <w:tc>
          <w:tcPr>
            <w:tcW w:w="4508" w:type="dxa"/>
          </w:tcPr>
          <w:p w14:paraId="31E1404E" w14:textId="77777777" w:rsidR="0000375B" w:rsidRDefault="0000375B" w:rsidP="00DD5969">
            <w:pPr>
              <w:rPr>
                <w:sz w:val="16"/>
                <w:szCs w:val="16"/>
              </w:rPr>
            </w:pPr>
          </w:p>
          <w:p w14:paraId="49C39DFD" w14:textId="77777777" w:rsidR="0000375B" w:rsidRDefault="0000375B" w:rsidP="00DD5969">
            <w:pPr>
              <w:rPr>
                <w:sz w:val="16"/>
                <w:szCs w:val="16"/>
              </w:rPr>
            </w:pPr>
          </w:p>
          <w:p w14:paraId="540BFA50" w14:textId="77777777" w:rsidR="0000375B" w:rsidRDefault="0000375B" w:rsidP="00DD5969">
            <w:pPr>
              <w:rPr>
                <w:sz w:val="16"/>
                <w:szCs w:val="16"/>
              </w:rPr>
            </w:pPr>
          </w:p>
        </w:tc>
        <w:tc>
          <w:tcPr>
            <w:tcW w:w="4508" w:type="dxa"/>
          </w:tcPr>
          <w:p w14:paraId="6A8EAD52" w14:textId="77777777" w:rsidR="0000375B" w:rsidRDefault="0000375B" w:rsidP="00DD5969">
            <w:pPr>
              <w:rPr>
                <w:sz w:val="16"/>
                <w:szCs w:val="16"/>
              </w:rPr>
            </w:pPr>
          </w:p>
        </w:tc>
      </w:tr>
    </w:tbl>
    <w:p w14:paraId="7F589502"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090E061" w:rsidR="0000375B" w:rsidRDefault="0000375B">
      <w:pPr>
        <w:rPr>
          <w:sz w:val="16"/>
          <w:szCs w:val="16"/>
        </w:rPr>
      </w:pPr>
      <w:r>
        <w:rPr>
          <w:sz w:val="16"/>
          <w:szCs w:val="16"/>
        </w:rPr>
        <w:br w:type="page"/>
      </w:r>
    </w:p>
    <w:p w14:paraId="3E103AD6" w14:textId="77777777" w:rsidR="004B09BF" w:rsidRPr="0080281B" w:rsidRDefault="004B09BF" w:rsidP="004B09BF">
      <w:pPr>
        <w:rPr>
          <w:rFonts w:ascii="Arial" w:hAnsi="Arial" w:cs="Arial"/>
          <w:b/>
          <w:bCs/>
          <w:u w:val="single"/>
        </w:rPr>
      </w:pPr>
      <w:r w:rsidRPr="0080281B">
        <w:rPr>
          <w:rFonts w:ascii="Arial" w:hAnsi="Arial" w:cs="Arial"/>
          <w:b/>
          <w:bCs/>
          <w:u w:val="single"/>
        </w:rPr>
        <w:lastRenderedPageBreak/>
        <w:t>Choose an intervention that supports the learning and development of a pupil / group of pupils. Reflect critically on its potential and the possible challenges that may arise.</w:t>
      </w:r>
    </w:p>
    <w:p w14:paraId="413A7179" w14:textId="41645057" w:rsidR="00292B2C" w:rsidRDefault="00292B2C">
      <w:pPr>
        <w:pStyle w:val="p1"/>
        <w:divId w:val="1836650321"/>
      </w:pPr>
    </w:p>
    <w:p w14:paraId="7A8E6EA4"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Interventions are widespread and fundamental in education (Education Endowment Foundation, 2021). </w:t>
      </w:r>
      <w:r w:rsidRPr="00785A7D">
        <w:rPr>
          <w:rStyle w:val="s2"/>
          <w:rFonts w:ascii="Arial" w:hAnsi="Arial" w:cs="Arial"/>
          <w:b w:val="0"/>
          <w:bCs w:val="0"/>
          <w:sz w:val="24"/>
          <w:szCs w:val="24"/>
        </w:rPr>
        <w:t>Interventions are widely used to</w:t>
      </w:r>
      <w:r w:rsidRPr="00785A7D">
        <w:rPr>
          <w:rStyle w:val="s1"/>
          <w:rFonts w:ascii="Arial" w:hAnsi="Arial" w:cs="Arial"/>
          <w:sz w:val="24"/>
          <w:szCs w:val="24"/>
        </w:rPr>
        <w:t xml:space="preserve"> address gaps in a child’s progress or attainment (Goby and </w:t>
      </w:r>
      <w:proofErr w:type="spellStart"/>
      <w:r w:rsidRPr="00785A7D">
        <w:rPr>
          <w:rStyle w:val="s1"/>
          <w:rFonts w:ascii="Arial" w:hAnsi="Arial" w:cs="Arial"/>
          <w:sz w:val="24"/>
          <w:szCs w:val="24"/>
        </w:rPr>
        <w:t>Hiba</w:t>
      </w:r>
      <w:proofErr w:type="spellEnd"/>
      <w:r w:rsidRPr="00785A7D">
        <w:rPr>
          <w:rStyle w:val="s1"/>
          <w:rFonts w:ascii="Arial" w:hAnsi="Arial" w:cs="Arial"/>
          <w:sz w:val="24"/>
          <w:szCs w:val="24"/>
        </w:rPr>
        <w:t>, 2024) by using focused teaching sessions outside central teaching in classrooms (</w:t>
      </w:r>
      <w:proofErr w:type="spellStart"/>
      <w:r w:rsidRPr="00785A7D">
        <w:rPr>
          <w:rStyle w:val="s1"/>
          <w:rFonts w:ascii="Arial" w:hAnsi="Arial" w:cs="Arial"/>
          <w:sz w:val="24"/>
          <w:szCs w:val="24"/>
        </w:rPr>
        <w:t>Rathvon</w:t>
      </w:r>
      <w:proofErr w:type="spellEnd"/>
      <w:r w:rsidRPr="00785A7D">
        <w:rPr>
          <w:rStyle w:val="s1"/>
          <w:rFonts w:ascii="Arial" w:hAnsi="Arial" w:cs="Arial"/>
          <w:sz w:val="24"/>
          <w:szCs w:val="24"/>
        </w:rPr>
        <w:t>, 2003). This assignment aims to analyse a chosen intervention designed to support the learning and development of a pupil named Idris. It will critically evaluate the intervention’s potential benefits and challenges, underpinned by relevant theories and research.</w:t>
      </w:r>
    </w:p>
    <w:p w14:paraId="453794A5"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Learning and development progress ensures that pupils build their knowledge, confidence, and skills over time (Parry-Slater, 2021). </w:t>
      </w:r>
      <w:proofErr w:type="spellStart"/>
      <w:r w:rsidRPr="00785A7D">
        <w:rPr>
          <w:rStyle w:val="s1"/>
          <w:rFonts w:ascii="Arial" w:hAnsi="Arial" w:cs="Arial"/>
          <w:sz w:val="24"/>
          <w:szCs w:val="24"/>
        </w:rPr>
        <w:t>Vygotsky’s</w:t>
      </w:r>
      <w:proofErr w:type="spellEnd"/>
      <w:r w:rsidRPr="00785A7D">
        <w:rPr>
          <w:rStyle w:val="s1"/>
          <w:rFonts w:ascii="Arial" w:hAnsi="Arial" w:cs="Arial"/>
          <w:sz w:val="24"/>
          <w:szCs w:val="24"/>
        </w:rPr>
        <w:t xml:space="preserve"> Zone of Proximal Development theory complements the use of interventions, as his theory believed that the need for scaffolding was instrumental in helping pupils achieve their maximum potential in learning and development (McLeod, 2024). David Wood (1988) built on </w:t>
      </w:r>
      <w:proofErr w:type="spellStart"/>
      <w:r w:rsidRPr="00785A7D">
        <w:rPr>
          <w:rStyle w:val="s1"/>
          <w:rFonts w:ascii="Arial" w:hAnsi="Arial" w:cs="Arial"/>
          <w:sz w:val="24"/>
          <w:szCs w:val="24"/>
        </w:rPr>
        <w:t>Vygotsky’s</w:t>
      </w:r>
      <w:proofErr w:type="spellEnd"/>
      <w:r w:rsidRPr="00785A7D">
        <w:rPr>
          <w:rStyle w:val="s1"/>
          <w:rFonts w:ascii="Arial" w:hAnsi="Arial" w:cs="Arial"/>
          <w:sz w:val="24"/>
          <w:szCs w:val="24"/>
        </w:rPr>
        <w:t xml:space="preserve"> theory by arguing that learning is most effective when children receive support, gradually reduced as they gain competence. </w:t>
      </w:r>
      <w:proofErr w:type="spellStart"/>
      <w:r w:rsidRPr="00785A7D">
        <w:rPr>
          <w:rStyle w:val="s1"/>
          <w:rFonts w:ascii="Arial" w:hAnsi="Arial" w:cs="Arial"/>
          <w:sz w:val="24"/>
          <w:szCs w:val="24"/>
        </w:rPr>
        <w:t>Estyn</w:t>
      </w:r>
      <w:proofErr w:type="spellEnd"/>
      <w:r w:rsidRPr="00785A7D">
        <w:rPr>
          <w:rStyle w:val="s1"/>
          <w:rFonts w:ascii="Arial" w:hAnsi="Arial" w:cs="Arial"/>
          <w:sz w:val="24"/>
          <w:szCs w:val="24"/>
        </w:rPr>
        <w:t xml:space="preserve"> reports stated that children learn differently; interventions should match their interests and strengths, stressing the importance of engaging, child-centred strategies (</w:t>
      </w:r>
      <w:proofErr w:type="spellStart"/>
      <w:r w:rsidRPr="00785A7D">
        <w:rPr>
          <w:rStyle w:val="s1"/>
          <w:rFonts w:ascii="Arial" w:hAnsi="Arial" w:cs="Arial"/>
          <w:sz w:val="24"/>
          <w:szCs w:val="24"/>
        </w:rPr>
        <w:t>Estyn</w:t>
      </w:r>
      <w:proofErr w:type="spellEnd"/>
      <w:r w:rsidRPr="00785A7D">
        <w:rPr>
          <w:rStyle w:val="s1"/>
          <w:rFonts w:ascii="Arial" w:hAnsi="Arial" w:cs="Arial"/>
          <w:sz w:val="24"/>
          <w:szCs w:val="24"/>
        </w:rPr>
        <w:t>, 2024).</w:t>
      </w:r>
    </w:p>
    <w:p w14:paraId="004E5C94"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Idris is a 9-year-old pupil in year 4 who excels in outdoor activities and hands-on experiences but faces challenges with mathematics, reading, and writing tasks. Despite his passion for tasks and interactive learning methods, he finds it hard to focus for periods and prefers working independently rather than in a team. His academic performance falls below that of his classmates, particularly in math, where he struggles to stay engaged and motivated. Despite difficulties in his studies and schoolwork, Idris desires to make adults happy and enjoys assisting with gardening and classroom responsibilities. However, his lack of enthusiasm for learning worries his teacher, Mrs James, who wants to find an effective way to support his progress in mathematics, with the learning and development tailored around his talents and passions.</w:t>
      </w:r>
    </w:p>
    <w:p w14:paraId="59425D0D"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Originating in Scandinavia (Forest School Association, 2021), forest school is a holistic child-centred approach to learning and development in a natural outdoor setting. Its unique learning ethos supports play and hands-on learning (Knight, 2011).  This approach particularly aligns with Idris’ character, with his love for the outdoors coinciding with his strengths in practical knowledge, potentially enabling him to engage in mathematics in a way that would feel natural for him. Forest School provides an alternative learning environment that supports his curiosity and motivation by embedding mathematical concepts into hands-on activities like measuring distances, estimating quantities, and problem-solving in nature (Forestry England, 2021). Furthermore, this approach aligns with the United Nations Convention on the Rights of the Child (UNCRC), particularly Article 29, which states that education should develop a child's talents and abilities to their fullest potential, </w:t>
      </w:r>
      <w:r w:rsidRPr="00785A7D">
        <w:rPr>
          <w:rStyle w:val="s1"/>
          <w:rFonts w:ascii="Arial" w:hAnsi="Arial" w:cs="Arial"/>
          <w:sz w:val="24"/>
          <w:szCs w:val="24"/>
        </w:rPr>
        <w:lastRenderedPageBreak/>
        <w:t>and Article 31, which recognises the child’s right to engage in play and recreational activities (UNICEF, 1989).</w:t>
      </w:r>
    </w:p>
    <w:p w14:paraId="61F899E8"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Progression in an educational setting highlights a pupil's continuous development in skills, knowledge, and understanding, ensuring their learning builds on prior experiences and develops their cognitive, social, emotional, and physical abilities over time (Harden, 2007). In the Welsh educational system, progression is measured in formative and summative assessments, tracking improvements in understanding and independent thinking (Welsh Government, 2022).</w:t>
      </w:r>
    </w:p>
    <w:p w14:paraId="19354DDF"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Piaget's cognitive development theory offers insight into how pupils may advance in a learning environment. The theory draws attention to his belief that children go through stages of growth by acquiring knowledge through hands-on exploration and experiences. Piaget suggests that tasks should be developmentally appropriate for meaningful learning, allowing children to build upon prior knowledge at their own pace (Wadsworth, 1979). However, Donaldson (2001) argued that Piaget’s theory was too abstract and did not consider how children make sense of the world in real-life contexts. Donaldson (2001) believed children are more competent thinkers than Piaget suggested, but their ability to show understanding depends on how tasks are presented. As seen in her study, Donaldson argued that when tasks were presented in a meaningful and familiar context, children as young as four could solve problems that Piaget claimed were beyond their cognitive abilities (The British Psychological Study, 2018).</w:t>
      </w:r>
    </w:p>
    <w:p w14:paraId="2CF92FC4"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In mathematics, the Welsh curriculum states that progression is established by the ability to progress from concrete understanding to abstract reasoning (Welsh Curriculum, 2020); this ensures that students enhance their fluency and reasoning skills while applying principles in practical situations. The curriculum emphasises the importance of experiential learning, encouraging hands-on exploration before transitioning to more abstract mathematical thinking (Welsh Government, 2021). A study by </w:t>
      </w:r>
      <w:proofErr w:type="spellStart"/>
      <w:r w:rsidRPr="00785A7D">
        <w:rPr>
          <w:rStyle w:val="s1"/>
          <w:rFonts w:ascii="Arial" w:hAnsi="Arial" w:cs="Arial"/>
          <w:sz w:val="24"/>
          <w:szCs w:val="24"/>
        </w:rPr>
        <w:t>Nunes</w:t>
      </w:r>
      <w:proofErr w:type="spellEnd"/>
      <w:r w:rsidRPr="00785A7D">
        <w:rPr>
          <w:rStyle w:val="s1"/>
          <w:rFonts w:ascii="Arial" w:hAnsi="Arial" w:cs="Arial"/>
          <w:sz w:val="24"/>
          <w:szCs w:val="24"/>
        </w:rPr>
        <w:t xml:space="preserve"> and colleagues (</w:t>
      </w:r>
      <w:proofErr w:type="spellStart"/>
      <w:r w:rsidRPr="00785A7D">
        <w:rPr>
          <w:rStyle w:val="s1"/>
          <w:rFonts w:ascii="Arial" w:hAnsi="Arial" w:cs="Arial"/>
          <w:sz w:val="24"/>
          <w:szCs w:val="24"/>
        </w:rPr>
        <w:t>Nunes</w:t>
      </w:r>
      <w:proofErr w:type="spellEnd"/>
      <w:r w:rsidRPr="00785A7D">
        <w:rPr>
          <w:rStyle w:val="s1"/>
          <w:rFonts w:ascii="Arial" w:hAnsi="Arial" w:cs="Arial"/>
          <w:sz w:val="24"/>
          <w:szCs w:val="24"/>
        </w:rPr>
        <w:t xml:space="preserve"> et al., 2009) discovered that pupils who grasp basic math concepts are noticeably more inclined to excel in advanced logical thinking later in life. Without a path of learning progression, pupils might encounter knowledge gaps (Parry-Slater, 2021) that hinder their problem-solving skills and cause them to doubt their mathematical capabilities (Wood, 1988). By providing interventions where needed through engaging and age-appropriate activities, pupils can feel more capable and driven to learn, leading to better long-term achievement in mathematics (Graham, 2020). </w:t>
      </w:r>
    </w:p>
    <w:p w14:paraId="6EAA3E2E"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Piaget’s theory of cognitive development implies that children aged 7-11 are in the </w:t>
      </w:r>
      <w:r w:rsidRPr="00785A7D">
        <w:rPr>
          <w:rStyle w:val="s3"/>
          <w:rFonts w:ascii="Arial" w:hAnsi="Arial" w:cs="Arial"/>
          <w:i w:val="0"/>
          <w:iCs w:val="0"/>
          <w:sz w:val="24"/>
          <w:szCs w:val="24"/>
        </w:rPr>
        <w:t>Concrete Operational Stage</w:t>
      </w:r>
      <w:r w:rsidRPr="00785A7D">
        <w:rPr>
          <w:rStyle w:val="s1"/>
          <w:rFonts w:ascii="Arial" w:hAnsi="Arial" w:cs="Arial"/>
          <w:sz w:val="24"/>
          <w:szCs w:val="24"/>
        </w:rPr>
        <w:t xml:space="preserve">, where they develop logical thinking but still rely on hands-on experiences to understand abstract concepts (Piaget, 1952). At this stage, children obtain the ability to classify, order, and manipulate objects mentally but often struggle with abstract reasoning unless it is grounded in concrete examples (Wadsworth, 1979). For example, children can quickly grasp mathematical operations such as addition and subtraction using manipulative aids like counters or blocks. Supported by </w:t>
      </w:r>
      <w:proofErr w:type="spellStart"/>
      <w:r w:rsidRPr="00785A7D">
        <w:rPr>
          <w:rStyle w:val="s1"/>
          <w:rFonts w:ascii="Arial" w:hAnsi="Arial" w:cs="Arial"/>
          <w:sz w:val="24"/>
          <w:szCs w:val="24"/>
        </w:rPr>
        <w:t>Skemp</w:t>
      </w:r>
      <w:proofErr w:type="spellEnd"/>
      <w:r w:rsidRPr="00785A7D">
        <w:rPr>
          <w:rStyle w:val="s1"/>
          <w:rFonts w:ascii="Arial" w:hAnsi="Arial" w:cs="Arial"/>
          <w:sz w:val="24"/>
          <w:szCs w:val="24"/>
        </w:rPr>
        <w:t xml:space="preserve"> (1987) with the concept that children in this stage of Piaget’s theory benefit from practical, structured learning activities that encourage active engagement rather than passive reception of information, highlighting the </w:t>
      </w:r>
      <w:r w:rsidRPr="00785A7D">
        <w:rPr>
          <w:rStyle w:val="s1"/>
          <w:rFonts w:ascii="Arial" w:hAnsi="Arial" w:cs="Arial"/>
          <w:sz w:val="24"/>
          <w:szCs w:val="24"/>
        </w:rPr>
        <w:lastRenderedPageBreak/>
        <w:t>importance of using interactive teaching strategies, such as manipulative and real-world problem-solving, to support their mathematical development (</w:t>
      </w:r>
      <w:proofErr w:type="spellStart"/>
      <w:r w:rsidRPr="00785A7D">
        <w:rPr>
          <w:rStyle w:val="s1"/>
          <w:rFonts w:ascii="Arial" w:hAnsi="Arial" w:cs="Arial"/>
          <w:sz w:val="24"/>
          <w:szCs w:val="24"/>
        </w:rPr>
        <w:t>Haylock</w:t>
      </w:r>
      <w:proofErr w:type="spellEnd"/>
      <w:r w:rsidRPr="00785A7D">
        <w:rPr>
          <w:rStyle w:val="s1"/>
          <w:rFonts w:ascii="Arial" w:hAnsi="Arial" w:cs="Arial"/>
          <w:sz w:val="24"/>
          <w:szCs w:val="24"/>
        </w:rPr>
        <w:t>, 2019).</w:t>
      </w:r>
    </w:p>
    <w:p w14:paraId="14204B99"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The constructivist learning theory, developed by theorists such as </w:t>
      </w:r>
      <w:proofErr w:type="spellStart"/>
      <w:r w:rsidRPr="00785A7D">
        <w:rPr>
          <w:rStyle w:val="s1"/>
          <w:rFonts w:ascii="Arial" w:hAnsi="Arial" w:cs="Arial"/>
          <w:sz w:val="24"/>
          <w:szCs w:val="24"/>
        </w:rPr>
        <w:t>Arends</w:t>
      </w:r>
      <w:proofErr w:type="spellEnd"/>
      <w:r w:rsidRPr="00785A7D">
        <w:rPr>
          <w:rStyle w:val="s1"/>
          <w:rFonts w:ascii="Arial" w:hAnsi="Arial" w:cs="Arial"/>
          <w:sz w:val="24"/>
          <w:szCs w:val="24"/>
        </w:rPr>
        <w:t xml:space="preserve"> (2012) and Phillips (2018), emphasises that children learn best when they actively construct their knowledge through experiences. Prior studies by Phillips (2018) emphasise that hands-on, experiential learning is best for enhancing memory retention and problem-solving abilities as it allows children to form connections between abstract concepts and real-life applications independently. The study found that children who engaged in practical problem-solving tasks developed stronger numerical reasoning skills than those taught through traditional rote learning. However, the theory does not take into account the potential of overloading pupils' working memory, with </w:t>
      </w:r>
      <w:proofErr w:type="spellStart"/>
      <w:r w:rsidRPr="00785A7D">
        <w:rPr>
          <w:rStyle w:val="s1"/>
          <w:rFonts w:ascii="Arial" w:hAnsi="Arial" w:cs="Arial"/>
          <w:sz w:val="24"/>
          <w:szCs w:val="24"/>
        </w:rPr>
        <w:t>Kirschner</w:t>
      </w:r>
      <w:proofErr w:type="spellEnd"/>
      <w:r w:rsidRPr="00785A7D">
        <w:rPr>
          <w:rStyle w:val="s1"/>
          <w:rFonts w:ascii="Arial" w:hAnsi="Arial" w:cs="Arial"/>
          <w:sz w:val="24"/>
          <w:szCs w:val="24"/>
        </w:rPr>
        <w:t>, Sweller, and Clark's (2006) paper</w:t>
      </w:r>
      <w:r w:rsidRPr="00785A7D">
        <w:rPr>
          <w:rStyle w:val="s3"/>
          <w:rFonts w:ascii="Arial" w:hAnsi="Arial" w:cs="Arial"/>
          <w:i w:val="0"/>
          <w:iCs w:val="0"/>
          <w:sz w:val="24"/>
          <w:szCs w:val="24"/>
        </w:rPr>
        <w:t xml:space="preserve"> on "Why Minimal Guidance During Instruction Does Not Work"</w:t>
      </w:r>
      <w:r w:rsidRPr="00785A7D">
        <w:rPr>
          <w:rStyle w:val="s1"/>
          <w:rFonts w:ascii="Arial" w:hAnsi="Arial" w:cs="Arial"/>
          <w:sz w:val="24"/>
          <w:szCs w:val="24"/>
        </w:rPr>
        <w:t xml:space="preserve"> arguing that constructivist approaches such as inquiry-based and discovery learning overload students’ working memory, making learning less effective compared to direct instruction.</w:t>
      </w:r>
    </w:p>
    <w:p w14:paraId="3600DAD0"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Focus and memory are essential for mathematics (STEM Learning, 2022); these skills are crucial in helping pupils concentrate on mathematics problems and problem-solving techniques (Cotton, 2021). Poor executive function skills are linked to difficulties in mathematics, as children will struggle to follow multi-step problems or retain mathematical concepts over time (Blair &amp; Raver, 2015). For example, pupils can use working memory to hold and process information when solving math problems, and self-regulation enables them to stay focused on tasks without getting frustrated. Research indicates that implementing methods, such as providing support using visual aids and structured problem-solving exercises, can enhance these abilities and facilitate learning math effectively (</w:t>
      </w:r>
      <w:proofErr w:type="spellStart"/>
      <w:r w:rsidRPr="00785A7D">
        <w:rPr>
          <w:rStyle w:val="s1"/>
          <w:rFonts w:ascii="Arial" w:hAnsi="Arial" w:cs="Arial"/>
          <w:sz w:val="24"/>
          <w:szCs w:val="24"/>
        </w:rPr>
        <w:t>Haylock</w:t>
      </w:r>
      <w:proofErr w:type="spellEnd"/>
      <w:r w:rsidRPr="00785A7D">
        <w:rPr>
          <w:rStyle w:val="s1"/>
          <w:rFonts w:ascii="Arial" w:hAnsi="Arial" w:cs="Arial"/>
          <w:sz w:val="24"/>
          <w:szCs w:val="24"/>
        </w:rPr>
        <w:t xml:space="preserve">, 2019). Educators can customise interventions such as Forest School to align with the developmental needs of students (Thornton, 2022) by comprehending how children learn and progress in mathematics. This approach guarantees that learning is both captivating and tailored to stages of development for each child (Plymouth </w:t>
      </w:r>
      <w:proofErr w:type="spellStart"/>
      <w:r w:rsidRPr="00785A7D">
        <w:rPr>
          <w:rStyle w:val="s1"/>
          <w:rFonts w:ascii="Arial" w:hAnsi="Arial" w:cs="Arial"/>
          <w:sz w:val="24"/>
          <w:szCs w:val="24"/>
        </w:rPr>
        <w:t>Marjon</w:t>
      </w:r>
      <w:proofErr w:type="spellEnd"/>
      <w:r w:rsidRPr="00785A7D">
        <w:rPr>
          <w:rStyle w:val="s1"/>
          <w:rFonts w:ascii="Arial" w:hAnsi="Arial" w:cs="Arial"/>
          <w:sz w:val="24"/>
          <w:szCs w:val="24"/>
        </w:rPr>
        <w:t xml:space="preserve"> University, 2023).</w:t>
      </w:r>
    </w:p>
    <w:p w14:paraId="59D73A2C"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Forest School activities focusing on mathematics allow pupils to explore numbers and spatial ideas in a context where they can utilise natural resources to grasp math concepts effectively and with deepened understanding (Waite 2011), closing the gap between classrooms and the outdoor world (Meer, 2012). The chosen forest school intervention activities for Idris will include:</w:t>
      </w:r>
    </w:p>
    <w:p w14:paraId="30DF974E"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Measuring natural objects using measure sticks, leaves, and stones to develop an understanding of length, weight, and area, with research by Pound (2014) supporting by highlighting the importance of tangible, real-world measurement in early mathematical development. Math scavengers hunt to find natural objects based on numerical clues, enhancing number recognition and problem-solving skills whilst creating a fun learning process (</w:t>
      </w:r>
      <w:proofErr w:type="spellStart"/>
      <w:r w:rsidRPr="00785A7D">
        <w:rPr>
          <w:rStyle w:val="s1"/>
          <w:rFonts w:ascii="Arial" w:hAnsi="Arial" w:cs="Arial"/>
          <w:sz w:val="24"/>
          <w:szCs w:val="24"/>
        </w:rPr>
        <w:t>Gelman</w:t>
      </w:r>
      <w:proofErr w:type="spellEnd"/>
      <w:r w:rsidRPr="00785A7D">
        <w:rPr>
          <w:rStyle w:val="s1"/>
          <w:rFonts w:ascii="Arial" w:hAnsi="Arial" w:cs="Arial"/>
          <w:sz w:val="24"/>
          <w:szCs w:val="24"/>
        </w:rPr>
        <w:t xml:space="preserve"> &amp; </w:t>
      </w:r>
      <w:proofErr w:type="spellStart"/>
      <w:r w:rsidRPr="00785A7D">
        <w:rPr>
          <w:rStyle w:val="s1"/>
          <w:rFonts w:ascii="Arial" w:hAnsi="Arial" w:cs="Arial"/>
          <w:sz w:val="24"/>
          <w:szCs w:val="24"/>
        </w:rPr>
        <w:t>Gallistel</w:t>
      </w:r>
      <w:proofErr w:type="spellEnd"/>
      <w:r w:rsidRPr="00785A7D">
        <w:rPr>
          <w:rStyle w:val="s1"/>
          <w:rFonts w:ascii="Arial" w:hAnsi="Arial" w:cs="Arial"/>
          <w:sz w:val="24"/>
          <w:szCs w:val="24"/>
        </w:rPr>
        <w:t xml:space="preserve">, 1978). Using materials, such as leaves and twigs, to make geometric shapes and fraction models is a hands-on way to enhance comprehension of concepts (Montessori. 2017). Idris will improve his skills in estimating distances and tackling real-world math challenges through activities, allowing him to connect his thinking with everyday situations (Britannica, 2018). By incorporating these activities, the intervention supports meaningful </w:t>
      </w:r>
      <w:r w:rsidRPr="00785A7D">
        <w:rPr>
          <w:rStyle w:val="s1"/>
          <w:rFonts w:ascii="Arial" w:hAnsi="Arial" w:cs="Arial"/>
          <w:sz w:val="24"/>
          <w:szCs w:val="24"/>
        </w:rPr>
        <w:lastRenderedPageBreak/>
        <w:t xml:space="preserve">connections between abstract mathematical concepts and the physical world (Goby and </w:t>
      </w:r>
      <w:proofErr w:type="spellStart"/>
      <w:r w:rsidRPr="00785A7D">
        <w:rPr>
          <w:rStyle w:val="s1"/>
          <w:rFonts w:ascii="Arial" w:hAnsi="Arial" w:cs="Arial"/>
          <w:sz w:val="24"/>
          <w:szCs w:val="24"/>
        </w:rPr>
        <w:t>Hiba</w:t>
      </w:r>
      <w:proofErr w:type="spellEnd"/>
      <w:r w:rsidRPr="00785A7D">
        <w:rPr>
          <w:rStyle w:val="s1"/>
          <w:rFonts w:ascii="Arial" w:hAnsi="Arial" w:cs="Arial"/>
          <w:sz w:val="24"/>
          <w:szCs w:val="24"/>
        </w:rPr>
        <w:t>, 2024).</w:t>
      </w:r>
    </w:p>
    <w:p w14:paraId="0CBC65B4"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Mathematics lessons in the Forest School setting offer Idris an optimal learning experience (Thornton, 2022) that caters to Idris’ interests and preferred way of learning. His enthusiasm for activities intrinsic to this approach naturally captivates him and fuels his eagerness to partake in mathematical activities. Moreover, integrating movement into the educational process enhances focus and diminishes frustrations, which is particularly beneficial for children with attention-related challenges (Blakemore, 2003). The calm and stress-free atmosphere of learning outdoors could boost Idris's self-assurance, enabling him to interact with mathematic ideas without the stress commonly linked to classrooms (Institute for Outdoor Learning, 2019).</w:t>
      </w:r>
    </w:p>
    <w:p w14:paraId="3296601E"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Outdoor education offers more than a grasp of numbers and equations (Forest School Association, 2021); it also results in vital cognitive and emotional advantages contributing to a student's holistic growth and progress (Woodland Trust, 2024). Studies have shown that exposure to outdoor surroundings can boost health and lower stress levels while strengthening cognitive abilities (</w:t>
      </w:r>
      <w:proofErr w:type="spellStart"/>
      <w:r w:rsidRPr="00785A7D">
        <w:rPr>
          <w:rStyle w:val="s1"/>
          <w:rFonts w:ascii="Arial" w:hAnsi="Arial" w:cs="Arial"/>
          <w:sz w:val="24"/>
          <w:szCs w:val="24"/>
        </w:rPr>
        <w:t>Rickinson</w:t>
      </w:r>
      <w:proofErr w:type="spellEnd"/>
      <w:r w:rsidRPr="00785A7D">
        <w:rPr>
          <w:rStyle w:val="s1"/>
          <w:rFonts w:ascii="Arial" w:hAnsi="Arial" w:cs="Arial"/>
          <w:sz w:val="24"/>
          <w:szCs w:val="24"/>
        </w:rPr>
        <w:t xml:space="preserve"> et al., 2004). Furthermore, research in neuroscience highlights physical activity's role in learning by indicating that movement aids in memory retention and enhances cognitive processing for improved knowledge absorption (Jensen, 2005). In addition, Higgins (2012) believes that a stress-free environment can help ease anxiety and make students feel at ease when tackling challenges and solving problems persistently. Combining these emotional and cognitive advantages, Forest School promotes a more engaging, effective, and holistic approach to education.</w:t>
      </w:r>
    </w:p>
    <w:p w14:paraId="4DF21B71"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The success of this intervention hinges on the teamwork of participants who each contribute significantly to its success (Goby and </w:t>
      </w:r>
      <w:proofErr w:type="spellStart"/>
      <w:r w:rsidRPr="00785A7D">
        <w:rPr>
          <w:rStyle w:val="s1"/>
          <w:rFonts w:ascii="Arial" w:hAnsi="Arial" w:cs="Arial"/>
          <w:sz w:val="24"/>
          <w:szCs w:val="24"/>
        </w:rPr>
        <w:t>Hiba</w:t>
      </w:r>
      <w:proofErr w:type="spellEnd"/>
      <w:r w:rsidRPr="00785A7D">
        <w:rPr>
          <w:rStyle w:val="s1"/>
          <w:rFonts w:ascii="Arial" w:hAnsi="Arial" w:cs="Arial"/>
          <w:sz w:val="24"/>
          <w:szCs w:val="24"/>
        </w:rPr>
        <w:t>, 2024); the teacher crafts an intervention that fits the curriculum by incorporating math concepts into experiences; an intervention teacher leads these activities in a structured yet adaptable setting that creates curiosity and involvement; and teaching assistants provide tailored assistance to students needing extra help to guarantee that everyone comprehends the content seamlessly (Franklin, 2023). Encouraging parents to participate is also essential since engaging in math activities at home helps strengthen the bond between school and home and keeps learning consistent (Epstein 2011). </w:t>
      </w:r>
    </w:p>
    <w:p w14:paraId="5C138EE6"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The intervention involves math sessions focusing on hands-on activities in a natural environment so Idris can participate in practical learning experiences outside the classroom that optimise his learning and development to its maximum potential. The success of this intervention will be measured based on key factors such as tracking progress through assessments, like observations of Idris’ participation levels and feedback, allowing necessary teaching adjustments. The progression in mathematical reasoning and confidence levels in Idris will also reflect on the success of the forest school intervention. This methodical yet flexible strategy guarantees that the guidance stays attuned to Idris’ requirements while nurturing his grasp of mathematics and holistic growth (Meer, 2012). </w:t>
      </w:r>
    </w:p>
    <w:p w14:paraId="755DE704"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This intervention aims to give Idris a hands-on and enjoyable way to integrate and learn meaningful mathematics that helps him understand concepts better and </w:t>
      </w:r>
      <w:r w:rsidRPr="00785A7D">
        <w:rPr>
          <w:rStyle w:val="s1"/>
          <w:rFonts w:ascii="Arial" w:hAnsi="Arial" w:cs="Arial"/>
          <w:sz w:val="24"/>
          <w:szCs w:val="24"/>
        </w:rPr>
        <w:lastRenderedPageBreak/>
        <w:t>engagingly. Additionally, as stated previously, it boosts overall well-being, self-assurance, and ability to think critically, with studies firmly backing the benefits of education in encouraging involvement and lasting academic achievements (</w:t>
      </w:r>
      <w:proofErr w:type="spellStart"/>
      <w:r w:rsidRPr="00785A7D">
        <w:rPr>
          <w:rStyle w:val="s1"/>
          <w:rFonts w:ascii="Arial" w:hAnsi="Arial" w:cs="Arial"/>
          <w:sz w:val="24"/>
          <w:szCs w:val="24"/>
        </w:rPr>
        <w:t>Bilton</w:t>
      </w:r>
      <w:proofErr w:type="spellEnd"/>
      <w:r w:rsidRPr="00785A7D">
        <w:rPr>
          <w:rStyle w:val="s1"/>
          <w:rFonts w:ascii="Arial" w:hAnsi="Arial" w:cs="Arial"/>
          <w:sz w:val="24"/>
          <w:szCs w:val="24"/>
        </w:rPr>
        <w:t>, 2010). Carrying out execution and continuous evaluation of this approach could significantly change Idris's connection with his approach, attitude, and confidence towards mathematics into a rewarding learning journey. </w:t>
      </w:r>
    </w:p>
    <w:p w14:paraId="2E748003"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The Forest School-based maths intervention offers several strengths that enhance pupil engagement, cognitive development, and problem-solving skills (Straw, 2009). However, it also presents challenges requiring strategic solutions to ensure effectiveness. The following section critically evaluates the intervention's benefits and limitations while drawing on research and practical evidence to support its implementation.</w:t>
      </w:r>
    </w:p>
    <w:p w14:paraId="465FBACC"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One of the primary strengths of the intervention is its ability to increase Idris's engagement and motivation, as he particularly struggles with traditional, classroom-based maths lessons. Outdoor learning provides a stimulating and dynamic alternative to traditional classroom education (Plymouth </w:t>
      </w:r>
      <w:proofErr w:type="spellStart"/>
      <w:r w:rsidRPr="00785A7D">
        <w:rPr>
          <w:rStyle w:val="s1"/>
          <w:rFonts w:ascii="Arial" w:hAnsi="Arial" w:cs="Arial"/>
          <w:sz w:val="24"/>
          <w:szCs w:val="24"/>
        </w:rPr>
        <w:t>Marjon</w:t>
      </w:r>
      <w:proofErr w:type="spellEnd"/>
      <w:r w:rsidRPr="00785A7D">
        <w:rPr>
          <w:rStyle w:val="s1"/>
          <w:rFonts w:ascii="Arial" w:hAnsi="Arial" w:cs="Arial"/>
          <w:sz w:val="24"/>
          <w:szCs w:val="24"/>
        </w:rPr>
        <w:t xml:space="preserve"> University, 2023), encouraging enthusiasm for mathematical exploration. Studies illustrate that children who engage in hands-on, meaningful learning experiences develop a deeper connection to the subject matter, leading to increased motivation and persistence (Waite, 2017). This is particularly relevant for Idris, as it has been previously stated that he benefits from movement and practical tasks, allowing the intervention to be linked to the teaching standards of adapting teaching to respond to the strengths and needs of all pupils (Department for Education, 2021).</w:t>
      </w:r>
    </w:p>
    <w:p w14:paraId="618DF76E"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Outdoor maths activities offer natural opportunities for cross-curricular integration (Learning through Landscapes, 2023). In addition to learning mathematics, Idris will also gain knowledge of science (such as measuring and categorising natural items), geography (such as reading maps and spatial awareness), and physical education (such as movement-based exercises). The holistic approach encompasses the Pedagogy strand of the QTS standard of teaching (Welsh Government, 2019), giving Idris a blend of learning experiences, real-life authentic contexts, progression in learning and cross-curricular themes.</w:t>
      </w:r>
    </w:p>
    <w:p w14:paraId="1E5A1034"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Outdoor learning environments provide rich multi-sensory experiences (Straw, 2009) that enhance cognitive development. The successful combination of visual, auditory, and kinaesthetic stimuli helps embed learning more effectively, particularly for Idris, who has a different learning style (Jensen, 2005). Pupils such as Idris, who struggle with traditional paper-based maths tasks, often find engaging easier when they can physically manipulate materials and interact with their surroundings, allowing them to engage with their learning naturally and intuitively (</w:t>
      </w:r>
      <w:proofErr w:type="spellStart"/>
      <w:r w:rsidRPr="00785A7D">
        <w:rPr>
          <w:rStyle w:val="s1"/>
          <w:rFonts w:ascii="Arial" w:hAnsi="Arial" w:cs="Arial"/>
          <w:sz w:val="24"/>
          <w:szCs w:val="24"/>
        </w:rPr>
        <w:t>Rathvon</w:t>
      </w:r>
      <w:proofErr w:type="spellEnd"/>
      <w:r w:rsidRPr="00785A7D">
        <w:rPr>
          <w:rStyle w:val="s1"/>
          <w:rFonts w:ascii="Arial" w:hAnsi="Arial" w:cs="Arial"/>
          <w:sz w:val="24"/>
          <w:szCs w:val="24"/>
        </w:rPr>
        <w:t>, 2003).</w:t>
      </w:r>
    </w:p>
    <w:p w14:paraId="002C5B2F"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Despite its strengths, the intervention faces its challenges. Its dependence on weather conditions could alter its effectiveness and delivery, with adverse weather potentially limiting the opportunities for outdoor sessions. While acknowledging the notable challenge to outdoor learning interventions, suggesting alternative indoor activities that align with the goals of outdoor learning can allow for a seamless educational experience that supports the benefits of nature-based education, regardless of external conditions.</w:t>
      </w:r>
    </w:p>
    <w:p w14:paraId="40B2C7B5"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lastRenderedPageBreak/>
        <w:t>A significant challenge in utilising this intervention would be access to suitable outdoor spaces, equipment, and materials. This can vary between schools, with some schools having limited green spaces while others struggle with a lack of financial resources to invest in outdoor learning. A suggestion to address this would be to encourage collaboration within local community organisations, nature reserves, or council-run green spaces to access outdoor learning areas. Also, low-cost or recycled materials can create practical hands-on maths activities.</w:t>
      </w:r>
    </w:p>
    <w:p w14:paraId="25A435FC"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A potential limitation of the forest school intervention is that pupils may struggle to transfer the skills they develop in practical settings to formal written tasks. However, practical activities claim to increase understanding (Meer, 2012), so transferring these skills to the conventional classroom could be complicated. To ensure coherence and seamless transitions, follow-up activities should reinforce the connection between outdoor experiences and formal written mathematical tasks, ensuring Idris can transfer learning material from the intervention to the classroom.</w:t>
      </w:r>
    </w:p>
    <w:p w14:paraId="525FDEB5" w14:textId="29371E4D" w:rsidR="006208A1" w:rsidRPr="00785A7D" w:rsidRDefault="006208A1" w:rsidP="003C4C9C">
      <w:pPr>
        <w:pStyle w:val="p1"/>
        <w:divId w:val="733159273"/>
        <w:rPr>
          <w:rFonts w:ascii="Arial" w:hAnsi="Arial" w:cs="Arial"/>
          <w:sz w:val="24"/>
          <w:szCs w:val="24"/>
        </w:rPr>
      </w:pPr>
      <w:r w:rsidRPr="00785A7D">
        <w:rPr>
          <w:rStyle w:val="s1"/>
          <w:rFonts w:ascii="Arial" w:hAnsi="Arial" w:cs="Arial"/>
          <w:sz w:val="24"/>
          <w:szCs w:val="24"/>
        </w:rPr>
        <w:t>Forest school interventions offer a highly engaging approach towards learning and development, particularly for pupils who learn more effectively from hands-on, practical activities. Whilst challenges such as dependencies on weather and funding must be addressed, strategic solutions can be offered to enhance the intervention's success further. Alongside the strong evidence and research, this approach is valuable for strengthening mathematical understanding and broader cognitive development in pupils like Idris.</w:t>
      </w:r>
    </w:p>
    <w:p w14:paraId="42EFA609" w14:textId="77777777" w:rsidR="006208A1" w:rsidRPr="00785A7D" w:rsidRDefault="006208A1">
      <w:pPr>
        <w:pStyle w:val="p1"/>
        <w:divId w:val="733159273"/>
        <w:rPr>
          <w:rFonts w:ascii="Arial" w:hAnsi="Arial" w:cs="Arial"/>
          <w:sz w:val="24"/>
          <w:szCs w:val="24"/>
        </w:rPr>
      </w:pPr>
      <w:r w:rsidRPr="00785A7D">
        <w:rPr>
          <w:rStyle w:val="s1"/>
          <w:rFonts w:ascii="Arial" w:hAnsi="Arial" w:cs="Arial"/>
          <w:sz w:val="24"/>
          <w:szCs w:val="24"/>
        </w:rPr>
        <w:t xml:space="preserve">In conclusion, the Forest School-based intervention for Idris offers a dynamic and child-centred approach to learning that aligns with his strengths, particularly in practical, hands-on tasks. It aligns with widely known theoretical underpinnings such as </w:t>
      </w:r>
      <w:proofErr w:type="spellStart"/>
      <w:r w:rsidRPr="00785A7D">
        <w:rPr>
          <w:rStyle w:val="s1"/>
          <w:rFonts w:ascii="Arial" w:hAnsi="Arial" w:cs="Arial"/>
          <w:sz w:val="24"/>
          <w:szCs w:val="24"/>
        </w:rPr>
        <w:t>Vygotsky’s</w:t>
      </w:r>
      <w:proofErr w:type="spellEnd"/>
      <w:r w:rsidRPr="00785A7D">
        <w:rPr>
          <w:rStyle w:val="s1"/>
          <w:rFonts w:ascii="Arial" w:hAnsi="Arial" w:cs="Arial"/>
          <w:sz w:val="24"/>
          <w:szCs w:val="24"/>
        </w:rPr>
        <w:t xml:space="preserve"> zone of proximal development and Piaget's constructivist theory, highlighting the role and success of guided learning in natural environments (England, 2021). The advantages of this intervention are clear in terms of motivation, engagement, and cross-curricular learning; nevertheless, there are still issues, such as reliance on the weather and the accessibility of outside areas. These challenges can be mitigated through adequate preparation, collaboration with local resources, and balancing indoor and outdoor learning possibilities.</w:t>
      </w:r>
    </w:p>
    <w:p w14:paraId="484690D6" w14:textId="0DBF4E19" w:rsidR="00641DA6" w:rsidRDefault="006208A1" w:rsidP="003C4C9C">
      <w:pPr>
        <w:pStyle w:val="p1"/>
        <w:divId w:val="733159273"/>
        <w:rPr>
          <w:rStyle w:val="s1"/>
          <w:rFonts w:ascii="Arial" w:hAnsi="Arial" w:cs="Arial"/>
          <w:sz w:val="24"/>
          <w:szCs w:val="24"/>
        </w:rPr>
      </w:pPr>
      <w:r w:rsidRPr="00785A7D">
        <w:rPr>
          <w:rStyle w:val="s1"/>
          <w:rFonts w:ascii="Arial" w:hAnsi="Arial" w:cs="Arial"/>
          <w:sz w:val="24"/>
          <w:szCs w:val="24"/>
        </w:rPr>
        <w:t>The effectiveness of this solution ultimately depends on ongoing evaluation and the ability to adapt teaching strategies in response to Idris's development. If properly implemented, this Forest School-based method could change Idris's perspective on mathematics, boost his confidence, and give him a more fulfilling and engaging educational experience. This intervention provides a holistic educational experience that promotes Idris's growth and enables him to recognise his full potential in mathematics and beyond by attending to his academic and emotional requirements.</w:t>
      </w:r>
    </w:p>
    <w:p w14:paraId="7F23DD4F" w14:textId="77777777" w:rsidR="00641DA6" w:rsidRDefault="00641DA6">
      <w:pPr>
        <w:rPr>
          <w:rStyle w:val="s1"/>
          <w:rFonts w:ascii="Arial" w:hAnsi="Arial" w:cs="Arial"/>
          <w:color w:val="000000"/>
          <w:kern w:val="0"/>
          <w:sz w:val="24"/>
          <w:szCs w:val="24"/>
          <w:lang w:eastAsia="en-GB"/>
          <w14:ligatures w14:val="none"/>
        </w:rPr>
      </w:pPr>
      <w:r>
        <w:rPr>
          <w:rStyle w:val="s1"/>
          <w:rFonts w:ascii="Arial" w:hAnsi="Arial" w:cs="Arial"/>
          <w:sz w:val="24"/>
          <w:szCs w:val="24"/>
        </w:rPr>
        <w:br w:type="page"/>
      </w:r>
    </w:p>
    <w:p w14:paraId="3001EAD9" w14:textId="77777777" w:rsidR="001479F4" w:rsidRPr="001479F4" w:rsidRDefault="001479F4" w:rsidP="001479F4">
      <w:pPr>
        <w:spacing w:after="240" w:line="540" w:lineRule="atLeast"/>
        <w:outlineLvl w:val="0"/>
        <w:divId w:val="813060169"/>
        <w:rPr>
          <w:rFonts w:ascii="Arial" w:eastAsia="Times New Roman" w:hAnsi="Arial" w:cs="Arial"/>
          <w:b/>
          <w:bCs/>
          <w:color w:val="000000"/>
          <w:kern w:val="36"/>
          <w:sz w:val="20"/>
          <w:szCs w:val="20"/>
          <w:u w:val="single"/>
          <w:lang w:eastAsia="en-GB"/>
          <w14:ligatures w14:val="none"/>
        </w:rPr>
      </w:pPr>
      <w:r w:rsidRPr="001479F4">
        <w:rPr>
          <w:rFonts w:ascii="Arial" w:eastAsia="Times New Roman" w:hAnsi="Arial" w:cs="Arial"/>
          <w:b/>
          <w:bCs/>
          <w:color w:val="000000"/>
          <w:kern w:val="36"/>
          <w:sz w:val="20"/>
          <w:szCs w:val="20"/>
          <w:u w:val="single"/>
          <w:lang w:eastAsia="en-GB"/>
          <w14:ligatures w14:val="none"/>
        </w:rPr>
        <w:lastRenderedPageBreak/>
        <w:t>Reference list</w:t>
      </w:r>
    </w:p>
    <w:p w14:paraId="549B54E8"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Arends</w:t>
      </w:r>
      <w:proofErr w:type="spellEnd"/>
      <w:r w:rsidRPr="001479F4">
        <w:rPr>
          <w:rFonts w:ascii="Arial" w:hAnsi="Arial" w:cs="Arial"/>
          <w:color w:val="000000"/>
          <w:kern w:val="0"/>
          <w:sz w:val="20"/>
          <w:szCs w:val="20"/>
          <w:lang w:eastAsia="en-GB"/>
          <w14:ligatures w14:val="none"/>
        </w:rPr>
        <w:t xml:space="preserve">, R.I. (2012). Learning to teach. New York, Ny: </w:t>
      </w:r>
      <w:proofErr w:type="spellStart"/>
      <w:r w:rsidRPr="001479F4">
        <w:rPr>
          <w:rFonts w:ascii="Arial" w:hAnsi="Arial" w:cs="Arial"/>
          <w:color w:val="000000"/>
          <w:kern w:val="0"/>
          <w:sz w:val="20"/>
          <w:szCs w:val="20"/>
          <w:lang w:eastAsia="en-GB"/>
          <w14:ligatures w14:val="none"/>
        </w:rPr>
        <w:t>Mcgraw-Hill</w:t>
      </w:r>
      <w:proofErr w:type="spellEnd"/>
      <w:r w:rsidRPr="001479F4">
        <w:rPr>
          <w:rFonts w:ascii="Arial" w:hAnsi="Arial" w:cs="Arial"/>
          <w:color w:val="000000"/>
          <w:kern w:val="0"/>
          <w:sz w:val="20"/>
          <w:szCs w:val="20"/>
          <w:lang w:eastAsia="en-GB"/>
          <w14:ligatures w14:val="none"/>
        </w:rPr>
        <w:t>.</w:t>
      </w:r>
    </w:p>
    <w:p w14:paraId="66152C75"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Blair, C. and Raver, C.C. (2015). School Readiness and Self-Regulation: A Developmental Psychobiological Approach. Annual Review of Psychology, 66(1), pp.711–731. </w:t>
      </w:r>
      <w:proofErr w:type="spellStart"/>
      <w:r w:rsidRPr="001479F4">
        <w:rPr>
          <w:rFonts w:ascii="Arial" w:hAnsi="Arial" w:cs="Arial"/>
          <w:color w:val="000000"/>
          <w:kern w:val="0"/>
          <w:sz w:val="20"/>
          <w:szCs w:val="20"/>
          <w:lang w:eastAsia="en-GB"/>
          <w14:ligatures w14:val="none"/>
        </w:rPr>
        <w:t>doi:https</w:t>
      </w:r>
      <w:proofErr w:type="spellEnd"/>
      <w:r w:rsidRPr="001479F4">
        <w:rPr>
          <w:rFonts w:ascii="Arial" w:hAnsi="Arial" w:cs="Arial"/>
          <w:color w:val="000000"/>
          <w:kern w:val="0"/>
          <w:sz w:val="20"/>
          <w:szCs w:val="20"/>
          <w:lang w:eastAsia="en-GB"/>
          <w14:ligatures w14:val="none"/>
        </w:rPr>
        <w:t>://doi.org/10.1146/annurev-psych-010814-015221.</w:t>
      </w:r>
    </w:p>
    <w:p w14:paraId="55577F16"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Blakemore, C.L. (2003). Movement is Essential to Learning. Journal of Physical Education, Recreation &amp; Dance, 74(9), pp.22–25. </w:t>
      </w:r>
      <w:proofErr w:type="spellStart"/>
      <w:r w:rsidRPr="001479F4">
        <w:rPr>
          <w:rFonts w:ascii="Arial" w:hAnsi="Arial" w:cs="Arial"/>
          <w:color w:val="000000"/>
          <w:kern w:val="0"/>
          <w:sz w:val="20"/>
          <w:szCs w:val="20"/>
          <w:lang w:eastAsia="en-GB"/>
          <w14:ligatures w14:val="none"/>
        </w:rPr>
        <w:t>doi:https</w:t>
      </w:r>
      <w:proofErr w:type="spellEnd"/>
      <w:r w:rsidRPr="001479F4">
        <w:rPr>
          <w:rFonts w:ascii="Arial" w:hAnsi="Arial" w:cs="Arial"/>
          <w:color w:val="000000"/>
          <w:kern w:val="0"/>
          <w:sz w:val="20"/>
          <w:szCs w:val="20"/>
          <w:lang w:eastAsia="en-GB"/>
          <w14:ligatures w14:val="none"/>
        </w:rPr>
        <w:t>://doi.org/10.1080/07303084.2003.10608514.</w:t>
      </w:r>
    </w:p>
    <w:p w14:paraId="18B34F21"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Britannica (2018). Jerome Bruner | American Psychologist. In: </w:t>
      </w:r>
      <w:proofErr w:type="spellStart"/>
      <w:r w:rsidRPr="001479F4">
        <w:rPr>
          <w:rFonts w:ascii="Arial" w:hAnsi="Arial" w:cs="Arial"/>
          <w:color w:val="000000"/>
          <w:kern w:val="0"/>
          <w:sz w:val="20"/>
          <w:szCs w:val="20"/>
          <w:lang w:eastAsia="en-GB"/>
          <w14:ligatures w14:val="none"/>
        </w:rPr>
        <w:t>Encyclopædia</w:t>
      </w:r>
      <w:proofErr w:type="spellEnd"/>
      <w:r w:rsidRPr="001479F4">
        <w:rPr>
          <w:rFonts w:ascii="Arial" w:hAnsi="Arial" w:cs="Arial"/>
          <w:color w:val="000000"/>
          <w:kern w:val="0"/>
          <w:sz w:val="20"/>
          <w:szCs w:val="20"/>
          <w:lang w:eastAsia="en-GB"/>
          <w14:ligatures w14:val="none"/>
        </w:rPr>
        <w:t xml:space="preserve"> Britannica. [online] Available at: https://www.britannica.com/biography/Jerome-Bruner.</w:t>
      </w:r>
    </w:p>
    <w:p w14:paraId="31EF5A30"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Claxton</w:t>
      </w:r>
      <w:proofErr w:type="spellEnd"/>
      <w:r w:rsidRPr="001479F4">
        <w:rPr>
          <w:rFonts w:ascii="Arial" w:hAnsi="Arial" w:cs="Arial"/>
          <w:color w:val="000000"/>
          <w:kern w:val="0"/>
          <w:sz w:val="20"/>
          <w:szCs w:val="20"/>
          <w:lang w:eastAsia="en-GB"/>
          <w14:ligatures w14:val="none"/>
        </w:rPr>
        <w:t>, G. (2002). Building Learning Power helping young people become better learners. [online] Available at: https://www.buildinglearningpower.com/wp-content/uploads/2014/11/BLP_Preview.pdf.</w:t>
      </w:r>
    </w:p>
    <w:p w14:paraId="4663BBEE"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Cotton, T. (2021). Understanding and Teaching Primary Mathematics. 4th ed. London ; New York </w:t>
      </w:r>
      <w:proofErr w:type="spellStart"/>
      <w:r w:rsidRPr="001479F4">
        <w:rPr>
          <w:rFonts w:ascii="Arial" w:hAnsi="Arial" w:cs="Arial"/>
          <w:color w:val="000000"/>
          <w:kern w:val="0"/>
          <w:sz w:val="20"/>
          <w:szCs w:val="20"/>
          <w:lang w:eastAsia="en-GB"/>
          <w14:ligatures w14:val="none"/>
        </w:rPr>
        <w:t>Routledge</w:t>
      </w:r>
      <w:proofErr w:type="spellEnd"/>
      <w:r w:rsidRPr="001479F4">
        <w:rPr>
          <w:rFonts w:ascii="Arial" w:hAnsi="Arial" w:cs="Arial"/>
          <w:color w:val="000000"/>
          <w:kern w:val="0"/>
          <w:sz w:val="20"/>
          <w:szCs w:val="20"/>
          <w:lang w:eastAsia="en-GB"/>
          <w14:ligatures w14:val="none"/>
        </w:rPr>
        <w:t>, Taylor Et Francis Group.</w:t>
      </w:r>
    </w:p>
    <w:p w14:paraId="7B2D60CA"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Department for Education (2021). Teachers’ Standards. [online] Available at: https://assets.publishing.service.gov.uk/media/5a750668ed915d3c7d529cad/Teachers_standard_information.pdf.</w:t>
      </w:r>
    </w:p>
    <w:p w14:paraId="16E72297"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Education Endowment Foundation (2021). Behaviour interventions. [online] EEF. Available at: https://educationendowmentfoundation.org.uk/education-evidence/teaching-learning-toolkit/behaviour-interventions.</w:t>
      </w:r>
    </w:p>
    <w:p w14:paraId="3C26C26A"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England, F. (2021). Lesson plan Maths in the forest Curriculum links. [online] Available at: https://www.forestryengland.uk/sites/default/files/documents/Forestry%20England_Maths_Lesson%20Plan.pdf.</w:t>
      </w:r>
    </w:p>
    <w:p w14:paraId="35FD21E4"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Epstein (2011). Framework of Six Types of Involvement. [online] </w:t>
      </w:r>
      <w:proofErr w:type="spellStart"/>
      <w:r w:rsidRPr="001479F4">
        <w:rPr>
          <w:rFonts w:ascii="Arial" w:hAnsi="Arial" w:cs="Arial"/>
          <w:color w:val="000000"/>
          <w:kern w:val="0"/>
          <w:sz w:val="20"/>
          <w:szCs w:val="20"/>
          <w:lang w:eastAsia="en-GB"/>
          <w14:ligatures w14:val="none"/>
        </w:rPr>
        <w:t>Organizing</w:t>
      </w:r>
      <w:proofErr w:type="spellEnd"/>
      <w:r w:rsidRPr="001479F4">
        <w:rPr>
          <w:rFonts w:ascii="Arial" w:hAnsi="Arial" w:cs="Arial"/>
          <w:color w:val="000000"/>
          <w:kern w:val="0"/>
          <w:sz w:val="20"/>
          <w:szCs w:val="20"/>
          <w:lang w:eastAsia="en-GB"/>
          <w14:ligatures w14:val="none"/>
        </w:rPr>
        <w:t xml:space="preserve"> Engagement. Available at: https://organizingengagement.org/models/framework-of-six-types-of-involvement/.</w:t>
      </w:r>
    </w:p>
    <w:p w14:paraId="4B0A094F"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Estyn</w:t>
      </w:r>
      <w:proofErr w:type="spellEnd"/>
      <w:r w:rsidRPr="001479F4">
        <w:rPr>
          <w:rFonts w:ascii="Arial" w:hAnsi="Arial" w:cs="Arial"/>
          <w:color w:val="000000"/>
          <w:kern w:val="0"/>
          <w:sz w:val="20"/>
          <w:szCs w:val="20"/>
          <w:lang w:eastAsia="en-GB"/>
          <w14:ligatures w14:val="none"/>
        </w:rPr>
        <w:t xml:space="preserve"> (2024). Home - </w:t>
      </w:r>
      <w:proofErr w:type="spellStart"/>
      <w:r w:rsidRPr="001479F4">
        <w:rPr>
          <w:rFonts w:ascii="Arial" w:hAnsi="Arial" w:cs="Arial"/>
          <w:color w:val="000000"/>
          <w:kern w:val="0"/>
          <w:sz w:val="20"/>
          <w:szCs w:val="20"/>
          <w:lang w:eastAsia="en-GB"/>
          <w14:ligatures w14:val="none"/>
        </w:rPr>
        <w:t>Estyn</w:t>
      </w:r>
      <w:proofErr w:type="spellEnd"/>
      <w:r w:rsidRPr="001479F4">
        <w:rPr>
          <w:rFonts w:ascii="Arial" w:hAnsi="Arial" w:cs="Arial"/>
          <w:color w:val="000000"/>
          <w:kern w:val="0"/>
          <w:sz w:val="20"/>
          <w:szCs w:val="20"/>
          <w:lang w:eastAsia="en-GB"/>
          <w14:ligatures w14:val="none"/>
        </w:rPr>
        <w:t xml:space="preserve">. [online] </w:t>
      </w:r>
      <w:proofErr w:type="spellStart"/>
      <w:r w:rsidRPr="001479F4">
        <w:rPr>
          <w:rFonts w:ascii="Arial" w:hAnsi="Arial" w:cs="Arial"/>
          <w:color w:val="000000"/>
          <w:kern w:val="0"/>
          <w:sz w:val="20"/>
          <w:szCs w:val="20"/>
          <w:lang w:eastAsia="en-GB"/>
          <w14:ligatures w14:val="none"/>
        </w:rPr>
        <w:t>Estyn</w:t>
      </w:r>
      <w:proofErr w:type="spellEnd"/>
      <w:r w:rsidRPr="001479F4">
        <w:rPr>
          <w:rFonts w:ascii="Arial" w:hAnsi="Arial" w:cs="Arial"/>
          <w:color w:val="000000"/>
          <w:kern w:val="0"/>
          <w:sz w:val="20"/>
          <w:szCs w:val="20"/>
          <w:lang w:eastAsia="en-GB"/>
          <w14:ligatures w14:val="none"/>
        </w:rPr>
        <w:t>. Available at: https://estyn.gov.wales/.</w:t>
      </w:r>
    </w:p>
    <w:p w14:paraId="5B14019A"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Forest School Association (2021). What is Forest School? [online] Forest School Association. Available at: https://forestschoolassociation.org/what-is-forest-school/.</w:t>
      </w:r>
    </w:p>
    <w:p w14:paraId="298E4BFC"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lastRenderedPageBreak/>
        <w:t>Franklin, S. (2023). Maximising the Impact of Teaching Assistants – why the status quo is no longer an option. [online] blog.irisconnect.com. Available at: https://blog.irisconnect.com/uk/blog/maximising-the-impact-of-teaching-assistants-why-the-status-quo-is-no-longer-an-option.</w:t>
      </w:r>
    </w:p>
    <w:p w14:paraId="5305D09F" w14:textId="1C2F6B68"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Gelman</w:t>
      </w:r>
      <w:proofErr w:type="spellEnd"/>
      <w:r w:rsidRPr="001479F4">
        <w:rPr>
          <w:rFonts w:ascii="Arial" w:hAnsi="Arial" w:cs="Arial"/>
          <w:color w:val="000000"/>
          <w:kern w:val="0"/>
          <w:sz w:val="20"/>
          <w:szCs w:val="20"/>
          <w:lang w:eastAsia="en-GB"/>
          <w14:ligatures w14:val="none"/>
        </w:rPr>
        <w:t xml:space="preserve"> and </w:t>
      </w:r>
      <w:proofErr w:type="spellStart"/>
      <w:r w:rsidRPr="001479F4">
        <w:rPr>
          <w:rFonts w:ascii="Arial" w:hAnsi="Arial" w:cs="Arial"/>
          <w:color w:val="000000"/>
          <w:kern w:val="0"/>
          <w:sz w:val="20"/>
          <w:szCs w:val="20"/>
          <w:lang w:eastAsia="en-GB"/>
          <w14:ligatures w14:val="none"/>
        </w:rPr>
        <w:t>Gallistel</w:t>
      </w:r>
      <w:proofErr w:type="spellEnd"/>
      <w:r w:rsidRPr="001479F4">
        <w:rPr>
          <w:rFonts w:ascii="Arial" w:hAnsi="Arial" w:cs="Arial"/>
          <w:color w:val="000000"/>
          <w:kern w:val="0"/>
          <w:sz w:val="20"/>
          <w:szCs w:val="20"/>
          <w:lang w:eastAsia="en-GB"/>
          <w14:ligatures w14:val="none"/>
        </w:rPr>
        <w:t xml:space="preserve"> (1978). </w:t>
      </w:r>
      <w:proofErr w:type="spellStart"/>
      <w:r w:rsidRPr="001479F4">
        <w:rPr>
          <w:rFonts w:ascii="Arial" w:hAnsi="Arial" w:cs="Arial"/>
          <w:color w:val="000000"/>
          <w:kern w:val="0"/>
          <w:sz w:val="20"/>
          <w:szCs w:val="20"/>
          <w:lang w:eastAsia="en-GB"/>
          <w14:ligatures w14:val="none"/>
        </w:rPr>
        <w:t>Gelman</w:t>
      </w:r>
      <w:proofErr w:type="spellEnd"/>
      <w:r w:rsidRPr="001479F4">
        <w:rPr>
          <w:rFonts w:ascii="Arial" w:hAnsi="Arial" w:cs="Arial"/>
          <w:color w:val="000000"/>
          <w:kern w:val="0"/>
          <w:sz w:val="20"/>
          <w:szCs w:val="20"/>
          <w:lang w:eastAsia="en-GB"/>
          <w14:ligatures w14:val="none"/>
        </w:rPr>
        <w:t xml:space="preserve">, R., &amp; </w:t>
      </w:r>
      <w:proofErr w:type="spellStart"/>
      <w:r w:rsidRPr="001479F4">
        <w:rPr>
          <w:rFonts w:ascii="Arial" w:hAnsi="Arial" w:cs="Arial"/>
          <w:color w:val="000000"/>
          <w:kern w:val="0"/>
          <w:sz w:val="20"/>
          <w:szCs w:val="20"/>
          <w:lang w:eastAsia="en-GB"/>
          <w14:ligatures w14:val="none"/>
        </w:rPr>
        <w:t>Gallistel</w:t>
      </w:r>
      <w:proofErr w:type="spellEnd"/>
      <w:r w:rsidRPr="001479F4">
        <w:rPr>
          <w:rFonts w:ascii="Arial" w:hAnsi="Arial" w:cs="Arial"/>
          <w:color w:val="000000"/>
          <w:kern w:val="0"/>
          <w:sz w:val="20"/>
          <w:szCs w:val="20"/>
          <w:lang w:eastAsia="en-GB"/>
          <w14:ligatures w14:val="none"/>
        </w:rPr>
        <w:t>, C. R. (1978). The Child’s Understanding of Number. Cambridge, MA Harvard University Press. - References - Scientific Research Publishing. [online] www.scirp.org. Available at: https://www.scirp.org/reference/referencespapers?referenceid=1963761</w:t>
      </w:r>
    </w:p>
    <w:p w14:paraId="212147F1"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Goby, J. and </w:t>
      </w:r>
      <w:proofErr w:type="spellStart"/>
      <w:r w:rsidRPr="001479F4">
        <w:rPr>
          <w:rFonts w:ascii="Arial" w:hAnsi="Arial" w:cs="Arial"/>
          <w:color w:val="000000"/>
          <w:kern w:val="0"/>
          <w:sz w:val="20"/>
          <w:szCs w:val="20"/>
          <w:lang w:eastAsia="en-GB"/>
          <w14:ligatures w14:val="none"/>
        </w:rPr>
        <w:t>Hiba</w:t>
      </w:r>
      <w:proofErr w:type="spellEnd"/>
      <w:r w:rsidRPr="001479F4">
        <w:rPr>
          <w:rFonts w:ascii="Arial" w:hAnsi="Arial" w:cs="Arial"/>
          <w:color w:val="000000"/>
          <w:kern w:val="0"/>
          <w:sz w:val="20"/>
          <w:szCs w:val="20"/>
          <w:lang w:eastAsia="en-GB"/>
          <w14:ligatures w14:val="none"/>
        </w:rPr>
        <w:t>, A. (2024). Effective Interventions in Education: Types and Examples. [online] Human Focus. Available at: https://humanfocus.co.uk/blog/what-is-intervention-in-education-types-and-examples/.</w:t>
      </w:r>
    </w:p>
    <w:p w14:paraId="14D1BCC6"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Graham, L. (2020). INCLUSIVE EDUCATION FOR THE 21ST CENTURY : theory, policy and practice. S.L.: </w:t>
      </w:r>
      <w:proofErr w:type="spellStart"/>
      <w:r w:rsidRPr="001479F4">
        <w:rPr>
          <w:rFonts w:ascii="Arial" w:hAnsi="Arial" w:cs="Arial"/>
          <w:color w:val="000000"/>
          <w:kern w:val="0"/>
          <w:sz w:val="20"/>
          <w:szCs w:val="20"/>
          <w:lang w:eastAsia="en-GB"/>
          <w14:ligatures w14:val="none"/>
        </w:rPr>
        <w:t>Routledge</w:t>
      </w:r>
      <w:proofErr w:type="spellEnd"/>
      <w:r w:rsidRPr="001479F4">
        <w:rPr>
          <w:rFonts w:ascii="Arial" w:hAnsi="Arial" w:cs="Arial"/>
          <w:color w:val="000000"/>
          <w:kern w:val="0"/>
          <w:sz w:val="20"/>
          <w:szCs w:val="20"/>
          <w:lang w:eastAsia="en-GB"/>
          <w14:ligatures w14:val="none"/>
        </w:rPr>
        <w:t>.</w:t>
      </w:r>
    </w:p>
    <w:p w14:paraId="4D43B1B3"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Harden, R.M. (2007). Learning outcomes as a tool to assess progression. Medical teacher, [online] 29(7), pp.678–82. </w:t>
      </w:r>
      <w:proofErr w:type="spellStart"/>
      <w:r w:rsidRPr="001479F4">
        <w:rPr>
          <w:rFonts w:ascii="Arial" w:hAnsi="Arial" w:cs="Arial"/>
          <w:color w:val="000000"/>
          <w:kern w:val="0"/>
          <w:sz w:val="20"/>
          <w:szCs w:val="20"/>
          <w:lang w:eastAsia="en-GB"/>
          <w14:ligatures w14:val="none"/>
        </w:rPr>
        <w:t>doi:https</w:t>
      </w:r>
      <w:proofErr w:type="spellEnd"/>
      <w:r w:rsidRPr="001479F4">
        <w:rPr>
          <w:rFonts w:ascii="Arial" w:hAnsi="Arial" w:cs="Arial"/>
          <w:color w:val="000000"/>
          <w:kern w:val="0"/>
          <w:sz w:val="20"/>
          <w:szCs w:val="20"/>
          <w:lang w:eastAsia="en-GB"/>
          <w14:ligatures w14:val="none"/>
        </w:rPr>
        <w:t>://doi.org/10.1080/01421590701729955.</w:t>
      </w:r>
    </w:p>
    <w:p w14:paraId="3904FB97"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Haylock</w:t>
      </w:r>
      <w:proofErr w:type="spellEnd"/>
      <w:r w:rsidRPr="001479F4">
        <w:rPr>
          <w:rFonts w:ascii="Arial" w:hAnsi="Arial" w:cs="Arial"/>
          <w:color w:val="000000"/>
          <w:kern w:val="0"/>
          <w:sz w:val="20"/>
          <w:szCs w:val="20"/>
          <w:lang w:eastAsia="en-GB"/>
          <w14:ligatures w14:val="none"/>
        </w:rPr>
        <w:t>, D. (2019). Mathematics Explained for Primary Teachers. 6th ed. London: Sage.</w:t>
      </w:r>
    </w:p>
    <w:p w14:paraId="0F34A859"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Higgins, P.J. (2012). Learning outside the Classroom : Theory and Guidelines for Practice. New York: </w:t>
      </w:r>
      <w:proofErr w:type="spellStart"/>
      <w:r w:rsidRPr="001479F4">
        <w:rPr>
          <w:rFonts w:ascii="Arial" w:hAnsi="Arial" w:cs="Arial"/>
          <w:color w:val="000000"/>
          <w:kern w:val="0"/>
          <w:sz w:val="20"/>
          <w:szCs w:val="20"/>
          <w:lang w:eastAsia="en-GB"/>
          <w14:ligatures w14:val="none"/>
        </w:rPr>
        <w:t>Routledge</w:t>
      </w:r>
      <w:proofErr w:type="spellEnd"/>
      <w:r w:rsidRPr="001479F4">
        <w:rPr>
          <w:rFonts w:ascii="Arial" w:hAnsi="Arial" w:cs="Arial"/>
          <w:color w:val="000000"/>
          <w:kern w:val="0"/>
          <w:sz w:val="20"/>
          <w:szCs w:val="20"/>
          <w:lang w:eastAsia="en-GB"/>
          <w14:ligatures w14:val="none"/>
        </w:rPr>
        <w:t>.</w:t>
      </w:r>
    </w:p>
    <w:p w14:paraId="722B25A9"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Institute for Outdoor Learning (2019). IOL Home. [online] Outdoor-learning.org. Available at: https://www.outdoor-learning.org/.</w:t>
      </w:r>
    </w:p>
    <w:p w14:paraId="7C50C199"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Jensen, E. (2005). Teaching With the Brain in Mind (2nd ed.). </w:t>
      </w:r>
      <w:proofErr w:type="spellStart"/>
      <w:r w:rsidRPr="001479F4">
        <w:rPr>
          <w:rFonts w:ascii="Arial" w:hAnsi="Arial" w:cs="Arial"/>
          <w:color w:val="000000"/>
          <w:kern w:val="0"/>
          <w:sz w:val="20"/>
          <w:szCs w:val="20"/>
          <w:lang w:eastAsia="en-GB"/>
          <w14:ligatures w14:val="none"/>
        </w:rPr>
        <w:t>Ascd</w:t>
      </w:r>
      <w:proofErr w:type="spellEnd"/>
      <w:r w:rsidRPr="001479F4">
        <w:rPr>
          <w:rFonts w:ascii="Arial" w:hAnsi="Arial" w:cs="Arial"/>
          <w:color w:val="000000"/>
          <w:kern w:val="0"/>
          <w:sz w:val="20"/>
          <w:szCs w:val="20"/>
          <w:lang w:eastAsia="en-GB"/>
          <w14:ligatures w14:val="none"/>
        </w:rPr>
        <w:t xml:space="preserve"> </w:t>
      </w:r>
      <w:proofErr w:type="spellStart"/>
      <w:r w:rsidRPr="001479F4">
        <w:rPr>
          <w:rFonts w:ascii="Arial" w:hAnsi="Arial" w:cs="Arial"/>
          <w:color w:val="000000"/>
          <w:kern w:val="0"/>
          <w:sz w:val="20"/>
          <w:szCs w:val="20"/>
          <w:lang w:eastAsia="en-GB"/>
          <w14:ligatures w14:val="none"/>
        </w:rPr>
        <w:t>Uuuu-Uuuu</w:t>
      </w:r>
      <w:proofErr w:type="spellEnd"/>
      <w:r w:rsidRPr="001479F4">
        <w:rPr>
          <w:rFonts w:ascii="Arial" w:hAnsi="Arial" w:cs="Arial"/>
          <w:color w:val="000000"/>
          <w:kern w:val="0"/>
          <w:sz w:val="20"/>
          <w:szCs w:val="20"/>
          <w:lang w:eastAsia="en-GB"/>
          <w14:ligatures w14:val="none"/>
        </w:rPr>
        <w:t>.</w:t>
      </w:r>
    </w:p>
    <w:p w14:paraId="411FF881"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Kirschner</w:t>
      </w:r>
      <w:proofErr w:type="spellEnd"/>
      <w:r w:rsidRPr="001479F4">
        <w:rPr>
          <w:rFonts w:ascii="Arial" w:hAnsi="Arial" w:cs="Arial"/>
          <w:color w:val="000000"/>
          <w:kern w:val="0"/>
          <w:sz w:val="20"/>
          <w:szCs w:val="20"/>
          <w:lang w:eastAsia="en-GB"/>
          <w14:ligatures w14:val="none"/>
        </w:rPr>
        <w:t xml:space="preserve">, P.A., Sweller, J. and Clark, R.E. (2006). Why minimal guidance during instruction does not work: An analysis of the failure of constructivist, discovery, problem-based, experiential, and inquiry-based teaching. Educational Psychologist, [online] 41(2), pp.75–86. </w:t>
      </w:r>
      <w:proofErr w:type="spellStart"/>
      <w:r w:rsidRPr="001479F4">
        <w:rPr>
          <w:rFonts w:ascii="Arial" w:hAnsi="Arial" w:cs="Arial"/>
          <w:color w:val="000000"/>
          <w:kern w:val="0"/>
          <w:sz w:val="20"/>
          <w:szCs w:val="20"/>
          <w:lang w:eastAsia="en-GB"/>
          <w14:ligatures w14:val="none"/>
        </w:rPr>
        <w:t>doi:https</w:t>
      </w:r>
      <w:proofErr w:type="spellEnd"/>
      <w:r w:rsidRPr="001479F4">
        <w:rPr>
          <w:rFonts w:ascii="Arial" w:hAnsi="Arial" w:cs="Arial"/>
          <w:color w:val="000000"/>
          <w:kern w:val="0"/>
          <w:sz w:val="20"/>
          <w:szCs w:val="20"/>
          <w:lang w:eastAsia="en-GB"/>
          <w14:ligatures w14:val="none"/>
        </w:rPr>
        <w:t>://doi.org/10.1207/s15326985ep4102_1.</w:t>
      </w:r>
    </w:p>
    <w:p w14:paraId="028D3253"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Knight, S. (2011). Forest School for All. London: Sage.</w:t>
      </w:r>
    </w:p>
    <w:p w14:paraId="7DD05C3C"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Learning through landscapes (2023). Forest School ideas. [online] Learning through Landscapes. Available at: https://ltl.org.uk/forest-school-ideas/.</w:t>
      </w:r>
    </w:p>
    <w:p w14:paraId="3D6F71F2" w14:textId="037574C5"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Mariño</w:t>
      </w:r>
      <w:proofErr w:type="spellEnd"/>
      <w:r w:rsidRPr="001479F4">
        <w:rPr>
          <w:rFonts w:ascii="Arial" w:hAnsi="Arial" w:cs="Arial"/>
          <w:color w:val="000000"/>
          <w:kern w:val="0"/>
          <w:sz w:val="20"/>
          <w:szCs w:val="20"/>
          <w:lang w:eastAsia="en-GB"/>
          <w14:ligatures w14:val="none"/>
        </w:rPr>
        <w:t xml:space="preserve">, M. (2013). An introduction to Donaldson-Witten theory. [online] Available at: http://www.pdmi.ras.ru/EIMI/2013/Cohomology/lect/mm.pdf </w:t>
      </w:r>
    </w:p>
    <w:p w14:paraId="77731CF7"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lastRenderedPageBreak/>
        <w:t>McLeod, S. (2024). The zone of proximal development and scaffolding. [online] Simply Psychology. Available at: https://www.simplypsychology.org/Zone-of-Proximal-Development.html.</w:t>
      </w:r>
    </w:p>
    <w:p w14:paraId="162B1795"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Meer, S. (2012). Book review: Children learning outside the classroom: from birth to eleven - Insight. Cumbria.ac.uk. [online] doi:https://insight.cumbria.ac.uk/id/eprint/2232/1/Prince%20JAEOL%20Waite%20Book%20Review.pdf.</w:t>
      </w:r>
    </w:p>
    <w:p w14:paraId="0E347F88"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Montessori, M. (2017). The Montessori method : scientific pedagogy as applied to child education in ‘The children’s houses’. Oakland, Ca: Kingfisher Press.</w:t>
      </w:r>
    </w:p>
    <w:p w14:paraId="0F0D3410"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Nunes</w:t>
      </w:r>
      <w:proofErr w:type="spellEnd"/>
      <w:r w:rsidRPr="001479F4">
        <w:rPr>
          <w:rFonts w:ascii="Arial" w:hAnsi="Arial" w:cs="Arial"/>
          <w:color w:val="000000"/>
          <w:kern w:val="0"/>
          <w:sz w:val="20"/>
          <w:szCs w:val="20"/>
          <w:lang w:eastAsia="en-GB"/>
          <w14:ligatures w14:val="none"/>
        </w:rPr>
        <w:t xml:space="preserve">, T., Bryant, P., Sylva, K. and </w:t>
      </w:r>
      <w:proofErr w:type="spellStart"/>
      <w:r w:rsidRPr="001479F4">
        <w:rPr>
          <w:rFonts w:ascii="Arial" w:hAnsi="Arial" w:cs="Arial"/>
          <w:color w:val="000000"/>
          <w:kern w:val="0"/>
          <w:sz w:val="20"/>
          <w:szCs w:val="20"/>
          <w:lang w:eastAsia="en-GB"/>
          <w14:ligatures w14:val="none"/>
        </w:rPr>
        <w:t>Barros</w:t>
      </w:r>
      <w:proofErr w:type="spellEnd"/>
      <w:r w:rsidRPr="001479F4">
        <w:rPr>
          <w:rFonts w:ascii="Arial" w:hAnsi="Arial" w:cs="Arial"/>
          <w:color w:val="000000"/>
          <w:kern w:val="0"/>
          <w:sz w:val="20"/>
          <w:szCs w:val="20"/>
          <w:lang w:eastAsia="en-GB"/>
          <w14:ligatures w14:val="none"/>
        </w:rPr>
        <w:t>, R. (2009). Development of Maths Capabilities and Confidence in Primary School Research Report DCSF-RR118. [online] Available at: https://dera.ioe.ac.uk/id/eprint/11154/1/DCSF-RR118.pdf.</w:t>
      </w:r>
    </w:p>
    <w:p w14:paraId="0893115F"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Parry-Slater, M. (2021). The learning and development handbook : a learning practitioner’s guide. London: Kogan Page.</w:t>
      </w:r>
    </w:p>
    <w:p w14:paraId="0D0E2EE6" w14:textId="4C0D5C98"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Phillips, D.C. (2018). </w:t>
      </w:r>
      <w:proofErr w:type="spellStart"/>
      <w:r w:rsidRPr="001479F4">
        <w:rPr>
          <w:rFonts w:ascii="Arial" w:hAnsi="Arial" w:cs="Arial"/>
          <w:color w:val="000000"/>
          <w:kern w:val="0"/>
          <w:sz w:val="20"/>
          <w:szCs w:val="20"/>
          <w:lang w:eastAsia="en-GB"/>
          <w14:ligatures w14:val="none"/>
        </w:rPr>
        <w:t>Encyclopedia</w:t>
      </w:r>
      <w:proofErr w:type="spellEnd"/>
      <w:r w:rsidRPr="001479F4">
        <w:rPr>
          <w:rFonts w:ascii="Arial" w:hAnsi="Arial" w:cs="Arial"/>
          <w:color w:val="000000"/>
          <w:kern w:val="0"/>
          <w:sz w:val="20"/>
          <w:szCs w:val="20"/>
          <w:lang w:eastAsia="en-GB"/>
          <w14:ligatures w14:val="none"/>
        </w:rPr>
        <w:t xml:space="preserve"> of educational theory and philosophy. [online] Philpapers.org. Available at: https://philpapers.org/rec/PHIEOE </w:t>
      </w:r>
    </w:p>
    <w:p w14:paraId="7429E8AC"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Plymouth </w:t>
      </w:r>
      <w:proofErr w:type="spellStart"/>
      <w:r w:rsidRPr="001479F4">
        <w:rPr>
          <w:rFonts w:ascii="Arial" w:hAnsi="Arial" w:cs="Arial"/>
          <w:color w:val="000000"/>
          <w:kern w:val="0"/>
          <w:sz w:val="20"/>
          <w:szCs w:val="20"/>
          <w:lang w:eastAsia="en-GB"/>
          <w14:ligatures w14:val="none"/>
        </w:rPr>
        <w:t>Marjon</w:t>
      </w:r>
      <w:proofErr w:type="spellEnd"/>
      <w:r w:rsidRPr="001479F4">
        <w:rPr>
          <w:rFonts w:ascii="Arial" w:hAnsi="Arial" w:cs="Arial"/>
          <w:color w:val="000000"/>
          <w:kern w:val="0"/>
          <w:sz w:val="20"/>
          <w:szCs w:val="20"/>
          <w:lang w:eastAsia="en-GB"/>
          <w14:ligatures w14:val="none"/>
        </w:rPr>
        <w:t xml:space="preserve"> University (2023). The benefits of Forest School | Plymouth </w:t>
      </w:r>
      <w:proofErr w:type="spellStart"/>
      <w:r w:rsidRPr="001479F4">
        <w:rPr>
          <w:rFonts w:ascii="Arial" w:hAnsi="Arial" w:cs="Arial"/>
          <w:color w:val="000000"/>
          <w:kern w:val="0"/>
          <w:sz w:val="20"/>
          <w:szCs w:val="20"/>
          <w:lang w:eastAsia="en-GB"/>
          <w14:ligatures w14:val="none"/>
        </w:rPr>
        <w:t>Marjon</w:t>
      </w:r>
      <w:proofErr w:type="spellEnd"/>
      <w:r w:rsidRPr="001479F4">
        <w:rPr>
          <w:rFonts w:ascii="Arial" w:hAnsi="Arial" w:cs="Arial"/>
          <w:color w:val="000000"/>
          <w:kern w:val="0"/>
          <w:sz w:val="20"/>
          <w:szCs w:val="20"/>
          <w:lang w:eastAsia="en-GB"/>
          <w14:ligatures w14:val="none"/>
        </w:rPr>
        <w:t xml:space="preserve"> University. [online] www.marjon.ac.uk. Available at: https://www.marjon.ac.uk/professional-development-for-teachers/better-forest-school/.</w:t>
      </w:r>
    </w:p>
    <w:p w14:paraId="06CFF464"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Pound, L. (2014). How children learn. [online] Available at: https://eclass.uowm.gr/modules/document/file.php/NURED263/Pound%20How%20Children%20Learn_%20Educational%20Theories%20and%20Approaches%202014%20book.pdf.</w:t>
      </w:r>
    </w:p>
    <w:p w14:paraId="72DF5500"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Rathvon</w:t>
      </w:r>
      <w:proofErr w:type="spellEnd"/>
      <w:r w:rsidRPr="001479F4">
        <w:rPr>
          <w:rFonts w:ascii="Arial" w:hAnsi="Arial" w:cs="Arial"/>
          <w:color w:val="000000"/>
          <w:kern w:val="0"/>
          <w:sz w:val="20"/>
          <w:szCs w:val="20"/>
          <w:lang w:eastAsia="en-GB"/>
          <w14:ligatures w14:val="none"/>
        </w:rPr>
        <w:t>, N. (2003). Effective School Interventions : Strategies For Enhancing Academic Achievement And Social Competence. New York: Guilford Press.</w:t>
      </w:r>
    </w:p>
    <w:p w14:paraId="7CCCD56F"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proofErr w:type="spellStart"/>
      <w:r w:rsidRPr="001479F4">
        <w:rPr>
          <w:rFonts w:ascii="Arial" w:hAnsi="Arial" w:cs="Arial"/>
          <w:color w:val="000000"/>
          <w:kern w:val="0"/>
          <w:sz w:val="20"/>
          <w:szCs w:val="20"/>
          <w:lang w:eastAsia="en-GB"/>
          <w14:ligatures w14:val="none"/>
        </w:rPr>
        <w:t>Skemp</w:t>
      </w:r>
      <w:proofErr w:type="spellEnd"/>
      <w:r w:rsidRPr="001479F4">
        <w:rPr>
          <w:rFonts w:ascii="Arial" w:hAnsi="Arial" w:cs="Arial"/>
          <w:color w:val="000000"/>
          <w:kern w:val="0"/>
          <w:sz w:val="20"/>
          <w:szCs w:val="20"/>
          <w:lang w:eastAsia="en-GB"/>
          <w14:ligatures w14:val="none"/>
        </w:rPr>
        <w:t xml:space="preserve">, R.R. (1987). The psychology of learning mathematics. London: </w:t>
      </w:r>
      <w:proofErr w:type="spellStart"/>
      <w:r w:rsidRPr="001479F4">
        <w:rPr>
          <w:rFonts w:ascii="Arial" w:hAnsi="Arial" w:cs="Arial"/>
          <w:color w:val="000000"/>
          <w:kern w:val="0"/>
          <w:sz w:val="20"/>
          <w:szCs w:val="20"/>
          <w:lang w:eastAsia="en-GB"/>
          <w14:ligatures w14:val="none"/>
        </w:rPr>
        <w:t>Routledge</w:t>
      </w:r>
      <w:proofErr w:type="spellEnd"/>
      <w:r w:rsidRPr="001479F4">
        <w:rPr>
          <w:rFonts w:ascii="Arial" w:hAnsi="Arial" w:cs="Arial"/>
          <w:color w:val="000000"/>
          <w:kern w:val="0"/>
          <w:sz w:val="20"/>
          <w:szCs w:val="20"/>
          <w:lang w:eastAsia="en-GB"/>
          <w14:ligatures w14:val="none"/>
        </w:rPr>
        <w:t>.</w:t>
      </w:r>
    </w:p>
    <w:p w14:paraId="59250DDE"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STEM Learning (2022). Primary mathematics. [online] Stem.org.uk. Available at: https://www.stem.org.uk/primary/resources/collections/maths.</w:t>
      </w:r>
    </w:p>
    <w:p w14:paraId="7D91D1F0"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Straw, I. (2009). Mathematics - The Forest School. [online] www.theforestschool.com. Available at: https://www.theforestschool.com/78/curriculum-subjects/subject/5/mathematics.</w:t>
      </w:r>
    </w:p>
    <w:p w14:paraId="5E2FF1A7"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lastRenderedPageBreak/>
        <w:t>The British psychological study (2018). Margaret Donaldson 1926-2020 - The British Psychological Society. [online] www.bps.org.uk. Available at: https://www.bps.org.uk/psychologist/margaret-donaldson-1926-2020.</w:t>
      </w:r>
    </w:p>
    <w:p w14:paraId="70566B1B"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Thornton, A. (2022). Teaching the primary curriculum outdoors. London: Corwin.</w:t>
      </w:r>
    </w:p>
    <w:p w14:paraId="3E57EA0A"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UNICEF (1989). UN Convention on the Rights of the Child (UNCRC). [online] UNICEF. Available at: https://www.unicef.org.uk/what-we-do/un-convention-child-rights/.</w:t>
      </w:r>
    </w:p>
    <w:p w14:paraId="4DBA4571"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Wadsworth, B.J. (1979). Piaget’s theory of cognitive development : an introduction for students of psychology and education. New York London: </w:t>
      </w:r>
      <w:proofErr w:type="spellStart"/>
      <w:r w:rsidRPr="001479F4">
        <w:rPr>
          <w:rFonts w:ascii="Arial" w:hAnsi="Arial" w:cs="Arial"/>
          <w:color w:val="000000"/>
          <w:kern w:val="0"/>
          <w:sz w:val="20"/>
          <w:szCs w:val="20"/>
          <w:lang w:eastAsia="en-GB"/>
          <w14:ligatures w14:val="none"/>
        </w:rPr>
        <w:t>Longman</w:t>
      </w:r>
      <w:proofErr w:type="spellEnd"/>
      <w:r w:rsidRPr="001479F4">
        <w:rPr>
          <w:rFonts w:ascii="Arial" w:hAnsi="Arial" w:cs="Arial"/>
          <w:color w:val="000000"/>
          <w:kern w:val="0"/>
          <w:sz w:val="20"/>
          <w:szCs w:val="20"/>
          <w:lang w:eastAsia="en-GB"/>
          <w14:ligatures w14:val="none"/>
        </w:rPr>
        <w:t>.</w:t>
      </w:r>
    </w:p>
    <w:p w14:paraId="7E06E8A6"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Waite, S. (2011). Teaching and learning outside the classroom: personal values, alternative pedagogies and standards. Education 3-13, [online] 39(1), pp.65–82. </w:t>
      </w:r>
      <w:proofErr w:type="spellStart"/>
      <w:r w:rsidRPr="001479F4">
        <w:rPr>
          <w:rFonts w:ascii="Arial" w:hAnsi="Arial" w:cs="Arial"/>
          <w:color w:val="000000"/>
          <w:kern w:val="0"/>
          <w:sz w:val="20"/>
          <w:szCs w:val="20"/>
          <w:lang w:eastAsia="en-GB"/>
          <w14:ligatures w14:val="none"/>
        </w:rPr>
        <w:t>doi:https</w:t>
      </w:r>
      <w:proofErr w:type="spellEnd"/>
      <w:r w:rsidRPr="001479F4">
        <w:rPr>
          <w:rFonts w:ascii="Arial" w:hAnsi="Arial" w:cs="Arial"/>
          <w:color w:val="000000"/>
          <w:kern w:val="0"/>
          <w:sz w:val="20"/>
          <w:szCs w:val="20"/>
          <w:lang w:eastAsia="en-GB"/>
          <w14:ligatures w14:val="none"/>
        </w:rPr>
        <w:t>://doi.org/10.1080/03004270903206141.</w:t>
      </w:r>
    </w:p>
    <w:p w14:paraId="6A181805"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Welsh Curriculum (2020). Curriculum for Wales | Sub-topic. [online] GOV.WALES. Available at: https://www.gov.wales/curriculum-for-wales.</w:t>
      </w:r>
    </w:p>
    <w:p w14:paraId="395E716D"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Welsh Government (2019). Professional Standards for Teaching and Leadership. [online] </w:t>
      </w:r>
      <w:proofErr w:type="spellStart"/>
      <w:r w:rsidRPr="001479F4">
        <w:rPr>
          <w:rFonts w:ascii="Arial" w:hAnsi="Arial" w:cs="Arial"/>
          <w:color w:val="000000"/>
          <w:kern w:val="0"/>
          <w:sz w:val="20"/>
          <w:szCs w:val="20"/>
          <w:lang w:eastAsia="en-GB"/>
          <w14:ligatures w14:val="none"/>
        </w:rPr>
        <w:t>Hwb</w:t>
      </w:r>
      <w:proofErr w:type="spellEnd"/>
      <w:r w:rsidRPr="001479F4">
        <w:rPr>
          <w:rFonts w:ascii="Arial" w:hAnsi="Arial" w:cs="Arial"/>
          <w:color w:val="000000"/>
          <w:kern w:val="0"/>
          <w:sz w:val="20"/>
          <w:szCs w:val="20"/>
          <w:lang w:eastAsia="en-GB"/>
          <w14:ligatures w14:val="none"/>
        </w:rPr>
        <w:t>. Welsh Government. Available at: https://hwb.gov.wales/api/storage/19bc948b-8a3f-41e0-944a-7bf2cadf7d18/professional-standards-for-teaching-and-leadership-interactive-pdf-for-pc.pdf.</w:t>
      </w:r>
    </w:p>
    <w:p w14:paraId="773234DE"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Welsh Government (2021). The Curriculum for Wales - Progression Code. [online] Available at: https://www.gov.wales/sites/default/files/publications/2021-11/curriculum-for-wales-progression-code.pdf.</w:t>
      </w:r>
    </w:p>
    <w:p w14:paraId="5C23136B"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 xml:space="preserve">Welsh Government (2022). Supporting learner progression assessment guidance - </w:t>
      </w:r>
      <w:proofErr w:type="spellStart"/>
      <w:r w:rsidRPr="001479F4">
        <w:rPr>
          <w:rFonts w:ascii="Arial" w:hAnsi="Arial" w:cs="Arial"/>
          <w:color w:val="000000"/>
          <w:kern w:val="0"/>
          <w:sz w:val="20"/>
          <w:szCs w:val="20"/>
          <w:lang w:eastAsia="en-GB"/>
          <w14:ligatures w14:val="none"/>
        </w:rPr>
        <w:t>Hwb</w:t>
      </w:r>
      <w:proofErr w:type="spellEnd"/>
      <w:r w:rsidRPr="001479F4">
        <w:rPr>
          <w:rFonts w:ascii="Arial" w:hAnsi="Arial" w:cs="Arial"/>
          <w:color w:val="000000"/>
          <w:kern w:val="0"/>
          <w:sz w:val="20"/>
          <w:szCs w:val="20"/>
          <w:lang w:eastAsia="en-GB"/>
          <w14:ligatures w14:val="none"/>
        </w:rPr>
        <w:t xml:space="preserve">. [online] </w:t>
      </w:r>
      <w:proofErr w:type="spellStart"/>
      <w:r w:rsidRPr="001479F4">
        <w:rPr>
          <w:rFonts w:ascii="Arial" w:hAnsi="Arial" w:cs="Arial"/>
          <w:color w:val="000000"/>
          <w:kern w:val="0"/>
          <w:sz w:val="20"/>
          <w:szCs w:val="20"/>
          <w:lang w:eastAsia="en-GB"/>
          <w14:ligatures w14:val="none"/>
        </w:rPr>
        <w:t>hwb.gov.wales</w:t>
      </w:r>
      <w:proofErr w:type="spellEnd"/>
      <w:r w:rsidRPr="001479F4">
        <w:rPr>
          <w:rFonts w:ascii="Arial" w:hAnsi="Arial" w:cs="Arial"/>
          <w:color w:val="000000"/>
          <w:kern w:val="0"/>
          <w:sz w:val="20"/>
          <w:szCs w:val="20"/>
          <w:lang w:eastAsia="en-GB"/>
          <w14:ligatures w14:val="none"/>
        </w:rPr>
        <w:t>. Available at: https://hwb.gov.wales/curriculum-for-wales/assessment-arrangements/supporting-learner-progression-assessment-guidance.</w:t>
      </w:r>
    </w:p>
    <w:p w14:paraId="48ACE9EE"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Wood, D. (1988). How Children Think and Learn. John Wiley and Sons Ltd.</w:t>
      </w:r>
    </w:p>
    <w:p w14:paraId="2C97252E" w14:textId="77777777" w:rsidR="001479F4" w:rsidRPr="001479F4" w:rsidRDefault="001479F4" w:rsidP="001479F4">
      <w:pPr>
        <w:spacing w:after="240" w:line="360" w:lineRule="atLeast"/>
        <w:divId w:val="1250122179"/>
        <w:rPr>
          <w:rFonts w:ascii="Arial" w:hAnsi="Arial" w:cs="Arial"/>
          <w:color w:val="000000"/>
          <w:kern w:val="0"/>
          <w:sz w:val="20"/>
          <w:szCs w:val="20"/>
          <w:lang w:eastAsia="en-GB"/>
          <w14:ligatures w14:val="none"/>
        </w:rPr>
      </w:pPr>
      <w:r w:rsidRPr="001479F4">
        <w:rPr>
          <w:rFonts w:ascii="Arial" w:hAnsi="Arial" w:cs="Arial"/>
          <w:color w:val="000000"/>
          <w:kern w:val="0"/>
          <w:sz w:val="20"/>
          <w:szCs w:val="20"/>
          <w:lang w:eastAsia="en-GB"/>
          <w14:ligatures w14:val="none"/>
        </w:rPr>
        <w:t>Woodland trust (2024). outdoor learning pack for primary school teachers in. [online] Available at: https://www.woodlandtrust.org.uk/media/43645/outdoor-learning-resource-pack.pdf.</w:t>
      </w:r>
    </w:p>
    <w:p w14:paraId="1883A78B" w14:textId="77777777" w:rsidR="00292B2C" w:rsidRPr="0062472B" w:rsidRDefault="00292B2C" w:rsidP="003C4C9C">
      <w:pPr>
        <w:pStyle w:val="p1"/>
        <w:divId w:val="733159273"/>
        <w:rPr>
          <w:rFonts w:ascii="Arial" w:hAnsi="Arial" w:cs="Arial"/>
          <w:sz w:val="20"/>
          <w:szCs w:val="20"/>
        </w:rPr>
      </w:pPr>
    </w:p>
    <w:p w14:paraId="32F37250" w14:textId="194F2A53" w:rsidR="009B11BB" w:rsidRDefault="009B11BB" w:rsidP="00DD5969">
      <w:pPr>
        <w:rPr>
          <w:rFonts w:ascii="Arial" w:hAnsi="Arial" w:cs="Arial"/>
          <w:sz w:val="20"/>
          <w:szCs w:val="20"/>
        </w:rPr>
      </w:pPr>
    </w:p>
    <w:p w14:paraId="0D178421" w14:textId="77777777" w:rsidR="009B11BB" w:rsidRDefault="009B11BB">
      <w:pPr>
        <w:rPr>
          <w:rFonts w:ascii="Arial" w:hAnsi="Arial" w:cs="Arial"/>
          <w:sz w:val="20"/>
          <w:szCs w:val="20"/>
        </w:rPr>
      </w:pPr>
      <w:r>
        <w:rPr>
          <w:rFonts w:ascii="Arial" w:hAnsi="Arial" w:cs="Arial"/>
          <w:sz w:val="20"/>
          <w:szCs w:val="20"/>
        </w:rPr>
        <w:br w:type="page"/>
      </w:r>
    </w:p>
    <w:p w14:paraId="35BE4CD1" w14:textId="77777777" w:rsidR="00C75175" w:rsidRDefault="009B11BB" w:rsidP="00DD5969">
      <w:pPr>
        <w:rPr>
          <w:rFonts w:ascii="Arial" w:hAnsi="Arial" w:cs="Arial"/>
          <w:b/>
          <w:bCs/>
          <w:sz w:val="20"/>
          <w:szCs w:val="20"/>
          <w:u w:val="single"/>
        </w:rPr>
      </w:pPr>
      <w:r w:rsidRPr="009B11BB">
        <w:rPr>
          <w:rFonts w:ascii="Arial" w:hAnsi="Arial" w:cs="Arial"/>
          <w:b/>
          <w:bCs/>
          <w:sz w:val="20"/>
          <w:szCs w:val="20"/>
          <w:u w:val="single"/>
        </w:rPr>
        <w:lastRenderedPageBreak/>
        <w:t>Appendix</w:t>
      </w:r>
    </w:p>
    <w:p w14:paraId="1295D669" w14:textId="212C1F4F" w:rsidR="0000375B" w:rsidRPr="009B11BB" w:rsidRDefault="00E10003" w:rsidP="00DD5969">
      <w:pPr>
        <w:rPr>
          <w:rFonts w:ascii="Arial" w:hAnsi="Arial" w:cs="Arial"/>
          <w:b/>
          <w:bCs/>
          <w:sz w:val="20"/>
          <w:szCs w:val="20"/>
          <w:u w:val="single"/>
        </w:rPr>
      </w:pPr>
      <w:r>
        <w:rPr>
          <w:rFonts w:ascii="Arial" w:hAnsi="Arial" w:cs="Arial"/>
          <w:b/>
          <w:bCs/>
          <w:noProof/>
          <w:sz w:val="20"/>
          <w:szCs w:val="20"/>
          <w:u w:val="single"/>
        </w:rPr>
        <w:drawing>
          <wp:anchor distT="0" distB="0" distL="114300" distR="114300" simplePos="0" relativeHeight="251659264" behindDoc="0" locked="0" layoutInCell="1" allowOverlap="1" wp14:anchorId="34B9DA4A" wp14:editId="7D981CE3">
            <wp:simplePos x="0" y="0"/>
            <wp:positionH relativeFrom="column">
              <wp:posOffset>0</wp:posOffset>
            </wp:positionH>
            <wp:positionV relativeFrom="paragraph">
              <wp:posOffset>274955</wp:posOffset>
            </wp:positionV>
            <wp:extent cx="5731510" cy="7042785"/>
            <wp:effectExtent l="0" t="0" r="0" b="5715"/>
            <wp:wrapTopAndBottom/>
            <wp:docPr id="712690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690647" name="Picture 71269064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042785"/>
                    </a:xfrm>
                    <a:prstGeom prst="rect">
                      <a:avLst/>
                    </a:prstGeom>
                  </pic:spPr>
                </pic:pic>
              </a:graphicData>
            </a:graphic>
          </wp:anchor>
        </w:drawing>
      </w:r>
      <w:r w:rsidR="009B11BB" w:rsidRPr="009B11BB">
        <w:rPr>
          <w:rFonts w:ascii="Arial" w:hAnsi="Arial" w:cs="Arial"/>
          <w:b/>
          <w:bCs/>
          <w:sz w:val="20"/>
          <w:szCs w:val="20"/>
          <w:u w:val="single"/>
        </w:rPr>
        <w:t xml:space="preserve"> </w:t>
      </w:r>
    </w:p>
    <w:sectPr w:rsidR="0000375B" w:rsidRPr="009B1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SFUI-Regular">
    <w:altName w:val="Cambria"/>
    <w:panose1 w:val="020B0604020202020204"/>
    <w:charset w:val="00"/>
    <w:family w:val="roman"/>
    <w:pitch w:val="default"/>
  </w:font>
  <w:font w:name=".SFUI-Bold">
    <w:altName w:val="Cambria"/>
    <w:panose1 w:val="020B0604020202020204"/>
    <w:charset w:val="00"/>
    <w:family w:val="roman"/>
    <w:pitch w:val="default"/>
  </w:font>
  <w:font w:name=".SFUI-RegularItalic">
    <w:altName w:val="Cambria"/>
    <w:panose1 w:val="020B0604020202020204"/>
    <w:charset w:val="00"/>
    <w:family w:val="roman"/>
    <w:pitch w:val="default"/>
  </w:font>
</w:fonts>
</file>

<file path=word/intelligence2.xml><?xml version="1.0" encoding="utf-8"?>
<int2:intelligence xmlns:int2="http://schemas.microsoft.com/office/intelligence/2020/intelligence" xmlns:oel="http://schemas.microsoft.com/office/2019/extlst">
  <int2:observations>
    <int2:bookmark int2:bookmarkName="_Int_dcoAivX8" int2:invalidationBookmarkName="" int2:hashCode="NV8o8sDDh63WIx" int2:id="RKN1pxjw">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C715E"/>
    <w:multiLevelType w:val="hybridMultilevel"/>
    <w:tmpl w:val="2CDAF41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E450B3"/>
    <w:multiLevelType w:val="hybridMultilevel"/>
    <w:tmpl w:val="C89A35A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380070">
    <w:abstractNumId w:val="0"/>
  </w:num>
  <w:num w:numId="2" w16cid:durableId="6447457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0375B"/>
    <w:rsid w:val="00052487"/>
    <w:rsid w:val="00061BBC"/>
    <w:rsid w:val="00063ADC"/>
    <w:rsid w:val="00067419"/>
    <w:rsid w:val="00071586"/>
    <w:rsid w:val="000A2E17"/>
    <w:rsid w:val="000A4474"/>
    <w:rsid w:val="000A470F"/>
    <w:rsid w:val="000C144A"/>
    <w:rsid w:val="000C3814"/>
    <w:rsid w:val="000C541C"/>
    <w:rsid w:val="000C68CB"/>
    <w:rsid w:val="000D5B34"/>
    <w:rsid w:val="0010406A"/>
    <w:rsid w:val="001118FB"/>
    <w:rsid w:val="00115538"/>
    <w:rsid w:val="00135DD1"/>
    <w:rsid w:val="00140645"/>
    <w:rsid w:val="001479F4"/>
    <w:rsid w:val="001579F2"/>
    <w:rsid w:val="001819DF"/>
    <w:rsid w:val="001821EC"/>
    <w:rsid w:val="00192BB8"/>
    <w:rsid w:val="001B086C"/>
    <w:rsid w:val="001C6E70"/>
    <w:rsid w:val="001F4D0F"/>
    <w:rsid w:val="00262DC1"/>
    <w:rsid w:val="00292B2C"/>
    <w:rsid w:val="002C05B1"/>
    <w:rsid w:val="002D3CA3"/>
    <w:rsid w:val="002F001F"/>
    <w:rsid w:val="002F243A"/>
    <w:rsid w:val="00301906"/>
    <w:rsid w:val="00302BB1"/>
    <w:rsid w:val="003341DF"/>
    <w:rsid w:val="00347EA1"/>
    <w:rsid w:val="003762DB"/>
    <w:rsid w:val="00382546"/>
    <w:rsid w:val="003A07FC"/>
    <w:rsid w:val="003A709B"/>
    <w:rsid w:val="003C4C9C"/>
    <w:rsid w:val="003D223A"/>
    <w:rsid w:val="004027EC"/>
    <w:rsid w:val="0040473E"/>
    <w:rsid w:val="00417AB6"/>
    <w:rsid w:val="004553D3"/>
    <w:rsid w:val="004A4BB9"/>
    <w:rsid w:val="004B09BF"/>
    <w:rsid w:val="004D474C"/>
    <w:rsid w:val="004D50D6"/>
    <w:rsid w:val="004E1EE7"/>
    <w:rsid w:val="005004FF"/>
    <w:rsid w:val="00536CFB"/>
    <w:rsid w:val="00543F5E"/>
    <w:rsid w:val="00581611"/>
    <w:rsid w:val="00584970"/>
    <w:rsid w:val="00586D07"/>
    <w:rsid w:val="005B783A"/>
    <w:rsid w:val="005C313B"/>
    <w:rsid w:val="005E0712"/>
    <w:rsid w:val="005F42D0"/>
    <w:rsid w:val="005F7C42"/>
    <w:rsid w:val="006208A1"/>
    <w:rsid w:val="0062310A"/>
    <w:rsid w:val="0062472B"/>
    <w:rsid w:val="00641DA6"/>
    <w:rsid w:val="00643041"/>
    <w:rsid w:val="0065441F"/>
    <w:rsid w:val="00664B16"/>
    <w:rsid w:val="00671D9B"/>
    <w:rsid w:val="0068675A"/>
    <w:rsid w:val="006B52C3"/>
    <w:rsid w:val="006C5008"/>
    <w:rsid w:val="006E5FD0"/>
    <w:rsid w:val="007203C3"/>
    <w:rsid w:val="007352C0"/>
    <w:rsid w:val="00743752"/>
    <w:rsid w:val="00746A6E"/>
    <w:rsid w:val="00785A7D"/>
    <w:rsid w:val="007B3E76"/>
    <w:rsid w:val="007D3AE1"/>
    <w:rsid w:val="007E01E0"/>
    <w:rsid w:val="007F4DBC"/>
    <w:rsid w:val="0080281B"/>
    <w:rsid w:val="00803155"/>
    <w:rsid w:val="00821164"/>
    <w:rsid w:val="00834530"/>
    <w:rsid w:val="00840BEE"/>
    <w:rsid w:val="00842EE7"/>
    <w:rsid w:val="00851EDB"/>
    <w:rsid w:val="008F1086"/>
    <w:rsid w:val="009060A0"/>
    <w:rsid w:val="0091355A"/>
    <w:rsid w:val="00917008"/>
    <w:rsid w:val="00920B61"/>
    <w:rsid w:val="00935B8D"/>
    <w:rsid w:val="009638BB"/>
    <w:rsid w:val="009702C1"/>
    <w:rsid w:val="009A7AC9"/>
    <w:rsid w:val="009B11BB"/>
    <w:rsid w:val="009B164A"/>
    <w:rsid w:val="009C679D"/>
    <w:rsid w:val="009E0D11"/>
    <w:rsid w:val="00A145A0"/>
    <w:rsid w:val="00A23D6E"/>
    <w:rsid w:val="00A42D94"/>
    <w:rsid w:val="00A605C0"/>
    <w:rsid w:val="00A72F3A"/>
    <w:rsid w:val="00AC3B2D"/>
    <w:rsid w:val="00AD7313"/>
    <w:rsid w:val="00AE2AA9"/>
    <w:rsid w:val="00AE3307"/>
    <w:rsid w:val="00B01A2A"/>
    <w:rsid w:val="00B028A8"/>
    <w:rsid w:val="00B103B9"/>
    <w:rsid w:val="00B46A77"/>
    <w:rsid w:val="00B51B61"/>
    <w:rsid w:val="00B63F21"/>
    <w:rsid w:val="00B724BB"/>
    <w:rsid w:val="00BB36F8"/>
    <w:rsid w:val="00BE2A35"/>
    <w:rsid w:val="00BE3554"/>
    <w:rsid w:val="00BF0182"/>
    <w:rsid w:val="00C129B8"/>
    <w:rsid w:val="00C24461"/>
    <w:rsid w:val="00C2550A"/>
    <w:rsid w:val="00C4699D"/>
    <w:rsid w:val="00C75175"/>
    <w:rsid w:val="00CB7C6F"/>
    <w:rsid w:val="00CE596A"/>
    <w:rsid w:val="00CF32AC"/>
    <w:rsid w:val="00D24ADF"/>
    <w:rsid w:val="00D26517"/>
    <w:rsid w:val="00D70A73"/>
    <w:rsid w:val="00D70F19"/>
    <w:rsid w:val="00D92423"/>
    <w:rsid w:val="00DA0BAE"/>
    <w:rsid w:val="00DC55F3"/>
    <w:rsid w:val="00DD5969"/>
    <w:rsid w:val="00E10003"/>
    <w:rsid w:val="00E10797"/>
    <w:rsid w:val="00E243A8"/>
    <w:rsid w:val="00E6747C"/>
    <w:rsid w:val="00EA0B9A"/>
    <w:rsid w:val="00EA15D1"/>
    <w:rsid w:val="00EA6220"/>
    <w:rsid w:val="00EC1771"/>
    <w:rsid w:val="00EC3BCB"/>
    <w:rsid w:val="00EC6107"/>
    <w:rsid w:val="00F01B0A"/>
    <w:rsid w:val="00F175B0"/>
    <w:rsid w:val="00F32602"/>
    <w:rsid w:val="00F51FE4"/>
    <w:rsid w:val="00F573A5"/>
    <w:rsid w:val="00F8089C"/>
    <w:rsid w:val="00F93D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A27D5117-56F8-4610-AFAC-F1837720A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0037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E0D11"/>
    <w:rPr>
      <w:color w:val="467886" w:themeColor="hyperlink"/>
      <w:u w:val="single"/>
    </w:rPr>
  </w:style>
  <w:style w:type="character" w:styleId="UnresolvedMention">
    <w:name w:val="Unresolved Mention"/>
    <w:basedOn w:val="DefaultParagraphFont"/>
    <w:uiPriority w:val="99"/>
    <w:semiHidden/>
    <w:unhideWhenUsed/>
    <w:rsid w:val="009E0D11"/>
    <w:rPr>
      <w:color w:val="605E5C"/>
      <w:shd w:val="clear" w:color="auto" w:fill="E1DFDD"/>
    </w:rPr>
  </w:style>
  <w:style w:type="paragraph" w:customStyle="1" w:styleId="p1">
    <w:name w:val="p1"/>
    <w:basedOn w:val="Normal"/>
    <w:rsid w:val="00292B2C"/>
    <w:pPr>
      <w:spacing w:after="255" w:line="240" w:lineRule="auto"/>
    </w:pPr>
    <w:rPr>
      <w:rFonts w:ascii=".AppleSystemUIFont" w:hAnsi=".AppleSystemUIFont" w:cs="Times New Roman"/>
      <w:color w:val="000000"/>
      <w:kern w:val="0"/>
      <w:sz w:val="26"/>
      <w:szCs w:val="26"/>
      <w:lang w:eastAsia="en-GB"/>
      <w14:ligatures w14:val="none"/>
    </w:rPr>
  </w:style>
  <w:style w:type="paragraph" w:customStyle="1" w:styleId="p2">
    <w:name w:val="p2"/>
    <w:basedOn w:val="Normal"/>
    <w:rsid w:val="00292B2C"/>
    <w:pPr>
      <w:spacing w:after="255" w:line="240" w:lineRule="auto"/>
    </w:pPr>
    <w:rPr>
      <w:rFonts w:ascii=".AppleSystemUIFont" w:hAnsi=".AppleSystemUIFont" w:cs="Times New Roman"/>
      <w:color w:val="000000"/>
      <w:kern w:val="0"/>
      <w:sz w:val="26"/>
      <w:szCs w:val="26"/>
      <w:lang w:eastAsia="en-GB"/>
      <w14:ligatures w14:val="none"/>
    </w:rPr>
  </w:style>
  <w:style w:type="character" w:customStyle="1" w:styleId="s1">
    <w:name w:val="s1"/>
    <w:basedOn w:val="DefaultParagraphFont"/>
    <w:rsid w:val="00292B2C"/>
    <w:rPr>
      <w:rFonts w:ascii=".SFUI-Regular" w:hAnsi=".SFUI-Regular" w:hint="default"/>
      <w:b w:val="0"/>
      <w:bCs w:val="0"/>
      <w:i w:val="0"/>
      <w:iCs w:val="0"/>
      <w:sz w:val="26"/>
      <w:szCs w:val="26"/>
    </w:rPr>
  </w:style>
  <w:style w:type="character" w:customStyle="1" w:styleId="s2">
    <w:name w:val="s2"/>
    <w:basedOn w:val="DefaultParagraphFont"/>
    <w:rsid w:val="00292B2C"/>
    <w:rPr>
      <w:rFonts w:ascii=".SFUI-Bold" w:hAnsi=".SFUI-Bold" w:hint="default"/>
      <w:b/>
      <w:bCs/>
      <w:i w:val="0"/>
      <w:iCs w:val="0"/>
      <w:sz w:val="26"/>
      <w:szCs w:val="26"/>
    </w:rPr>
  </w:style>
  <w:style w:type="character" w:customStyle="1" w:styleId="s3">
    <w:name w:val="s3"/>
    <w:basedOn w:val="DefaultParagraphFont"/>
    <w:rsid w:val="00292B2C"/>
    <w:rPr>
      <w:rFonts w:ascii=".SFUI-RegularItalic" w:hAnsi=".SFUI-RegularItalic" w:hint="default"/>
      <w:b w:val="0"/>
      <w:bCs w:val="0"/>
      <w:i/>
      <w:iCs/>
      <w:sz w:val="26"/>
      <w:szCs w:val="26"/>
    </w:rPr>
  </w:style>
  <w:style w:type="character" w:customStyle="1" w:styleId="apple-converted-space">
    <w:name w:val="apple-converted-space"/>
    <w:basedOn w:val="DefaultParagraphFont"/>
    <w:rsid w:val="00292B2C"/>
  </w:style>
  <w:style w:type="paragraph" w:styleId="NormalWeb">
    <w:name w:val="Normal (Web)"/>
    <w:basedOn w:val="Normal"/>
    <w:uiPriority w:val="99"/>
    <w:semiHidden/>
    <w:unhideWhenUsed/>
    <w:rsid w:val="001479F4"/>
    <w:pPr>
      <w:spacing w:before="100" w:beforeAutospacing="1" w:after="100" w:afterAutospacing="1" w:line="240" w:lineRule="auto"/>
    </w:pPr>
    <w:rPr>
      <w:rFonts w:ascii="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650321">
      <w:bodyDiv w:val="1"/>
      <w:marLeft w:val="0"/>
      <w:marRight w:val="0"/>
      <w:marTop w:val="0"/>
      <w:marBottom w:val="0"/>
      <w:divBdr>
        <w:top w:val="none" w:sz="0" w:space="0" w:color="auto"/>
        <w:left w:val="none" w:sz="0" w:space="0" w:color="auto"/>
        <w:bottom w:val="none" w:sz="0" w:space="0" w:color="auto"/>
        <w:right w:val="none" w:sz="0" w:space="0" w:color="auto"/>
      </w:divBdr>
      <w:divsChild>
        <w:div w:id="733159273">
          <w:marLeft w:val="0"/>
          <w:marRight w:val="0"/>
          <w:marTop w:val="0"/>
          <w:marBottom w:val="0"/>
          <w:divBdr>
            <w:top w:val="none" w:sz="0" w:space="0" w:color="auto"/>
            <w:left w:val="none" w:sz="0" w:space="0" w:color="auto"/>
            <w:bottom w:val="none" w:sz="0" w:space="0" w:color="auto"/>
            <w:right w:val="none" w:sz="0" w:space="0" w:color="auto"/>
          </w:divBdr>
          <w:divsChild>
            <w:div w:id="813060169">
              <w:marLeft w:val="0"/>
              <w:marRight w:val="0"/>
              <w:marTop w:val="0"/>
              <w:marBottom w:val="0"/>
              <w:divBdr>
                <w:top w:val="none" w:sz="0" w:space="0" w:color="auto"/>
                <w:left w:val="none" w:sz="0" w:space="0" w:color="auto"/>
                <w:bottom w:val="none" w:sz="0" w:space="0" w:color="auto"/>
                <w:right w:val="none" w:sz="0" w:space="0" w:color="auto"/>
              </w:divBdr>
              <w:divsChild>
                <w:div w:id="125012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mybib.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rammarly.com/" TargetMode="External"/><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13</Pages>
  <Words>4402</Words>
  <Characters>25097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Charlotte Howell (2308966)</cp:lastModifiedBy>
  <cp:revision>77</cp:revision>
  <dcterms:created xsi:type="dcterms:W3CDTF">2025-03-14T18:29:00Z</dcterms:created>
  <dcterms:modified xsi:type="dcterms:W3CDTF">2025-03-14T20:29:00Z</dcterms:modified>
</cp:coreProperties>
</file>