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lang w:eastAsia="en-GB"/>
        </w:rPr>
      </w:pPr>
      <w:r>
        <w:rPr>
          <w:lang w:eastAsia="en-GB"/>
        </w:rPr>
      </w:r>
    </w:p>
    <w:p>
      <w:pPr>
        <w:pStyle w:val="Normal"/>
        <w:jc w:val="center"/>
        <w:rPr>
          <w:b/>
          <w:b/>
          <w:sz w:val="28"/>
        </w:rPr>
      </w:pPr>
      <w:r>
        <w:rPr>
          <w:b/>
          <w:sz w:val="28"/>
        </w:rPr>
      </w:r>
    </w:p>
    <w:p>
      <w:pPr>
        <w:pStyle w:val="Normal"/>
        <w:jc w:val="center"/>
        <w:rPr>
          <w:b/>
          <w:b/>
          <w:sz w:val="28"/>
        </w:rPr>
      </w:pPr>
      <w:r>
        <w:rPr>
          <w:b/>
          <w:sz w:val="28"/>
        </w:rPr>
      </w:r>
    </w:p>
    <w:p>
      <w:pPr>
        <w:pStyle w:val="Normal"/>
        <w:jc w:val="center"/>
        <w:rPr>
          <w:b/>
          <w:b/>
          <w:sz w:val="28"/>
        </w:rPr>
      </w:pPr>
      <w:r>
        <w:rPr>
          <w:b/>
          <w:sz w:val="28"/>
        </w:rPr>
      </w:r>
    </w:p>
    <w:p>
      <w:pPr>
        <w:pStyle w:val="Normal"/>
        <w:jc w:val="center"/>
        <w:rPr>
          <w:b/>
          <w:b/>
          <w:sz w:val="28"/>
        </w:rPr>
      </w:pPr>
      <w:r>
        <w:rPr>
          <w:b/>
          <w:sz w:val="28"/>
        </w:rPr>
      </w:r>
    </w:p>
    <w:p>
      <w:pPr>
        <w:pStyle w:val="Normal"/>
        <w:jc w:val="center"/>
        <w:rPr>
          <w:b/>
          <w:b/>
          <w:sz w:val="28"/>
        </w:rPr>
      </w:pPr>
      <w:r>
        <w:rPr>
          <w:b/>
          <w:sz w:val="28"/>
        </w:rPr>
      </w:r>
    </w:p>
    <w:p>
      <w:pPr>
        <w:pStyle w:val="Normal"/>
        <w:jc w:val="center"/>
        <w:rPr>
          <w:b/>
          <w:b/>
          <w:sz w:val="28"/>
        </w:rPr>
      </w:pPr>
      <w:r>
        <w:rPr>
          <w:b/>
          <w:sz w:val="28"/>
        </w:rPr>
        <w:t>Programme: BA International Hotel Management</w:t>
      </w:r>
    </w:p>
    <w:p>
      <w:pPr>
        <w:pStyle w:val="Normal"/>
        <w:rPr/>
      </w:pPr>
      <w:r>
        <w:rPr/>
        <w:t>Module: Contemporary Themes in the Hotel and Hospitality Sector.</w:t>
      </w:r>
    </w:p>
    <w:p>
      <w:pPr>
        <w:pStyle w:val="Normal"/>
        <w:rPr/>
      </w:pPr>
      <w:r>
        <w:rPr/>
        <w:t>Module code: BMIH6001</w:t>
      </w:r>
    </w:p>
    <w:p>
      <w:pPr>
        <w:pStyle w:val="Normal"/>
        <w:rPr/>
      </w:pPr>
      <w:r>
        <w:rPr/>
        <w:t>Title - Staff Shortages and Employee Mental Health in the UK Hotel and Hospitality Industry A Job Demands-Resources Perspective on Workforce Sustainability</w:t>
      </w:r>
    </w:p>
    <w:p>
      <w:pPr>
        <w:pStyle w:val="Normal"/>
        <w:rPr/>
      </w:pPr>
      <w:r>
        <w:rPr/>
        <w:t xml:space="preserve">Student Name: </w:t>
      </w:r>
      <w:r>
        <w:rPr/>
        <w:t>Teohar Nicoleta Valentina</w:t>
      </w:r>
      <w:r>
        <w:rPr/>
        <w:t xml:space="preserve"> </w:t>
      </w:r>
    </w:p>
    <w:p>
      <w:pPr>
        <w:pStyle w:val="Normal"/>
        <w:rPr/>
      </w:pPr>
      <w:r>
        <w:rPr/>
        <w:t>Student ID Number:</w:t>
      </w:r>
      <w:r>
        <w:rPr/>
        <w:t>1918827</w:t>
      </w:r>
    </w:p>
    <w:p>
      <w:pPr>
        <w:pStyle w:val="Normal"/>
        <w:rPr/>
      </w:pPr>
      <w:r>
        <w:rPr/>
      </w:r>
    </w:p>
    <w:p>
      <w:pPr>
        <w:pStyle w:val="Normal"/>
        <w:spacing w:lineRule="auto" w:line="276"/>
        <w:jc w:val="left"/>
        <w:rPr/>
      </w:pPr>
      <w:r>
        <w:rPr/>
      </w:r>
    </w:p>
    <w:sdt>
      <w:sdtPr>
        <w:docPartObj>
          <w:docPartGallery w:val="Table of Contents"/>
          <w:docPartUnique w:val="true"/>
        </w:docPartObj>
      </w:sdtPr>
      <w:sdtContent>
        <w:p>
          <w:pPr>
            <w:pStyle w:val="TOCHeading"/>
            <w:rPr/>
          </w:pPr>
          <w:r>
            <w:rPr/>
            <w:t>Table of Contents</w:t>
          </w:r>
        </w:p>
        <w:p>
          <w:pPr>
            <w:pStyle w:val="Contents1"/>
            <w:rPr>
              <w:rFonts w:ascii="Calibri" w:hAnsi="Calibri" w:eastAsia="" w:asciiTheme="minorHAnsi" w:eastAsiaTheme="minorEastAsia" w:hAnsiTheme="minorHAnsi"/>
              <w:sz w:val="22"/>
              <w:lang w:eastAsia="en-GB"/>
            </w:rPr>
          </w:pPr>
          <w:r>
            <w:fldChar w:fldCharType="begin"/>
          </w:r>
          <w:r>
            <w:rPr>
              <w:webHidden/>
              <w:rStyle w:val="IndexLink"/>
            </w:rPr>
            <w:instrText> TOC \z \o "1-3" \u \h</w:instrText>
          </w:r>
          <w:r>
            <w:rPr>
              <w:webHidden/>
              <w:rStyle w:val="IndexLink"/>
            </w:rPr>
            <w:fldChar w:fldCharType="separate"/>
          </w:r>
          <w:hyperlink w:anchor="_Toc219897837">
            <w:r>
              <w:rPr>
                <w:webHidden/>
                <w:rStyle w:val="IndexLink"/>
              </w:rPr>
              <w:t>1.</w:t>
            </w:r>
            <w:r>
              <w:rPr>
                <w:rStyle w:val="IndexLink"/>
                <w:rFonts w:eastAsia="" w:ascii="Calibri" w:hAnsi="Calibri" w:asciiTheme="minorHAnsi" w:eastAsiaTheme="minorEastAsia" w:hAnsiTheme="minorHAnsi"/>
                <w:sz w:val="22"/>
                <w:lang w:eastAsia="en-GB"/>
              </w:rPr>
              <w:tab/>
            </w:r>
            <w:r>
              <w:rPr>
                <w:rStyle w:val="IndexLink"/>
              </w:rPr>
              <w:t>Introduction</w:t>
            </w:r>
            <w:r>
              <w:rPr>
                <w:webHidden/>
              </w:rPr>
              <w:fldChar w:fldCharType="begin"/>
            </w:r>
            <w:r>
              <w:rPr>
                <w:webHidden/>
              </w:rPr>
              <w:instrText>PAGEREF _Toc219897837 \h</w:instrText>
            </w:r>
            <w:r>
              <w:rPr>
                <w:webHidden/>
              </w:rPr>
              <w:fldChar w:fldCharType="separate"/>
            </w:r>
            <w:r>
              <w:rPr>
                <w:rStyle w:val="IndexLink"/>
                <w:vanish w:val="false"/>
              </w:rPr>
              <w:tab/>
              <w:t>1</w:t>
            </w:r>
            <w:r>
              <w:rPr>
                <w:webHidden/>
              </w:rPr>
              <w:fldChar w:fldCharType="end"/>
            </w:r>
          </w:hyperlink>
          <w:bookmarkStart w:id="0" w:name="_GoBack"/>
          <w:bookmarkEnd w:id="0"/>
        </w:p>
        <w:p>
          <w:pPr>
            <w:pStyle w:val="Contents1"/>
            <w:rPr>
              <w:rFonts w:ascii="Calibri" w:hAnsi="Calibri" w:eastAsia="" w:asciiTheme="minorHAnsi" w:eastAsiaTheme="minorEastAsia" w:hAnsiTheme="minorHAnsi"/>
              <w:sz w:val="22"/>
              <w:lang w:eastAsia="en-GB"/>
            </w:rPr>
          </w:pPr>
          <w:hyperlink w:anchor="_Toc219897838">
            <w:r>
              <w:rPr>
                <w:webHidden/>
                <w:rStyle w:val="IndexLink"/>
              </w:rPr>
              <w:t>2.</w:t>
            </w:r>
            <w:r>
              <w:rPr>
                <w:rStyle w:val="IndexLink"/>
                <w:rFonts w:eastAsia="" w:ascii="Calibri" w:hAnsi="Calibri" w:asciiTheme="minorHAnsi" w:eastAsiaTheme="minorEastAsia" w:hAnsiTheme="minorHAnsi"/>
                <w:sz w:val="22"/>
                <w:lang w:eastAsia="en-GB"/>
              </w:rPr>
              <w:tab/>
            </w:r>
            <w:r>
              <w:rPr>
                <w:rStyle w:val="IndexLink"/>
              </w:rPr>
              <w:t>Literature Review</w:t>
            </w:r>
            <w:r>
              <w:rPr>
                <w:webHidden/>
              </w:rPr>
              <w:fldChar w:fldCharType="begin"/>
            </w:r>
            <w:r>
              <w:rPr>
                <w:webHidden/>
              </w:rPr>
              <w:instrText>PAGEREF _Toc219897838 \h</w:instrText>
            </w:r>
            <w:r>
              <w:rPr>
                <w:webHidden/>
              </w:rPr>
              <w:fldChar w:fldCharType="separate"/>
            </w:r>
            <w:r>
              <w:rPr>
                <w:rStyle w:val="IndexLink"/>
                <w:vanish w:val="false"/>
              </w:rPr>
              <w:tab/>
              <w:t>2</w:t>
            </w:r>
            <w:r>
              <w:rPr>
                <w:webHidden/>
              </w:rPr>
              <w:fldChar w:fldCharType="end"/>
            </w:r>
          </w:hyperlink>
        </w:p>
        <w:p>
          <w:pPr>
            <w:pStyle w:val="Contents2"/>
            <w:tabs>
              <w:tab w:val="clear" w:pos="720"/>
              <w:tab w:val="right" w:pos="9016" w:leader="dot"/>
            </w:tabs>
            <w:rPr/>
          </w:pPr>
          <w:hyperlink w:anchor="_Toc219897839">
            <w:r>
              <w:rPr>
                <w:webHidden/>
                <w:rStyle w:val="IndexLink"/>
              </w:rPr>
              <w:t>2.1 Introduction</w:t>
            </w:r>
            <w:r>
              <w:rPr>
                <w:webHidden/>
              </w:rPr>
              <w:fldChar w:fldCharType="begin"/>
            </w:r>
            <w:r>
              <w:rPr>
                <w:webHidden/>
              </w:rPr>
              <w:instrText>PAGEREF _Toc219897839 \h</w:instrText>
            </w:r>
            <w:r>
              <w:rPr>
                <w:webHidden/>
              </w:rPr>
              <w:fldChar w:fldCharType="separate"/>
            </w:r>
            <w:r>
              <w:rPr>
                <w:rStyle w:val="IndexLink"/>
                <w:vanish w:val="false"/>
              </w:rPr>
              <w:tab/>
              <w:t>2</w:t>
            </w:r>
            <w:r>
              <w:rPr>
                <w:webHidden/>
              </w:rPr>
              <w:fldChar w:fldCharType="end"/>
            </w:r>
          </w:hyperlink>
        </w:p>
        <w:p>
          <w:pPr>
            <w:pStyle w:val="Contents2"/>
            <w:tabs>
              <w:tab w:val="clear" w:pos="720"/>
              <w:tab w:val="right" w:pos="9016" w:leader="dot"/>
            </w:tabs>
            <w:rPr/>
          </w:pPr>
          <w:hyperlink w:anchor="_Toc219897840">
            <w:r>
              <w:rPr>
                <w:webHidden/>
                <w:rStyle w:val="IndexLink"/>
              </w:rPr>
              <w:t>2.2 Structural Causes of Staff Shortages in the Hospitality Sector in the UK</w:t>
            </w:r>
            <w:r>
              <w:rPr>
                <w:webHidden/>
              </w:rPr>
              <w:fldChar w:fldCharType="begin"/>
            </w:r>
            <w:r>
              <w:rPr>
                <w:webHidden/>
              </w:rPr>
              <w:instrText>PAGEREF _Toc219897840 \h</w:instrText>
            </w:r>
            <w:r>
              <w:rPr>
                <w:webHidden/>
              </w:rPr>
              <w:fldChar w:fldCharType="separate"/>
            </w:r>
            <w:r>
              <w:rPr>
                <w:rStyle w:val="IndexLink"/>
                <w:vanish w:val="false"/>
              </w:rPr>
              <w:tab/>
              <w:t>2</w:t>
            </w:r>
            <w:r>
              <w:rPr>
                <w:webHidden/>
              </w:rPr>
              <w:fldChar w:fldCharType="end"/>
            </w:r>
          </w:hyperlink>
        </w:p>
        <w:p>
          <w:pPr>
            <w:pStyle w:val="Contents2"/>
            <w:tabs>
              <w:tab w:val="clear" w:pos="720"/>
              <w:tab w:val="right" w:pos="9016" w:leader="dot"/>
            </w:tabs>
            <w:rPr/>
          </w:pPr>
          <w:hyperlink w:anchor="_Toc219897841">
            <w:r>
              <w:rPr>
                <w:webHidden/>
                <w:rStyle w:val="IndexLink"/>
              </w:rPr>
              <w:t>2.3 Work Intensification and Mental Health Outcomes of Hotel Workers</w:t>
            </w:r>
            <w:r>
              <w:rPr>
                <w:webHidden/>
              </w:rPr>
              <w:fldChar w:fldCharType="begin"/>
            </w:r>
            <w:r>
              <w:rPr>
                <w:webHidden/>
              </w:rPr>
              <w:instrText>PAGEREF _Toc219897841 \h</w:instrText>
            </w:r>
            <w:r>
              <w:rPr>
                <w:webHidden/>
              </w:rPr>
              <w:fldChar w:fldCharType="separate"/>
            </w:r>
            <w:r>
              <w:rPr>
                <w:rStyle w:val="IndexLink"/>
                <w:vanish w:val="false"/>
              </w:rPr>
              <w:tab/>
              <w:t>2</w:t>
            </w:r>
            <w:r>
              <w:rPr>
                <w:webHidden/>
              </w:rPr>
              <w:fldChar w:fldCharType="end"/>
            </w:r>
          </w:hyperlink>
        </w:p>
        <w:p>
          <w:pPr>
            <w:pStyle w:val="Contents2"/>
            <w:tabs>
              <w:tab w:val="clear" w:pos="720"/>
              <w:tab w:val="right" w:pos="9016" w:leader="dot"/>
            </w:tabs>
            <w:rPr/>
          </w:pPr>
          <w:hyperlink w:anchor="_Toc219897842">
            <w:r>
              <w:rPr>
                <w:webHidden/>
                <w:rStyle w:val="IndexLink"/>
              </w:rPr>
              <w:t>2.4 Critical Evaluation of Organisational Wellbeing Interventions</w:t>
            </w:r>
            <w:r>
              <w:rPr>
                <w:webHidden/>
              </w:rPr>
              <w:fldChar w:fldCharType="begin"/>
            </w:r>
            <w:r>
              <w:rPr>
                <w:webHidden/>
              </w:rPr>
              <w:instrText>PAGEREF _Toc219897842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9016" w:leader="dot"/>
            </w:tabs>
            <w:rPr/>
          </w:pPr>
          <w:hyperlink w:anchor="_Toc219897843">
            <w:r>
              <w:rPr>
                <w:webHidden/>
                <w:rStyle w:val="IndexLink"/>
              </w:rPr>
              <w:t>2.5 Mental Health, Turnover Intentions and Workforce Sustainability</w:t>
            </w:r>
            <w:r>
              <w:rPr>
                <w:webHidden/>
              </w:rPr>
              <w:fldChar w:fldCharType="begin"/>
            </w:r>
            <w:r>
              <w:rPr>
                <w:webHidden/>
              </w:rPr>
              <w:instrText>PAGEREF _Toc219897843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9016" w:leader="dot"/>
            </w:tabs>
            <w:rPr/>
          </w:pPr>
          <w:hyperlink w:anchor="_Toc219897844">
            <w:r>
              <w:rPr>
                <w:webHidden/>
                <w:rStyle w:val="IndexLink"/>
              </w:rPr>
              <w:t>2.6 Literature Summary</w:t>
            </w:r>
            <w:r>
              <w:rPr>
                <w:webHidden/>
              </w:rPr>
              <w:fldChar w:fldCharType="begin"/>
            </w:r>
            <w:r>
              <w:rPr>
                <w:webHidden/>
              </w:rPr>
              <w:instrText>PAGEREF _Toc219897844 \h</w:instrText>
            </w:r>
            <w:r>
              <w:rPr>
                <w:webHidden/>
              </w:rPr>
              <w:fldChar w:fldCharType="separate"/>
            </w:r>
            <w:r>
              <w:rPr>
                <w:rStyle w:val="IndexLink"/>
                <w:vanish w:val="false"/>
              </w:rPr>
              <w:tab/>
              <w:t>4</w:t>
            </w:r>
            <w:r>
              <w:rPr>
                <w:webHidden/>
              </w:rPr>
              <w:fldChar w:fldCharType="end"/>
            </w:r>
          </w:hyperlink>
        </w:p>
        <w:p>
          <w:pPr>
            <w:pStyle w:val="Contents1"/>
            <w:rPr>
              <w:rFonts w:ascii="Calibri" w:hAnsi="Calibri" w:eastAsia="" w:asciiTheme="minorHAnsi" w:eastAsiaTheme="minorEastAsia" w:hAnsiTheme="minorHAnsi"/>
              <w:sz w:val="22"/>
              <w:lang w:eastAsia="en-GB"/>
            </w:rPr>
          </w:pPr>
          <w:hyperlink w:anchor="_Toc219897845">
            <w:r>
              <w:rPr>
                <w:webHidden/>
                <w:rStyle w:val="IndexLink"/>
              </w:rPr>
              <w:t>3.</w:t>
            </w:r>
            <w:r>
              <w:rPr>
                <w:rStyle w:val="IndexLink"/>
                <w:rFonts w:eastAsia="" w:ascii="Calibri" w:hAnsi="Calibri" w:asciiTheme="minorHAnsi" w:eastAsiaTheme="minorEastAsia" w:hAnsiTheme="minorHAnsi"/>
                <w:sz w:val="22"/>
                <w:lang w:eastAsia="en-GB"/>
              </w:rPr>
              <w:tab/>
            </w:r>
            <w:r>
              <w:rPr>
                <w:rStyle w:val="IndexLink"/>
              </w:rPr>
              <w:t>Methodology</w:t>
            </w:r>
            <w:r>
              <w:rPr>
                <w:webHidden/>
              </w:rPr>
              <w:fldChar w:fldCharType="begin"/>
            </w:r>
            <w:r>
              <w:rPr>
                <w:webHidden/>
              </w:rPr>
              <w:instrText>PAGEREF _Toc219897845 \h</w:instrText>
            </w:r>
            <w:r>
              <w:rPr>
                <w:webHidden/>
              </w:rPr>
              <w:fldChar w:fldCharType="separate"/>
            </w:r>
            <w:r>
              <w:rPr>
                <w:rStyle w:val="IndexLink"/>
                <w:vanish w:val="false"/>
              </w:rPr>
              <w:tab/>
              <w:t>5</w:t>
            </w:r>
            <w:r>
              <w:rPr>
                <w:webHidden/>
              </w:rPr>
              <w:fldChar w:fldCharType="end"/>
            </w:r>
          </w:hyperlink>
        </w:p>
        <w:p>
          <w:pPr>
            <w:pStyle w:val="Contents1"/>
            <w:rPr>
              <w:rFonts w:ascii="Calibri" w:hAnsi="Calibri" w:eastAsia="" w:asciiTheme="minorHAnsi" w:eastAsiaTheme="minorEastAsia" w:hAnsiTheme="minorHAnsi"/>
              <w:sz w:val="22"/>
              <w:lang w:eastAsia="en-GB"/>
            </w:rPr>
          </w:pPr>
          <w:hyperlink w:anchor="_Toc219897846">
            <w:r>
              <w:rPr>
                <w:webHidden/>
                <w:rStyle w:val="IndexLink"/>
              </w:rPr>
              <w:t>4.</w:t>
            </w:r>
            <w:r>
              <w:rPr>
                <w:rStyle w:val="IndexLink"/>
                <w:rFonts w:eastAsia="" w:ascii="Calibri" w:hAnsi="Calibri" w:asciiTheme="minorHAnsi" w:eastAsiaTheme="minorEastAsia" w:hAnsiTheme="minorHAnsi"/>
                <w:sz w:val="22"/>
                <w:lang w:eastAsia="en-GB"/>
              </w:rPr>
              <w:tab/>
            </w:r>
            <w:r>
              <w:rPr>
                <w:rStyle w:val="IndexLink"/>
              </w:rPr>
              <w:t>Theme Impact Analysis: Staff Shortages and Mental Health of Employees in UK Hospitality</w:t>
            </w:r>
            <w:r>
              <w:rPr>
                <w:webHidden/>
              </w:rPr>
              <w:fldChar w:fldCharType="begin"/>
            </w:r>
            <w:r>
              <w:rPr>
                <w:webHidden/>
              </w:rPr>
              <w:instrText>PAGEREF _Toc219897846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016" w:leader="dot"/>
            </w:tabs>
            <w:rPr/>
          </w:pPr>
          <w:hyperlink w:anchor="_Toc219897847">
            <w:r>
              <w:rPr>
                <w:webHidden/>
                <w:rStyle w:val="IndexLink"/>
              </w:rPr>
              <w:t>4.1 Theme 1: Intensification of Work and Psychological Strain: Normalisation</w:t>
            </w:r>
            <w:r>
              <w:rPr>
                <w:webHidden/>
              </w:rPr>
              <w:fldChar w:fldCharType="begin"/>
            </w:r>
            <w:r>
              <w:rPr>
                <w:webHidden/>
              </w:rPr>
              <w:instrText>PAGEREF _Toc219897847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016" w:leader="dot"/>
            </w:tabs>
            <w:rPr/>
          </w:pPr>
          <w:hyperlink w:anchor="_Toc219897848">
            <w:r>
              <w:rPr>
                <w:webHidden/>
                <w:rStyle w:val="IndexLink"/>
              </w:rPr>
              <w:t>4.2 Theme 2: Emotional Labour, Service Expectations and Mental Exhaustion</w:t>
            </w:r>
            <w:r>
              <w:rPr>
                <w:webHidden/>
              </w:rPr>
              <w:fldChar w:fldCharType="begin"/>
            </w:r>
            <w:r>
              <w:rPr>
                <w:webHidden/>
              </w:rPr>
              <w:instrText>PAGEREF _Toc219897848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016" w:leader="dot"/>
            </w:tabs>
            <w:rPr/>
          </w:pPr>
          <w:hyperlink w:anchor="_Toc219897849">
            <w:r>
              <w:rPr>
                <w:webHidden/>
                <w:rStyle w:val="IndexLink"/>
              </w:rPr>
              <w:t>4.3 Theme 3: Decreased Job Resources and the Loss of Recovery Opportunities</w:t>
            </w:r>
            <w:r>
              <w:rPr>
                <w:webHidden/>
              </w:rPr>
              <w:fldChar w:fldCharType="begin"/>
            </w:r>
            <w:r>
              <w:rPr>
                <w:webHidden/>
              </w:rPr>
              <w:instrText>PAGEREF _Toc219897849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016" w:leader="dot"/>
            </w:tabs>
            <w:rPr/>
          </w:pPr>
          <w:hyperlink w:anchor="_Toc219897850">
            <w:r>
              <w:rPr>
                <w:webHidden/>
                <w:rStyle w:val="IndexLink"/>
              </w:rPr>
              <w:t>4.4 Theme 4: Organisational Wellbeing Responses and Support Illusion</w:t>
            </w:r>
            <w:r>
              <w:rPr>
                <w:webHidden/>
              </w:rPr>
              <w:fldChar w:fldCharType="begin"/>
            </w:r>
            <w:r>
              <w:rPr>
                <w:webHidden/>
              </w:rPr>
              <w:instrText>PAGEREF _Toc219897850 \h</w:instrText>
            </w:r>
            <w:r>
              <w:rPr>
                <w:webHidden/>
              </w:rPr>
              <w:fldChar w:fldCharType="separate"/>
            </w:r>
            <w:r>
              <w:rPr>
                <w:rStyle w:val="IndexLink"/>
                <w:vanish w:val="false"/>
              </w:rPr>
              <w:tab/>
              <w:t>7</w:t>
            </w:r>
            <w:r>
              <w:rPr>
                <w:webHidden/>
              </w:rPr>
              <w:fldChar w:fldCharType="end"/>
            </w:r>
          </w:hyperlink>
        </w:p>
        <w:p>
          <w:pPr>
            <w:pStyle w:val="Contents2"/>
            <w:tabs>
              <w:tab w:val="clear" w:pos="720"/>
              <w:tab w:val="right" w:pos="9016" w:leader="dot"/>
            </w:tabs>
            <w:rPr/>
          </w:pPr>
          <w:hyperlink w:anchor="_Toc219897851">
            <w:r>
              <w:rPr>
                <w:webHidden/>
                <w:rStyle w:val="IndexLink"/>
              </w:rPr>
              <w:t>4.5 Theme 5: Burnout, Turnover and the Self-Reinforcing Workforce Cycle</w:t>
            </w:r>
            <w:r>
              <w:rPr>
                <w:webHidden/>
              </w:rPr>
              <w:fldChar w:fldCharType="begin"/>
            </w:r>
            <w:r>
              <w:rPr>
                <w:webHidden/>
              </w:rPr>
              <w:instrText>PAGEREF _Toc219897851 \h</w:instrText>
            </w:r>
            <w:r>
              <w:rPr>
                <w:webHidden/>
              </w:rPr>
              <w:fldChar w:fldCharType="separate"/>
            </w:r>
            <w:r>
              <w:rPr>
                <w:rStyle w:val="IndexLink"/>
                <w:vanish w:val="false"/>
              </w:rPr>
              <w:tab/>
              <w:t>7</w:t>
            </w:r>
            <w:r>
              <w:rPr>
                <w:webHidden/>
              </w:rPr>
              <w:fldChar w:fldCharType="end"/>
            </w:r>
          </w:hyperlink>
        </w:p>
        <w:p>
          <w:pPr>
            <w:pStyle w:val="Contents2"/>
            <w:tabs>
              <w:tab w:val="clear" w:pos="720"/>
              <w:tab w:val="right" w:pos="9016" w:leader="dot"/>
            </w:tabs>
            <w:rPr/>
          </w:pPr>
          <w:hyperlink w:anchor="_Toc219897852">
            <w:r>
              <w:rPr>
                <w:webHidden/>
                <w:rStyle w:val="IndexLink"/>
              </w:rPr>
              <w:t>4.6 Theme 6: Unequal Burden of Mental Health Impacts and Ethical Issues</w:t>
            </w:r>
            <w:r>
              <w:rPr>
                <w:webHidden/>
              </w:rPr>
              <w:fldChar w:fldCharType="begin"/>
            </w:r>
            <w:r>
              <w:rPr>
                <w:webHidden/>
              </w:rPr>
              <w:instrText>PAGEREF _Toc219897852 \h</w:instrText>
            </w:r>
            <w:r>
              <w:rPr>
                <w:webHidden/>
              </w:rPr>
              <w:fldChar w:fldCharType="separate"/>
            </w:r>
            <w:r>
              <w:rPr>
                <w:rStyle w:val="IndexLink"/>
                <w:vanish w:val="false"/>
              </w:rPr>
              <w:tab/>
              <w:t>7</w:t>
            </w:r>
            <w:r>
              <w:rPr>
                <w:webHidden/>
              </w:rPr>
              <w:fldChar w:fldCharType="end"/>
            </w:r>
          </w:hyperlink>
        </w:p>
        <w:p>
          <w:pPr>
            <w:pStyle w:val="Contents2"/>
            <w:tabs>
              <w:tab w:val="clear" w:pos="720"/>
              <w:tab w:val="right" w:pos="9016" w:leader="dot"/>
            </w:tabs>
            <w:rPr/>
          </w:pPr>
          <w:hyperlink w:anchor="_Toc219897853">
            <w:r>
              <w:rPr>
                <w:webHidden/>
                <w:rStyle w:val="IndexLink"/>
              </w:rPr>
              <w:t>4.7 Analytical Synthesis</w:t>
            </w:r>
            <w:r>
              <w:rPr>
                <w:webHidden/>
              </w:rPr>
              <w:fldChar w:fldCharType="begin"/>
            </w:r>
            <w:r>
              <w:rPr>
                <w:webHidden/>
              </w:rPr>
              <w:instrText>PAGEREF _Toc219897853 \h</w:instrText>
            </w:r>
            <w:r>
              <w:rPr>
                <w:webHidden/>
              </w:rPr>
              <w:fldChar w:fldCharType="separate"/>
            </w:r>
            <w:r>
              <w:rPr>
                <w:rStyle w:val="IndexLink"/>
                <w:vanish w:val="false"/>
              </w:rPr>
              <w:tab/>
              <w:t>8</w:t>
            </w:r>
            <w:r>
              <w:rPr>
                <w:webHidden/>
              </w:rPr>
              <w:fldChar w:fldCharType="end"/>
            </w:r>
          </w:hyperlink>
        </w:p>
        <w:p>
          <w:pPr>
            <w:pStyle w:val="Contents1"/>
            <w:rPr>
              <w:rFonts w:ascii="Calibri" w:hAnsi="Calibri" w:eastAsia="" w:asciiTheme="minorHAnsi" w:eastAsiaTheme="minorEastAsia" w:hAnsiTheme="minorHAnsi"/>
              <w:sz w:val="22"/>
              <w:lang w:eastAsia="en-GB"/>
            </w:rPr>
          </w:pPr>
          <w:hyperlink w:anchor="_Toc219897854">
            <w:r>
              <w:rPr>
                <w:webHidden/>
                <w:rStyle w:val="IndexLink"/>
              </w:rPr>
              <w:t>5.</w:t>
            </w:r>
            <w:r>
              <w:rPr>
                <w:rStyle w:val="IndexLink"/>
                <w:rFonts w:eastAsia="" w:ascii="Calibri" w:hAnsi="Calibri" w:asciiTheme="minorHAnsi" w:eastAsiaTheme="minorEastAsia" w:hAnsiTheme="minorHAnsi"/>
                <w:sz w:val="22"/>
                <w:lang w:eastAsia="en-GB"/>
              </w:rPr>
              <w:tab/>
            </w:r>
            <w:r>
              <w:rPr>
                <w:rStyle w:val="IndexLink"/>
              </w:rPr>
              <w:t>Conclusion</w:t>
            </w:r>
            <w:r>
              <w:rPr>
                <w:webHidden/>
              </w:rPr>
              <w:fldChar w:fldCharType="begin"/>
            </w:r>
            <w:r>
              <w:rPr>
                <w:webHidden/>
              </w:rPr>
              <w:instrText>PAGEREF _Toc219897854 \h</w:instrText>
            </w:r>
            <w:r>
              <w:rPr>
                <w:webHidden/>
              </w:rPr>
              <w:fldChar w:fldCharType="separate"/>
            </w:r>
            <w:r>
              <w:rPr>
                <w:rStyle w:val="IndexLink"/>
                <w:vanish w:val="false"/>
              </w:rPr>
              <w:tab/>
              <w:t>9</w:t>
            </w:r>
            <w:r>
              <w:rPr>
                <w:webHidden/>
              </w:rPr>
              <w:fldChar w:fldCharType="end"/>
            </w:r>
          </w:hyperlink>
        </w:p>
        <w:p>
          <w:pPr>
            <w:pStyle w:val="Contents1"/>
            <w:rPr>
              <w:rFonts w:ascii="Calibri" w:hAnsi="Calibri" w:eastAsia="" w:asciiTheme="minorHAnsi" w:eastAsiaTheme="minorEastAsia" w:hAnsiTheme="minorHAnsi"/>
              <w:sz w:val="22"/>
              <w:lang w:eastAsia="en-GB"/>
            </w:rPr>
          </w:pPr>
          <w:hyperlink w:anchor="_Toc219897855">
            <w:r>
              <w:rPr>
                <w:webHidden/>
                <w:rStyle w:val="IndexLink"/>
              </w:rPr>
              <w:t>6.</w:t>
            </w:r>
            <w:r>
              <w:rPr>
                <w:rStyle w:val="IndexLink"/>
                <w:rFonts w:eastAsia="" w:ascii="Calibri" w:hAnsi="Calibri" w:asciiTheme="minorHAnsi" w:eastAsiaTheme="minorEastAsia" w:hAnsiTheme="minorHAnsi"/>
                <w:sz w:val="22"/>
                <w:lang w:eastAsia="en-GB"/>
              </w:rPr>
              <w:tab/>
            </w:r>
            <w:r>
              <w:rPr>
                <w:rStyle w:val="IndexLink"/>
              </w:rPr>
              <w:t>Recommendations</w:t>
            </w:r>
            <w:r>
              <w:rPr>
                <w:webHidden/>
              </w:rPr>
              <w:fldChar w:fldCharType="begin"/>
            </w:r>
            <w:r>
              <w:rPr>
                <w:webHidden/>
              </w:rPr>
              <w:instrText>PAGEREF _Toc219897855 \h</w:instrText>
            </w:r>
            <w:r>
              <w:rPr>
                <w:webHidden/>
              </w:rPr>
              <w:fldChar w:fldCharType="separate"/>
            </w:r>
            <w:r>
              <w:rPr>
                <w:rStyle w:val="IndexLink"/>
                <w:vanish w:val="false"/>
              </w:rPr>
              <w:tab/>
              <w:t>10</w:t>
            </w:r>
            <w:r>
              <w:rPr>
                <w:webHidden/>
              </w:rPr>
              <w:fldChar w:fldCharType="end"/>
            </w:r>
          </w:hyperlink>
        </w:p>
        <w:p>
          <w:pPr>
            <w:pStyle w:val="Contents1"/>
            <w:rPr>
              <w:rFonts w:ascii="Calibri" w:hAnsi="Calibri" w:eastAsia="" w:asciiTheme="minorHAnsi" w:eastAsiaTheme="minorEastAsia" w:hAnsiTheme="minorHAnsi"/>
              <w:sz w:val="22"/>
              <w:lang w:eastAsia="en-GB"/>
            </w:rPr>
          </w:pPr>
          <w:hyperlink w:anchor="_Toc219897856">
            <w:r>
              <w:rPr>
                <w:webHidden/>
                <w:rStyle w:val="IndexLink"/>
              </w:rPr>
              <w:t>7.</w:t>
            </w:r>
            <w:r>
              <w:rPr>
                <w:rStyle w:val="IndexLink"/>
                <w:rFonts w:eastAsia="" w:ascii="Calibri" w:hAnsi="Calibri" w:asciiTheme="minorHAnsi" w:eastAsiaTheme="minorEastAsia" w:hAnsiTheme="minorHAnsi"/>
                <w:sz w:val="22"/>
                <w:lang w:eastAsia="en-GB"/>
              </w:rPr>
              <w:tab/>
            </w:r>
            <w:r>
              <w:rPr>
                <w:rStyle w:val="IndexLink"/>
              </w:rPr>
              <w:t>References</w:t>
            </w:r>
            <w:r>
              <w:rPr>
                <w:webHidden/>
              </w:rPr>
              <w:fldChar w:fldCharType="begin"/>
            </w:r>
            <w:r>
              <w:rPr>
                <w:webHidden/>
              </w:rPr>
              <w:instrText>PAGEREF _Toc219897856 \h</w:instrText>
            </w:r>
            <w:r>
              <w:rPr>
                <w:webHidden/>
              </w:rPr>
              <w:fldChar w:fldCharType="separate"/>
            </w:r>
            <w:r>
              <w:rPr>
                <w:rStyle w:val="IndexLink"/>
                <w:vanish w:val="false"/>
              </w:rPr>
              <w:tab/>
              <w:t>12</w:t>
            </w:r>
            <w:r>
              <w:rPr>
                <w:webHidden/>
              </w:rPr>
              <w:fldChar w:fldCharType="end"/>
            </w:r>
          </w:hyperlink>
        </w:p>
        <w:p>
          <w:pPr>
            <w:pStyle w:val="Normal"/>
            <w:rPr/>
          </w:pPr>
          <w:r>
            <w:rPr/>
          </w:r>
          <w:r>
            <w:rPr/>
            <w:fldChar w:fldCharType="end"/>
          </w:r>
        </w:p>
      </w:sdtContent>
    </w:sdt>
    <w:p>
      <w:pPr>
        <w:sectPr>
          <w:footerReference w:type="default" r:id="rId2"/>
          <w:type w:val="nextPage"/>
          <w:pgSz w:w="11906" w:h="16838"/>
          <w:pgMar w:left="1440" w:right="1440" w:header="0" w:top="1440" w:footer="708" w:bottom="1440" w:gutter="0"/>
          <w:pgNumType w:fmt="lowerRoman"/>
          <w:formProt w:val="false"/>
          <w:textDirection w:val="lrTb"/>
          <w:docGrid w:type="default" w:linePitch="360" w:charSpace="0"/>
        </w:sectPr>
        <w:pStyle w:val="Normal"/>
        <w:rPr/>
      </w:pPr>
      <w:r>
        <w:rPr/>
      </w:r>
    </w:p>
    <w:p>
      <w:pPr>
        <w:pStyle w:val="Heading1"/>
        <w:numPr>
          <w:ilvl w:val="0"/>
          <w:numId w:val="1"/>
        </w:numPr>
        <w:rPr/>
      </w:pPr>
      <w:bookmarkStart w:id="1" w:name="_Toc219897837"/>
      <w:r>
        <w:rPr/>
        <w:t>Introduction</w:t>
      </w:r>
      <w:bookmarkEnd w:id="1"/>
      <w:r>
        <w:rPr/>
        <w:t xml:space="preserve">  </w:t>
      </w:r>
    </w:p>
    <w:p>
      <w:pPr>
        <w:pStyle w:val="Normal"/>
        <w:rPr/>
      </w:pPr>
      <w:r>
        <w:rPr/>
        <w:t>The United Kingdom hotel and hospitality industry is still facing a growing workforce crisis, characterised by the constant shortage of staff and increasing concerns about mental health and wellbeing of employees. Despite signs of post-pandemic recovery, labour availability within UK hospitality is also still significantly lower than it was before 2020, which compounds workload and emotional impacts on the remaining workforce. This predicament is especially acute in customer-facing occupations, where emotional labour, irregular working hours and high performance expectations are structurally built into service delivery models (</w:t>
      </w:r>
      <w:r>
        <w:rPr>
          <w:shd w:fill="FFFFFF" w:val="clear"/>
        </w:rPr>
        <w:t>Bindawas, 2025</w:t>
      </w:r>
      <w:r>
        <w:rPr/>
        <w:t xml:space="preserve">).  </w:t>
      </w:r>
    </w:p>
    <w:p>
      <w:pPr>
        <w:pStyle w:val="Normal"/>
        <w:rPr/>
      </w:pPr>
      <w:r>
        <w:rPr/>
        <w:t xml:space="preserve">Recent research has indicated that staff shortages are not only an operational challenge but also an important factor in determining the psychological wellbeing of employees, which contributes to burnout, anxiety and high intentions to leave the employment of the UK hospitality workforce (ElAdawi et al., 2024). While industry recognition of mental health is on the rise as a priority, organisational responses are frequently reactive and fragmented rather than strategically integrated within workforce planning. This detach highlights a growing tension between the sustainability of business and wellbeing of employees in labour intensive service environments (Ghorbani et al., 2023).  </w:t>
      </w:r>
    </w:p>
    <w:p>
      <w:pPr>
        <w:pStyle w:val="Normal"/>
        <w:rPr/>
      </w:pPr>
      <w:r>
        <w:rPr/>
        <w:t xml:space="preserve">Against this background, this paper examines in a critical manner the impact of the staff shortage on the mental health and wellbeing of employees in the hotel and hospitality sector in the UK (Knežević et al., 2023). By bringing together the most recent academic literature and UK industry evidence, the study seeks to analyse the structural factors that are driving this problem as well as the effectiveness of current organisational responses. In doing so, the paper contributes to debates of sustainable workforce management in the UK hospitality industry that continue to rage.  </w:t>
      </w:r>
    </w:p>
    <w:p>
      <w:pPr>
        <w:pStyle w:val="Normal"/>
        <w:spacing w:lineRule="auto" w:line="259"/>
        <w:jc w:val="left"/>
        <w:rPr>
          <w:rFonts w:eastAsia="" w:cs="" w:cstheme="majorBidi" w:eastAsiaTheme="majorEastAsia"/>
          <w:b/>
          <w:b/>
          <w:color w:val="2E74B5" w:themeColor="accent1" w:themeShade="bf"/>
          <w:sz w:val="28"/>
          <w:szCs w:val="40"/>
        </w:rPr>
      </w:pPr>
      <w:r>
        <w:rPr>
          <w:rFonts w:eastAsia="" w:cs="" w:cstheme="majorBidi" w:eastAsiaTheme="majorEastAsia"/>
          <w:b/>
          <w:color w:val="2E74B5" w:themeColor="accent1" w:themeShade="bf"/>
          <w:sz w:val="28"/>
          <w:szCs w:val="40"/>
        </w:rPr>
      </w:r>
      <w:r>
        <w:br w:type="page"/>
      </w:r>
    </w:p>
    <w:p>
      <w:pPr>
        <w:pStyle w:val="Heading1"/>
        <w:numPr>
          <w:ilvl w:val="0"/>
          <w:numId w:val="1"/>
        </w:numPr>
        <w:rPr/>
      </w:pPr>
      <w:bookmarkStart w:id="2" w:name="_Toc219897838"/>
      <w:r>
        <w:rPr/>
        <w:t>Literature Review</w:t>
      </w:r>
      <w:bookmarkEnd w:id="2"/>
      <w:r>
        <w:rPr/>
        <w:t xml:space="preserve">  </w:t>
      </w:r>
    </w:p>
    <w:p>
      <w:pPr>
        <w:pStyle w:val="Heading2"/>
        <w:rPr/>
      </w:pPr>
      <w:bookmarkStart w:id="3" w:name="_Toc219897839"/>
      <w:r>
        <w:rPr/>
        <w:t>2.1 Introduction</w:t>
      </w:r>
      <w:bookmarkEnd w:id="3"/>
      <w:r>
        <w:rPr/>
        <w:t xml:space="preserve">  </w:t>
      </w:r>
    </w:p>
    <w:p>
      <w:pPr>
        <w:pStyle w:val="Normal"/>
        <w:rPr/>
      </w:pPr>
      <w:r>
        <w:rPr/>
        <w:t xml:space="preserve">Staff shortages in the hospitality industry are a structural and persistent problem that is driven by employment practises, as opposed to being a short-term labour market aberration. This framing has shifted the focus of study to the human consequences of chronic understaffing, especially in the context of hotel environments where service delivery is dependent on a great deal of emotional and relational labour. Workforce shortages significantly increase the demands of jobs and turn employee mental health into a central issue instead of a peripheral human-resource issue. Despite this increased awareness, however, the literature often focuses on staffing issues and wellbeing outcomes in isolation, and this research therefore does little to understand the interdependent relationship between the two in the context of contemporary hospitality operations.  </w:t>
      </w:r>
    </w:p>
    <w:p>
      <w:pPr>
        <w:pStyle w:val="Heading2"/>
        <w:rPr/>
      </w:pPr>
      <w:bookmarkStart w:id="4" w:name="_Toc219897840"/>
      <w:r>
        <w:rPr/>
        <w:t>2.2 Structural Causes of Staff Shortages in the Hospitality Sector in the UK</w:t>
      </w:r>
      <w:bookmarkEnd w:id="4"/>
      <w:r>
        <w:rPr/>
        <w:t xml:space="preserve">  </w:t>
      </w:r>
    </w:p>
    <w:p>
      <w:pPr>
        <w:pStyle w:val="Normal"/>
        <w:rPr/>
      </w:pPr>
      <w:r>
        <w:rPr/>
        <w:t xml:space="preserve">As per </w:t>
      </w:r>
      <w:r>
        <w:rPr>
          <w:shd w:fill="FFFFFF" w:val="clear"/>
        </w:rPr>
        <w:t>Bindawas (2025</w:t>
      </w:r>
      <w:r>
        <w:rPr/>
        <w:t xml:space="preserve">), staff shortages in the hospitality industry are deeply rooted in long-standing structural employment practises, not short-term labour market disruptions. This perspective challenges managerial narratives of workforce shortages being due primarily to post-pandemic or post-Brexit external shocks and puts systemic issues at the forefront such as low pay, lack of progression and risky employment contracts. Ghorbani et al. (2023) further argue that UK hospitality organisations have become aware to understaffing as a cost efficiency strategy, which shifts the operational pressures to the frontline employees. While this approach may pay off in the short term financially, this strategy is increasingly criticised in the literature on the long term sustainability of this approach, especially at hotels that are labour intensive and where service is heavily dependent on the well-being of employees. Existing studies, however, often focus on operational values to the exclusion of psychological consequences to employees, thus revealing a discrepancy in integrated analysis of workforce-wellbeing.  </w:t>
      </w:r>
    </w:p>
    <w:p>
      <w:pPr>
        <w:pStyle w:val="Heading2"/>
        <w:rPr/>
      </w:pPr>
      <w:bookmarkStart w:id="5" w:name="_Toc219897841"/>
      <w:r>
        <w:rPr/>
        <w:t>2.3 Work Intensification and Mental Health Outcomes of Hotel Workers</w:t>
      </w:r>
      <w:bookmarkEnd w:id="5"/>
      <w:r>
        <w:rPr/>
        <w:t xml:space="preserve">  </w:t>
      </w:r>
    </w:p>
    <w:p>
      <w:pPr>
        <w:pStyle w:val="Normal"/>
        <w:rPr/>
      </w:pPr>
      <w:r>
        <w:rPr/>
        <w:t xml:space="preserve">According to Üngüren et al. (2024), staff shortage significantly increases the job demands and results in an increase in emotional exhaustion and psychological strain for hospitality employees. This finding supports the Job Demands - Resources perspective of burnout, which views burnout as a predictable reaction to prolonged work overload, and not a failure of an individual to cope. </w:t>
      </w:r>
    </w:p>
    <w:p>
      <w:pPr>
        <w:pStyle w:val="Normal"/>
        <w:rPr/>
      </w:pPr>
      <w:r>
        <w:rPr/>
        <w:t xml:space="preserve">Amissah et al. (2022) suggest that emotional labour tends to be even worse under settings of chronic understaffing, as employees are faced with having to regulate their emotions whilst dealing with increased workloads and customer expectations. Despite this, a great deal of the literature in the field of hospitality continues to conceptualise mental health issues at the individual level, underemphasising the structural role of staffing practices. This identifies a key gap in the literature concerning the extent to which organisational labour strategies have direct effects on mental wellbeing of employees in UK hotel settings.  </w:t>
      </w:r>
    </w:p>
    <w:p>
      <w:pPr>
        <w:pStyle w:val="Heading2"/>
        <w:rPr/>
      </w:pPr>
      <w:bookmarkStart w:id="6" w:name="_Toc219897842"/>
      <w:r>
        <w:rPr/>
        <w:t>2.4 Critical Evaluation of Organisational Wellbeing Interventions</w:t>
      </w:r>
      <w:bookmarkEnd w:id="6"/>
      <w:r>
        <w:rPr/>
        <w:t xml:space="preserve">  </w:t>
      </w:r>
    </w:p>
    <w:p>
      <w:pPr>
        <w:pStyle w:val="Normal"/>
        <w:rPr/>
      </w:pPr>
      <w:r>
        <w:rPr/>
        <w:t xml:space="preserve">Budhiraja et al. (2022) observe critically that there has been a growing buzz in hospitality organisations to implement wellbeing initiatives such as employee assistance programmes and mental health awareness training. While these interventions are positive indicators of increased awareness of mental health issues, their effectiveness is questioned when carried out alongside the normal staffing models.  </w:t>
      </w:r>
      <w:r>
        <w:rPr>
          <w:shd w:fill="FFFFFF" w:val="clear"/>
        </w:rPr>
        <w:t>Bindawas (2025</w:t>
      </w:r>
      <w:r>
        <w:rPr/>
        <w:t xml:space="preserve">) warn that wellbeing initiatives can be symbolic acts if organisations do not address some of the vital problems of job design, such as workload intensity and staffing adequacy. There is some sign that employees might see such initiatives as superficial when there are unresolved structural pressures. Consequently there is a gap in the literature between organisational wellbeing rhetoric and the practical realities experienced by employees in hotels, this time specific to the UK hospitality industry.  </w:t>
      </w:r>
    </w:p>
    <w:p>
      <w:pPr>
        <w:pStyle w:val="Heading2"/>
        <w:rPr/>
      </w:pPr>
      <w:bookmarkStart w:id="7" w:name="_Toc219897843"/>
      <w:r>
        <w:rPr/>
        <w:t>2.5 Mental Health, Turnover Intentions and Workforce Sustainability</w:t>
      </w:r>
      <w:bookmarkEnd w:id="7"/>
      <w:r>
        <w:rPr/>
        <w:t xml:space="preserve">  </w:t>
      </w:r>
    </w:p>
    <w:p>
      <w:pPr>
        <w:pStyle w:val="Normal"/>
        <w:rPr/>
      </w:pPr>
      <w:r>
        <w:rPr/>
        <w:t xml:space="preserve">Üngüren et al. (2024) stressed on a strong empirical relationship between emotional exhaustion and intention to quit the job in hospitality employment. This relationship suggests that mental health deterioration has not only an impact on individual wellbeing but also is a direct cause of workforce flux and sustained staff shortage. </w:t>
      </w:r>
      <w:r>
        <w:rPr>
          <w:shd w:fill="FFFFFF" w:val="clear"/>
        </w:rPr>
        <w:t>Bindawas (2025</w:t>
      </w:r>
      <w:r>
        <w:rPr/>
        <w:t xml:space="preserve">) argues that failure to tackle the mental health of employees is a self-reinforcing cycle where low staffing levels increase work demands, increasing further attrition. While workforce sustainability is a common topic in hospitality research, the literature often addresses the subjects of retention and wellbeing as separate issues. This fragmentation reveals a large gap in research that makes the need for integrated approaches to put mental health at the heart of sustainable workforce management in UK hotels.  </w:t>
      </w:r>
    </w:p>
    <w:p>
      <w:pPr>
        <w:pStyle w:val="Normal"/>
        <w:spacing w:lineRule="auto" w:line="259"/>
        <w:jc w:val="left"/>
        <w:rPr>
          <w:rFonts w:eastAsia="" w:cs="" w:cstheme="majorBidi" w:eastAsiaTheme="majorEastAsia"/>
          <w:b/>
          <w:b/>
          <w:color w:val="2E74B5" w:themeColor="accent1" w:themeShade="bf"/>
          <w:sz w:val="26"/>
          <w:szCs w:val="26"/>
        </w:rPr>
      </w:pPr>
      <w:r>
        <w:rPr>
          <w:rFonts w:eastAsia="" w:cs="" w:cstheme="majorBidi" w:eastAsiaTheme="majorEastAsia"/>
          <w:b/>
          <w:color w:val="2E74B5" w:themeColor="accent1" w:themeShade="bf"/>
          <w:sz w:val="26"/>
          <w:szCs w:val="26"/>
        </w:rPr>
      </w:r>
      <w:r>
        <w:br w:type="page"/>
      </w:r>
    </w:p>
    <w:p>
      <w:pPr>
        <w:pStyle w:val="Heading2"/>
        <w:rPr/>
      </w:pPr>
      <w:bookmarkStart w:id="8" w:name="_Toc219897844"/>
      <w:r>
        <w:rPr/>
        <w:t>2.6 Literature Summary</w:t>
      </w:r>
      <w:bookmarkEnd w:id="8"/>
      <w:r>
        <w:rPr/>
        <w:t xml:space="preserve">  </w:t>
      </w:r>
    </w:p>
    <w:p>
      <w:pPr>
        <w:pStyle w:val="Normal"/>
        <w:rPr/>
      </w:pPr>
      <w:r>
        <w:rPr/>
        <w:t xml:space="preserve">Excessive workloads, emotional exhaustion and irregular working patterns are highly linked to deterioration in the mental wellbeing of hotel employees. These findings are consistently confirmed with empirical studies indicating that staff shortages are related to staff burnout and higher intentions to turnover. Organisational responses have largely been the focus of individualised wellbeing initiatives with little attention to structural staffing inadequacies. Consequently, the literature supplies a collective suggestion of a misalignment between prevailing models of hospitality workforce and sustainable employment practises, especially in labour-intensive hotel settings.  </w:t>
      </w:r>
    </w:p>
    <w:p>
      <w:pPr>
        <w:pStyle w:val="Normal"/>
        <w:spacing w:lineRule="auto" w:line="259"/>
        <w:jc w:val="left"/>
        <w:rPr>
          <w:rFonts w:eastAsia="" w:cs="" w:cstheme="majorBidi" w:eastAsiaTheme="majorEastAsia"/>
          <w:b/>
          <w:b/>
          <w:color w:val="2E74B5" w:themeColor="accent1" w:themeShade="bf"/>
          <w:sz w:val="28"/>
          <w:szCs w:val="40"/>
        </w:rPr>
      </w:pPr>
      <w:r>
        <w:rPr>
          <w:rFonts w:eastAsia="" w:cs="" w:cstheme="majorBidi" w:eastAsiaTheme="majorEastAsia"/>
          <w:b/>
          <w:color w:val="2E74B5" w:themeColor="accent1" w:themeShade="bf"/>
          <w:sz w:val="28"/>
          <w:szCs w:val="40"/>
        </w:rPr>
      </w:r>
      <w:r>
        <w:br w:type="page"/>
      </w:r>
    </w:p>
    <w:p>
      <w:pPr>
        <w:pStyle w:val="Heading1"/>
        <w:numPr>
          <w:ilvl w:val="0"/>
          <w:numId w:val="1"/>
        </w:numPr>
        <w:rPr/>
      </w:pPr>
      <w:bookmarkStart w:id="9" w:name="_Toc219897845"/>
      <w:r>
        <w:rPr/>
        <w:t>Methodology</w:t>
      </w:r>
      <w:bookmarkEnd w:id="9"/>
      <w:r>
        <w:rPr/>
        <w:t xml:space="preserve">  </w:t>
      </w:r>
    </w:p>
    <w:p>
      <w:pPr>
        <w:pStyle w:val="Normal"/>
        <w:rPr/>
      </w:pPr>
      <w:r>
        <w:rPr/>
        <w:t xml:space="preserve">This research is a qualitative secondary research design focusing on exploring the impact of staff shortages on employee mental health and wellbeing in the hotel and hospitality industry in the UK. A secondary approach was chosen for allowing critical synthesis from existing empirical evidence with the aim of methodological feasibility and ethical compliance. The study only uses peer-reviewed academic journal articles to keep it up-to-date and academically rigorous, published from 2021 to 2026.  </w:t>
      </w:r>
    </w:p>
    <w:p>
      <w:pPr>
        <w:pStyle w:val="Normal"/>
        <w:rPr/>
      </w:pPr>
      <w:r>
        <w:rPr/>
        <w:t xml:space="preserve">Relevant literature was found by systematic search of known academic databases such as Scopus, Web of Science and Science Direct. Search terms included staff shortages, mental health, burnout, wellbeing and UK hospitality. Inclusion criteria focused on studies that focused on hotel or hospitality contexts, workforce challenges and outcomes to employee wellbeing. Articles without methodological transparency and depth of analysis were excluded in order to maintain quality in the research.  </w:t>
      </w:r>
    </w:p>
    <w:p>
      <w:pPr>
        <w:pStyle w:val="Normal"/>
        <w:rPr/>
      </w:pPr>
      <w:r>
        <w:rPr/>
        <w:t xml:space="preserve">The selected literature was analysed using the thematic analysis in order to identify the recurring pattern, divergences and gaps across the studies. To enhance analysis consistency, the Job Demands-Resources framework was utilised to interpret the operation of staffing shortages in the form of job demands on psychological wellbeing. As the research was based on the secondary sources only determined from the available secondary data sources, there was no need of the formal ethical approval; however, the ethical requirements of academic integrity were abided by through the critical evaluation and accurate source citation.  </w:t>
      </w:r>
    </w:p>
    <w:p>
      <w:pPr>
        <w:pStyle w:val="Normal"/>
        <w:spacing w:lineRule="auto" w:line="259"/>
        <w:jc w:val="left"/>
        <w:rPr/>
      </w:pPr>
      <w:r>
        <w:rPr/>
      </w:r>
      <w:r>
        <w:br w:type="page"/>
      </w:r>
    </w:p>
    <w:p>
      <w:pPr>
        <w:pStyle w:val="Heading1"/>
        <w:numPr>
          <w:ilvl w:val="0"/>
          <w:numId w:val="1"/>
        </w:numPr>
        <w:rPr/>
      </w:pPr>
      <w:bookmarkStart w:id="10" w:name="_Toc219897846"/>
      <w:r>
        <w:rPr/>
        <w:t>Theme Impact Analysis: Staff Shortages and Mental Health of Employees in UK Hospitality</w:t>
      </w:r>
      <w:bookmarkEnd w:id="10"/>
      <w:r>
        <w:rPr/>
        <w:t xml:space="preserve">  </w:t>
      </w:r>
    </w:p>
    <w:p>
      <w:pPr>
        <w:pStyle w:val="Heading2"/>
        <w:rPr/>
      </w:pPr>
      <w:bookmarkStart w:id="11" w:name="_Toc219897847"/>
      <w:r>
        <w:rPr/>
        <w:t>4.1 Theme 1: Intensification of Work and Psychological Strain: Normalisation</w:t>
      </w:r>
      <w:bookmarkEnd w:id="11"/>
      <w:r>
        <w:rPr/>
        <w:t xml:space="preserve">  </w:t>
      </w:r>
    </w:p>
    <w:p>
      <w:pPr>
        <w:pStyle w:val="Normal"/>
        <w:rPr/>
      </w:pPr>
      <w:r>
        <w:rPr/>
        <w:t xml:space="preserve">Within the UK hotel and hospitality industry, staff shortages act as a structural job demand which has the significant impact of increasing the workloads and compressing the time resources. Based on the Job Demands-Resources (JD-R) model, chronic understaffing leads to higher levels of task accumulation, multitasking, and role ambiguity, especially in the front-of-house and food and beverage departments. These intensified demands are no longer considered as any exceptional pressures but have become normalised in the everyday working of hotels. As a result, psychological strain is often seen as an inherent characteristic of the work of hospitality and not as an indicator of organisational dysfunction, which puts off managerial intervention and raises tolerance of stress-related harm.  </w:t>
      </w:r>
    </w:p>
    <w:p>
      <w:pPr>
        <w:pStyle w:val="Heading2"/>
        <w:rPr/>
      </w:pPr>
      <w:bookmarkStart w:id="12" w:name="_Toc219897848"/>
      <w:r>
        <w:rPr/>
        <w:t>4.2 Theme 2: Emotional Labour, Service Expectations and Mental Exhaustion</w:t>
      </w:r>
      <w:bookmarkEnd w:id="12"/>
      <w:r>
        <w:rPr/>
        <w:t xml:space="preserve">  </w:t>
      </w:r>
    </w:p>
    <w:p>
      <w:pPr>
        <w:pStyle w:val="Normal"/>
        <w:rPr/>
      </w:pPr>
      <w:r>
        <w:rPr/>
        <w:t>Staff shortages also contribute to emotional labour demands by forcing employees to continue maintaining positivity and professionalism despite high stress and fatigue levels. In hotel environments in the UK, service quality expectations do not vary even though the amount of staff available is dropping, forcing the staff to mask emotional stress during guest interactions. From a JD-R perspective, sustained emotional regulation in the absence of appropriate recovery represents a high cost job demand that leads to accelerated mental exhaustion (</w:t>
      </w:r>
      <w:r>
        <w:rPr>
          <w:shd w:fill="FFFFFF" w:val="clear"/>
        </w:rPr>
        <w:t>Bakker</w:t>
      </w:r>
      <w:r>
        <w:rPr/>
        <w:t xml:space="preserve"> et al., </w:t>
      </w:r>
      <w:r>
        <w:rPr>
          <w:shd w:fill="FFFFFF" w:val="clear"/>
        </w:rPr>
        <w:t>2023</w:t>
      </w:r>
      <w:r>
        <w:rPr/>
        <w:t xml:space="preserve">). This dynamic is especially problematic in customer facing jobs, in which emotional labour is so closely monitored and evaluated, which serves to intensify the psychological consequences of understaffing.  </w:t>
      </w:r>
    </w:p>
    <w:p>
      <w:pPr>
        <w:pStyle w:val="Heading2"/>
        <w:rPr/>
      </w:pPr>
      <w:bookmarkStart w:id="13" w:name="_Toc219897849"/>
      <w:r>
        <w:rPr/>
        <w:t>4.3 Theme 3: Decreased Job Resources and the Loss of Recovery Opportunities</w:t>
      </w:r>
      <w:bookmarkEnd w:id="13"/>
      <w:r>
        <w:rPr/>
        <w:t xml:space="preserve">  </w:t>
      </w:r>
    </w:p>
    <w:p>
      <w:pPr>
        <w:pStyle w:val="Normal"/>
        <w:rPr/>
      </w:pPr>
      <w:r>
        <w:rPr/>
        <w:t xml:space="preserve">The mental health effect of staff shortages is further exacerbated by the simultaneous loss of job resources that could buffer the effects of stress. Reduced numbers of staff often mean fewer breaks, unpredictable working shift patterns and little time for recovery between shifts. Within the framework of the JD-R framework, this imbalance between growing demands and declining resources results in greater susceptibility to burnout. In the hospitality environment of the UK, where long and unsociable hours of work are common, lack of recovery time compromises the ability of employees to maintain their performance and psychological health for extended periods of time.  </w:t>
      </w:r>
    </w:p>
    <w:p>
      <w:pPr>
        <w:pStyle w:val="Heading2"/>
        <w:rPr/>
      </w:pPr>
      <w:bookmarkStart w:id="14" w:name="_Toc219897850"/>
      <w:r>
        <w:rPr/>
        <w:t>4.4 Theme 4: Organisational Wellbeing Responses and Support Illusion</w:t>
      </w:r>
      <w:bookmarkEnd w:id="14"/>
      <w:r>
        <w:rPr/>
        <w:t xml:space="preserve">  </w:t>
      </w:r>
    </w:p>
    <w:p>
      <w:pPr>
        <w:pStyle w:val="Normal"/>
        <w:rPr/>
      </w:pPr>
      <w:r>
        <w:rPr/>
        <w:t>In response, many UK hospitality organisations have launched wellbeing initiatives, including mental health training, employee assistance programmes and resilience workshops to address some of these issues. While these interventions are a form of organisational recognition of wellbeing issues, their effectiveness is limited when evaluated using the JD-R framework. Such initiatives primarily boost individual coping mechanisms but do not reduce excessive job demands created by staff shortages (</w:t>
      </w:r>
      <w:r>
        <w:rPr>
          <w:shd w:fill="FFFFFF" w:val="clear"/>
        </w:rPr>
        <w:t>Bakker</w:t>
      </w:r>
      <w:r>
        <w:rPr/>
        <w:t xml:space="preserve"> et al., </w:t>
      </w:r>
      <w:r>
        <w:rPr>
          <w:shd w:fill="FFFFFF" w:val="clear"/>
        </w:rPr>
        <w:t>2023</w:t>
      </w:r>
      <w:r>
        <w:rPr/>
        <w:t xml:space="preserve">). As a result, wellbeing programmes can be seen as superficial or performative, if the stress of workload is not removed, trust is eroded and the protective value as job resources is reduced.  </w:t>
      </w:r>
    </w:p>
    <w:p>
      <w:pPr>
        <w:pStyle w:val="Heading2"/>
        <w:rPr/>
      </w:pPr>
      <w:bookmarkStart w:id="15" w:name="_Toc219897851"/>
      <w:r>
        <w:rPr/>
        <w:t>4.5 Theme 5: Burnout, Turnover and the Self-Reinforcing Workforce Cycle</w:t>
      </w:r>
      <w:bookmarkEnd w:id="15"/>
      <w:r>
        <w:rPr/>
        <w:t xml:space="preserve">  </w:t>
      </w:r>
    </w:p>
    <w:p>
      <w:pPr>
        <w:pStyle w:val="Normal"/>
        <w:rPr/>
      </w:pPr>
      <w:r>
        <w:rPr/>
        <w:t xml:space="preserve">The interplay between staffing shortages and worsening mental health is part of a self-sustaining cycle of staffing burnout and turnover in the UK hotel sector. As the psychological strain increases, employees are more likely to participate in withdrawal behaviours such as absenteeism, disengagement or resignation. These outcomes further deepen staffing shortages, which increases job demands on remaining employees. The JD-R framework emphasises the role that failure to rebalance demands and resources plays in accelerating this cycle that compromises the stability of the workforce and creates an increased need for short-term staffing solutions that have limited continuity or support.  </w:t>
      </w:r>
    </w:p>
    <w:p>
      <w:pPr>
        <w:pStyle w:val="Heading2"/>
        <w:rPr/>
      </w:pPr>
      <w:bookmarkStart w:id="16" w:name="_Toc219897852"/>
      <w:r>
        <w:rPr/>
        <w:t>4.6 Theme 6: Unequal Burden of Mental Health Impacts and Ethical Issues</w:t>
      </w:r>
      <w:bookmarkEnd w:id="16"/>
      <w:r>
        <w:rPr/>
        <w:t xml:space="preserve">  </w:t>
      </w:r>
    </w:p>
    <w:p>
      <w:pPr>
        <w:pStyle w:val="Normal"/>
        <w:rPr/>
      </w:pPr>
      <w:r>
        <w:rPr/>
        <w:t xml:space="preserve">The mental health impacts of staffing shortages are unevenly spread through organisational hierarchies, with frontline workers who have little autonomy and decision-making power being disproportionately affected. Frontline positions have more demands relating to emotional labour and less access to resources for support, whereas managerial positions tend to have more control over scheduling and the division of workload. This imbalance raises ethical concerns about duty of care as well as contradictions between wellbeing rhetoric within organisations and wellbeing practises. From a sustainability perspective, externalising mental health costs on to frontline workers hurts both trust between employees and undermines long term sector resilience.  </w:t>
      </w:r>
    </w:p>
    <w:p>
      <w:pPr>
        <w:pStyle w:val="Normal"/>
        <w:spacing w:lineRule="auto" w:line="259"/>
        <w:jc w:val="left"/>
        <w:rPr>
          <w:rFonts w:eastAsia="" w:cs="" w:cstheme="majorBidi" w:eastAsiaTheme="majorEastAsia"/>
          <w:b/>
          <w:b/>
          <w:color w:val="2E74B5" w:themeColor="accent1" w:themeShade="bf"/>
          <w:sz w:val="26"/>
          <w:szCs w:val="26"/>
        </w:rPr>
      </w:pPr>
      <w:r>
        <w:rPr>
          <w:rFonts w:eastAsia="" w:cs="" w:cstheme="majorBidi" w:eastAsiaTheme="majorEastAsia"/>
          <w:b/>
          <w:color w:val="2E74B5" w:themeColor="accent1" w:themeShade="bf"/>
          <w:sz w:val="26"/>
          <w:szCs w:val="26"/>
        </w:rPr>
      </w:r>
      <w:r>
        <w:br w:type="page"/>
      </w:r>
    </w:p>
    <w:p>
      <w:pPr>
        <w:pStyle w:val="Heading2"/>
        <w:rPr/>
      </w:pPr>
      <w:bookmarkStart w:id="17" w:name="_Toc219897853"/>
      <w:r>
        <w:rPr/>
        <w:t>4.7 Analytical Synthesis</w:t>
      </w:r>
      <w:bookmarkEnd w:id="17"/>
      <w:r>
        <w:rPr/>
        <w:t xml:space="preserve">  </w:t>
      </w:r>
    </w:p>
    <w:p>
      <w:pPr>
        <w:pStyle w:val="Normal"/>
        <w:rPr/>
      </w:pPr>
      <w:r>
        <w:rPr/>
        <w:t xml:space="preserve">Overall, the thematic analysis proves that staff shortages in the UK hospitality industry are a systemic risk to employee mental health instead of a temporary inconvenience from an operational standpoint. Applying the JD -R framework, it is clear that to achieve sustainable improvement, structural intervention is needed through realistic staffing models, supportive leadership and incorporating wellbeing into workforce planning. Without rebalancing job demands and resources, mental health issues are likely to continue leading to vicious cycles of burnout, turnover and workforce instability across the UK hotel sector.  </w:t>
      </w:r>
    </w:p>
    <w:p>
      <w:pPr>
        <w:pStyle w:val="Normal"/>
        <w:spacing w:lineRule="auto" w:line="259"/>
        <w:jc w:val="left"/>
        <w:rPr>
          <w:rFonts w:eastAsia="" w:cs="" w:cstheme="majorBidi" w:eastAsiaTheme="majorEastAsia"/>
          <w:b/>
          <w:b/>
          <w:color w:val="2E74B5" w:themeColor="accent1" w:themeShade="bf"/>
          <w:sz w:val="28"/>
          <w:szCs w:val="40"/>
        </w:rPr>
      </w:pPr>
      <w:r>
        <w:rPr>
          <w:rFonts w:eastAsia="" w:cs="" w:cstheme="majorBidi" w:eastAsiaTheme="majorEastAsia"/>
          <w:b/>
          <w:color w:val="2E74B5" w:themeColor="accent1" w:themeShade="bf"/>
          <w:sz w:val="28"/>
          <w:szCs w:val="40"/>
        </w:rPr>
      </w:r>
      <w:r>
        <w:br w:type="page"/>
      </w:r>
    </w:p>
    <w:p>
      <w:pPr>
        <w:pStyle w:val="Heading1"/>
        <w:numPr>
          <w:ilvl w:val="0"/>
          <w:numId w:val="1"/>
        </w:numPr>
        <w:rPr/>
      </w:pPr>
      <w:bookmarkStart w:id="18" w:name="_Toc219897854"/>
      <w:r>
        <w:rPr/>
        <w:t>Conclusion</w:t>
      </w:r>
      <w:bookmarkEnd w:id="18"/>
      <w:r>
        <w:rPr/>
        <w:t xml:space="preserve">  </w:t>
      </w:r>
    </w:p>
    <w:p>
      <w:pPr>
        <w:pStyle w:val="Normal"/>
        <w:rPr/>
      </w:pPr>
      <w:r>
        <w:rPr/>
        <w:t>This study has critically investigated the effects of manpower shortage on the employee mental health and wellbeing in the UK hotel and hospitality industry. Drawing on current journal literature and using the Job Demands-Demands framework, the analysis has shown that chronic understaffing is a structural Job Demands that increases workloads, emotional labour and psychological strain. The results show that current organisational responses, which focus mostly on individual wellbeing efforts, do not address the causes for the deterioration of mental health. Consequently, staff shortages and declining wellbeing add to a self-sustaining cycle of burnout and turnover, with significant potential for a serious threat to workforce sustainability and long-term operational resilience in the UK hospitality sector.</w:t>
      </w:r>
    </w:p>
    <w:p>
      <w:pPr>
        <w:pStyle w:val="Normal"/>
        <w:spacing w:lineRule="auto" w:line="259"/>
        <w:jc w:val="left"/>
        <w:rPr/>
      </w:pPr>
      <w:r>
        <w:rPr/>
      </w:r>
      <w:r>
        <w:br w:type="page"/>
      </w:r>
    </w:p>
    <w:p>
      <w:pPr>
        <w:pStyle w:val="Heading1"/>
        <w:numPr>
          <w:ilvl w:val="0"/>
          <w:numId w:val="1"/>
        </w:numPr>
        <w:rPr/>
      </w:pPr>
      <w:bookmarkStart w:id="19" w:name="_Toc219897855"/>
      <w:r>
        <w:rPr/>
        <w:t>Recommendations</w:t>
      </w:r>
      <w:bookmarkEnd w:id="19"/>
      <w:r>
        <w:rPr/>
        <w:t xml:space="preserve">  </w:t>
      </w:r>
    </w:p>
    <w:p>
      <w:pPr>
        <w:pStyle w:val="Normal"/>
        <w:rPr/>
      </w:pPr>
      <w:r>
        <w:rPr/>
        <w:t xml:space="preserve">To effectively address the effects of staff shortages on mental health means that UK hotel and hospitality organisations must take a structural and preventative approach in how they address wellbeing issues, as opposed to a reactive approach to wellbeing interventions. First, workforce planning should be reoriented as a mental health strategy. Hotels should have realistic staffing models which take into account the variability in peak demand and minimise chronic understaffing as a cost control mechanism. Matching staffing levels to the expectations of service would have a direct effect in reducing the excessive job demands, as well as reducing the impact of workload in causing psychological stress.  </w:t>
      </w:r>
    </w:p>
    <w:p>
      <w:pPr>
        <w:pStyle w:val="Normal"/>
        <w:rPr/>
      </w:pPr>
      <w:r>
        <w:rPr/>
        <w:t>Second, job design and forecast practises need to be reformed to promote greater opportunities for recovery on the part of employees. Predictable shift pattern, guaranteed resting time, and limitation on excessive overtime should be incorporated in operational planning (</w:t>
      </w:r>
      <w:r>
        <w:rPr>
          <w:shd w:fill="FFFFFF" w:val="clear"/>
        </w:rPr>
        <w:t>Bakker</w:t>
      </w:r>
      <w:r>
        <w:rPr/>
        <w:t xml:space="preserve"> et al., </w:t>
      </w:r>
      <w:r>
        <w:rPr>
          <w:shd w:fill="FFFFFF" w:val="clear"/>
        </w:rPr>
        <w:t>2023</w:t>
      </w:r>
      <w:r>
        <w:rPr/>
        <w:t xml:space="preserve">). From a Job Demands-Reward perspective, such measures are job resources as they help restore recovery time and thus reduce the risk of burnout. These practices are especially relevant in frontline occupations with the highest emotional labour demands and low autonomy of employees.  </w:t>
      </w:r>
    </w:p>
    <w:p>
      <w:pPr>
        <w:pStyle w:val="Normal"/>
        <w:rPr/>
      </w:pPr>
      <w:r>
        <w:rPr/>
        <w:t xml:space="preserve">Third, organisational wellbeing initiatives should be united with operational change as opposed to being offered as standalone solutions. Mental health training, employee help programmes and wellbeing campaigns need to be accompanied by concrete decreases in pressure at work if they are to be credible and effective. Managers should be educated to identify the early signs of psychological strain and be equipped to make appropriate adjustments in staffing and task allocation to ensure leadership accountability on psychological strain outcomes.  </w:t>
      </w:r>
    </w:p>
    <w:p>
      <w:pPr>
        <w:pStyle w:val="Normal"/>
        <w:rPr/>
      </w:pPr>
      <w:r>
        <w:rPr/>
        <w:t xml:space="preserve">Fourth, employee voice mechanisms should be strengthened to ensure that mental health concerns that are associated with staffing pressures are captured and addressed in a systematic manner. Regular wellbeing audits, as well as confidential feedback channels and forums for staff consultation can help to provide early warning of demandMarcus resource imbalances. Incorporating employee’s feedbacks into workforce decision-making encourages trust and organisational responsiveness.  </w:t>
      </w:r>
    </w:p>
    <w:p>
      <w:pPr>
        <w:pStyle w:val="Normal"/>
        <w:rPr/>
      </w:pPr>
      <w:r>
        <w:rPr/>
        <w:t>Finally, on an industry level, hospitality stakeholders should cooperate to make mental-health a fundamental part of sustainable workforce management. Sharing of good practice, creation of sector-wide wellbeing benchmarks and re-aligning staffing practices and expectations of duty of care can help underpin more resilient employment models. Until the structural causes of staff shortages are addressed, the efforts to improve mental-health will be limited. Sustainable staffing is, therefore, not only an ethical obligation, but also a strategic necessity if the UK hotel and hospitality industry is to remain viable in the long term.</w:t>
      </w:r>
    </w:p>
    <w:p>
      <w:pPr>
        <w:pStyle w:val="Normal"/>
        <w:spacing w:lineRule="auto" w:line="259"/>
        <w:jc w:val="left"/>
        <w:rPr/>
      </w:pPr>
      <w:r>
        <w:rPr/>
      </w:r>
      <w:r>
        <w:br w:type="page"/>
      </w:r>
    </w:p>
    <w:p>
      <w:pPr>
        <w:pStyle w:val="Heading1"/>
        <w:numPr>
          <w:ilvl w:val="0"/>
          <w:numId w:val="1"/>
        </w:numPr>
        <w:rPr/>
      </w:pPr>
      <w:bookmarkStart w:id="20" w:name="_Toc219897856"/>
      <w:r>
        <w:rPr>
          <w:rStyle w:val="Strong"/>
          <w:b/>
          <w:bCs w:val="false"/>
        </w:rPr>
        <w:t>References</w:t>
      </w:r>
      <w:bookmarkEnd w:id="20"/>
    </w:p>
    <w:p>
      <w:pPr>
        <w:pStyle w:val="Normal"/>
        <w:ind w:left="720" w:hanging="720"/>
        <w:rPr>
          <w:highlight w:val="white"/>
        </w:rPr>
      </w:pPr>
      <w:r>
        <w:rPr>
          <w:shd w:fill="FFFFFF" w:val="clear"/>
        </w:rPr>
        <w:t>Amissah, E.F., Blankson-Stiles-Ocran, S. and Mensah, I., 2022. Emotional labour, emotional exhaustion and job satisfaction in the hospitality industry. </w:t>
      </w:r>
      <w:r>
        <w:rPr>
          <w:i/>
          <w:iCs/>
          <w:shd w:fill="FFFFFF" w:val="clear"/>
        </w:rPr>
        <w:t>Journal of Hospitality and Tourism insights</w:t>
      </w:r>
      <w:r>
        <w:rPr>
          <w:shd w:fill="FFFFFF" w:val="clear"/>
        </w:rPr>
        <w:t>, </w:t>
      </w:r>
      <w:r>
        <w:rPr>
          <w:i/>
          <w:iCs/>
          <w:shd w:fill="FFFFFF" w:val="clear"/>
        </w:rPr>
        <w:t>5</w:t>
      </w:r>
      <w:r>
        <w:rPr>
          <w:shd w:fill="FFFFFF" w:val="clear"/>
        </w:rPr>
        <w:t>(5), pp.805-821.</w:t>
      </w:r>
    </w:p>
    <w:p>
      <w:pPr>
        <w:pStyle w:val="Normal"/>
        <w:ind w:left="720" w:hanging="720"/>
        <w:rPr>
          <w:highlight w:val="white"/>
        </w:rPr>
      </w:pPr>
      <w:r>
        <w:rPr>
          <w:shd w:fill="FFFFFF" w:val="clear"/>
        </w:rPr>
        <w:t>Bindawas, A.M., 2025. Promoting Sustainable Tourism through Employee Skills: Contextualizing Quality Education and the Human Resource Management Perspective (SDG-4). </w:t>
      </w:r>
      <w:r>
        <w:rPr>
          <w:i/>
          <w:iCs/>
          <w:shd w:fill="FFFFFF" w:val="clear"/>
        </w:rPr>
        <w:t>Sustainability</w:t>
      </w:r>
      <w:r>
        <w:rPr>
          <w:shd w:fill="FFFFFF" w:val="clear"/>
        </w:rPr>
        <w:t>, </w:t>
      </w:r>
      <w:r>
        <w:rPr>
          <w:i/>
          <w:iCs/>
          <w:shd w:fill="FFFFFF" w:val="clear"/>
        </w:rPr>
        <w:t>17</w:t>
      </w:r>
      <w:r>
        <w:rPr>
          <w:shd w:fill="FFFFFF" w:val="clear"/>
        </w:rPr>
        <w:t>(2), p.748.</w:t>
      </w:r>
    </w:p>
    <w:p>
      <w:pPr>
        <w:pStyle w:val="Normal"/>
        <w:ind w:left="720" w:hanging="720"/>
        <w:rPr>
          <w:highlight w:val="white"/>
        </w:rPr>
      </w:pPr>
      <w:r>
        <w:rPr>
          <w:shd w:fill="FFFFFF" w:val="clear"/>
        </w:rPr>
        <w:t>Bakker, A.B., Demerouti, E. and Sanz-Vergel, A., 2023. Job demands–resources theory: Ten years later. </w:t>
      </w:r>
      <w:r>
        <w:rPr>
          <w:i/>
          <w:iCs/>
          <w:shd w:fill="FFFFFF" w:val="clear"/>
        </w:rPr>
        <w:t>Annual review of organizational psychology and organizational behavior</w:t>
      </w:r>
      <w:r>
        <w:rPr>
          <w:shd w:fill="FFFFFF" w:val="clear"/>
        </w:rPr>
        <w:t>, </w:t>
      </w:r>
      <w:r>
        <w:rPr>
          <w:i/>
          <w:iCs/>
          <w:shd w:fill="FFFFFF" w:val="clear"/>
        </w:rPr>
        <w:t>10</w:t>
      </w:r>
      <w:r>
        <w:rPr>
          <w:shd w:fill="FFFFFF" w:val="clear"/>
        </w:rPr>
        <w:t>(1), pp.25-53.</w:t>
      </w:r>
    </w:p>
    <w:p>
      <w:pPr>
        <w:pStyle w:val="Normal"/>
        <w:ind w:left="720" w:hanging="720"/>
        <w:rPr>
          <w:highlight w:val="white"/>
        </w:rPr>
      </w:pPr>
      <w:r>
        <w:rPr>
          <w:shd w:fill="FFFFFF" w:val="clear"/>
        </w:rPr>
        <w:t>Budhiraja, S., Varkkey, B. and McKenna, S., 2022. Work–life balance indicators and talent management approach: a qualitative investigation of Indian luxury hotels. </w:t>
      </w:r>
      <w:r>
        <w:rPr>
          <w:i/>
          <w:iCs/>
          <w:shd w:fill="FFFFFF" w:val="clear"/>
        </w:rPr>
        <w:t>Employee Relations: The International Journal</w:t>
      </w:r>
      <w:r>
        <w:rPr>
          <w:shd w:fill="FFFFFF" w:val="clear"/>
        </w:rPr>
        <w:t>, </w:t>
      </w:r>
      <w:r>
        <w:rPr>
          <w:i/>
          <w:iCs/>
          <w:shd w:fill="FFFFFF" w:val="clear"/>
        </w:rPr>
        <w:t>44</w:t>
      </w:r>
      <w:r>
        <w:rPr>
          <w:shd w:fill="FFFFFF" w:val="clear"/>
        </w:rPr>
        <w:t>(6), pp.1241-1258.</w:t>
      </w:r>
    </w:p>
    <w:p>
      <w:pPr>
        <w:pStyle w:val="Normal"/>
        <w:ind w:left="720" w:hanging="720"/>
        <w:rPr>
          <w:highlight w:val="white"/>
        </w:rPr>
      </w:pPr>
      <w:r>
        <w:rPr>
          <w:shd w:fill="FFFFFF" w:val="clear"/>
        </w:rPr>
        <w:t>ElAdawi, F.M.I., Hashad, M.E., Awad, A.H.I. and Mahmoud, H.A.H., 2024. The effect of injustice on employees’ intention to leave: The mediating role of job insecurity in the tourism and hospitality industry. </w:t>
      </w:r>
      <w:r>
        <w:rPr>
          <w:i/>
          <w:iCs/>
          <w:shd w:fill="FFFFFF" w:val="clear"/>
        </w:rPr>
        <w:t>International Journal of Tourism, Archaeology and Hospitality</w:t>
      </w:r>
      <w:r>
        <w:rPr>
          <w:shd w:fill="FFFFFF" w:val="clear"/>
        </w:rPr>
        <w:t>, </w:t>
      </w:r>
      <w:r>
        <w:rPr>
          <w:i/>
          <w:iCs/>
          <w:shd w:fill="FFFFFF" w:val="clear"/>
        </w:rPr>
        <w:t>4</w:t>
      </w:r>
      <w:r>
        <w:rPr>
          <w:shd w:fill="FFFFFF" w:val="clear"/>
        </w:rPr>
        <w:t>(2), pp.130-148.</w:t>
      </w:r>
    </w:p>
    <w:p>
      <w:pPr>
        <w:pStyle w:val="Normal"/>
        <w:ind w:left="720" w:hanging="720"/>
        <w:rPr>
          <w:highlight w:val="white"/>
        </w:rPr>
      </w:pPr>
      <w:r>
        <w:rPr>
          <w:shd w:fill="FFFFFF" w:val="clear"/>
        </w:rPr>
        <w:t>Ghorbani, A., Mousazadeh, H., Akbarzadeh Almani, F., Lajevardi, M., Hamidizadeh, M.R., Orouei, M., Zhu, K. and Dávid, L.D., 2023. Reconceptualizing customer perceived value in hotel management in turbulent times: A case study of Isfahan metropolis five-star hotels during the COVID-19 pandemic. </w:t>
      </w:r>
      <w:r>
        <w:rPr>
          <w:i/>
          <w:iCs/>
          <w:shd w:fill="FFFFFF" w:val="clear"/>
        </w:rPr>
        <w:t>Sustainability</w:t>
      </w:r>
      <w:r>
        <w:rPr>
          <w:shd w:fill="FFFFFF" w:val="clear"/>
        </w:rPr>
        <w:t>, </w:t>
      </w:r>
      <w:r>
        <w:rPr>
          <w:i/>
          <w:iCs/>
          <w:shd w:fill="FFFFFF" w:val="clear"/>
        </w:rPr>
        <w:t>15</w:t>
      </w:r>
      <w:r>
        <w:rPr>
          <w:shd w:fill="FFFFFF" w:val="clear"/>
        </w:rPr>
        <w:t>(8), p.7022.</w:t>
      </w:r>
    </w:p>
    <w:p>
      <w:pPr>
        <w:pStyle w:val="Normal"/>
        <w:ind w:left="720" w:hanging="720"/>
        <w:rPr>
          <w:highlight w:val="white"/>
        </w:rPr>
      </w:pPr>
      <w:r>
        <w:rPr>
          <w:shd w:fill="FFFFFF" w:val="clear"/>
        </w:rPr>
        <w:t>Knežević, S., Gajić, T., Sekulić, D., Djoković, F., Vukolić, D. and Zrnić, M., 2023. Work-life balance: A historical review and insights for the hospitality industry. </w:t>
      </w:r>
      <w:r>
        <w:rPr>
          <w:i/>
          <w:iCs/>
          <w:shd w:fill="FFFFFF" w:val="clear"/>
        </w:rPr>
        <w:t>Turističko poslovanje</w:t>
      </w:r>
      <w:r>
        <w:rPr>
          <w:shd w:fill="FFFFFF" w:val="clear"/>
        </w:rPr>
        <w:t>, (32), pp.91-99.</w:t>
      </w:r>
    </w:p>
    <w:p>
      <w:pPr>
        <w:pStyle w:val="Normal"/>
        <w:spacing w:before="0" w:after="160"/>
        <w:ind w:left="720" w:hanging="720"/>
        <w:rPr/>
      </w:pPr>
      <w:r>
        <w:rPr>
          <w:shd w:fill="FFFFFF" w:val="clear"/>
        </w:rPr>
        <w:t>Üngüren, E., Onur, N., Demirel, H. and Tekin, Ö.A., 2024. The effects of job stress on burnout and turnover intention: the moderating effects of job security and financial dependency. </w:t>
      </w:r>
      <w:r>
        <w:rPr>
          <w:i/>
          <w:iCs/>
          <w:shd w:fill="FFFFFF" w:val="clear"/>
        </w:rPr>
        <w:t>Behavioral Sciences</w:t>
      </w:r>
      <w:r>
        <w:rPr>
          <w:shd w:fill="FFFFFF" w:val="clear"/>
        </w:rPr>
        <w:t>, </w:t>
      </w:r>
      <w:r>
        <w:rPr>
          <w:i/>
          <w:iCs/>
          <w:shd w:fill="FFFFFF" w:val="clear"/>
        </w:rPr>
        <w:t>14</w:t>
      </w:r>
      <w:r>
        <w:rPr>
          <w:shd w:fill="FFFFFF" w:val="clear"/>
        </w:rPr>
        <w:t>(4), p.322.</w:t>
      </w:r>
    </w:p>
    <w:sectPr>
      <w:footerReference w:type="default" r:id="rId3"/>
      <w:type w:val="nextPage"/>
      <w:pgSz w:w="11906" w:h="16838"/>
      <w:pgMar w:left="1440" w:right="1440" w:header="0" w:top="1440" w:footer="708" w:bottom="1440" w:gutter="0"/>
      <w:pgNumType w:start="1"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799636836"/>
    </w:sdtPr>
    <w:sdtContent>
      <w:p>
        <w:pPr>
          <w:pStyle w:val="Footer"/>
          <w:jc w:val="center"/>
          <w:rPr/>
        </w:pPr>
        <w:r>
          <w:rPr/>
          <w:fldChar w:fldCharType="begin"/>
        </w:r>
        <w:r>
          <w:rPr/>
          <w:instrText> PAGE </w:instrText>
        </w:r>
        <w:r>
          <w:rPr/>
          <w:fldChar w:fldCharType="separate"/>
        </w:r>
        <w:r>
          <w:rPr/>
          <w:t>ii</w:t>
        </w:r>
        <w:r>
          <w:rPr/>
          <w:fldChar w:fldCharType="end"/>
        </w:r>
      </w:p>
      <w:p>
        <w:pPr>
          <w:pStyle w:val="Footer"/>
          <w:rPr/>
        </w:pPr>
        <w:r>
          <w:rPr/>
        </w:r>
      </w:p>
    </w:sdtContent>
  </w:sdt>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571279555"/>
    </w:sdtPr>
    <w:sdtContent>
      <w:p>
        <w:pPr>
          <w:pStyle w:val="Footer"/>
          <w:jc w:val="center"/>
          <w:rPr/>
        </w:pPr>
        <w:r>
          <w:rPr/>
          <w:fldChar w:fldCharType="begin"/>
        </w:r>
        <w:r>
          <w:rPr/>
          <w:instrText> PAGE </w:instrText>
        </w:r>
        <w:r>
          <w:rPr/>
          <w:fldChar w:fldCharType="separate"/>
        </w:r>
        <w:r>
          <w:rPr/>
          <w:t>12</w:t>
        </w:r>
        <w:r>
          <w:rPr/>
          <w:fldChar w:fldCharType="end"/>
        </w:r>
      </w:p>
      <w:p>
        <w:pPr>
          <w:pStyle w:val="Footer"/>
          <w:rPr/>
        </w:pPr>
        <w:r>
          <w:rPr/>
        </w:r>
      </w:p>
    </w:sdtContent>
  </w:sdt>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2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GB"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666dce"/>
    <w:pPr>
      <w:widowControl/>
      <w:bidi w:val="0"/>
      <w:spacing w:lineRule="auto" w:line="360" w:before="0" w:after="160"/>
      <w:jc w:val="both"/>
    </w:pPr>
    <w:rPr>
      <w:rFonts w:ascii="Times New Roman" w:hAnsi="Times New Roman" w:eastAsia="Calibri" w:cs="" w:cstheme="minorBidi" w:eastAsiaTheme="minorHAnsi"/>
      <w:color w:val="auto"/>
      <w:kern w:val="0"/>
      <w:sz w:val="24"/>
      <w:szCs w:val="22"/>
      <w:lang w:val="en-GB" w:eastAsia="en-US" w:bidi="ar-SA"/>
    </w:rPr>
  </w:style>
  <w:style w:type="paragraph" w:styleId="Heading1">
    <w:name w:val="Heading 1"/>
    <w:basedOn w:val="Normal"/>
    <w:next w:val="Normal"/>
    <w:link w:val="Heading1Char"/>
    <w:autoRedefine/>
    <w:uiPriority w:val="9"/>
    <w:qFormat/>
    <w:rsid w:val="00666dce"/>
    <w:pPr>
      <w:keepNext w:val="true"/>
      <w:keepLines/>
      <w:spacing w:before="0" w:after="0"/>
      <w:outlineLvl w:val="0"/>
    </w:pPr>
    <w:rPr>
      <w:rFonts w:eastAsia="" w:cs="" w:cstheme="majorBidi" w:eastAsiaTheme="majorEastAsia"/>
      <w:b/>
      <w:color w:val="2E74B5" w:themeColor="accent1" w:themeShade="bf"/>
      <w:sz w:val="28"/>
      <w:szCs w:val="40"/>
    </w:rPr>
  </w:style>
  <w:style w:type="paragraph" w:styleId="Heading2">
    <w:name w:val="Heading 2"/>
    <w:basedOn w:val="Normal"/>
    <w:next w:val="Normal"/>
    <w:link w:val="Heading2Char"/>
    <w:autoRedefine/>
    <w:uiPriority w:val="9"/>
    <w:unhideWhenUsed/>
    <w:qFormat/>
    <w:rsid w:val="00ad397f"/>
    <w:pPr>
      <w:keepNext w:val="true"/>
      <w:keepLines/>
      <w:widowControl w:val="false"/>
      <w:spacing w:before="0" w:after="0"/>
      <w:outlineLvl w:val="1"/>
    </w:pPr>
    <w:rPr>
      <w:rFonts w:eastAsia="" w:cs="" w:cstheme="majorBidi" w:eastAsiaTheme="majorEastAsia"/>
      <w:b/>
      <w:color w:val="2E74B5" w:themeColor="accent1" w:themeShade="bf"/>
      <w:sz w:val="26"/>
      <w:szCs w:val="26"/>
    </w:rPr>
  </w:style>
  <w:style w:type="paragraph" w:styleId="Heading3">
    <w:name w:val="Heading 3"/>
    <w:basedOn w:val="Normal"/>
    <w:next w:val="Normal"/>
    <w:link w:val="Heading3Char"/>
    <w:uiPriority w:val="9"/>
    <w:semiHidden/>
    <w:unhideWhenUsed/>
    <w:qFormat/>
    <w:rsid w:val="00fb2a34"/>
    <w:pPr>
      <w:keepNext w:val="true"/>
      <w:keepLines/>
      <w:spacing w:before="40" w:after="0"/>
      <w:outlineLvl w:val="2"/>
    </w:pPr>
    <w:rPr>
      <w:rFonts w:ascii="Calibri Light" w:hAnsi="Calibri Light" w:eastAsia="" w:cs="" w:asciiTheme="majorHAnsi" w:cstheme="majorBidi" w:eastAsiaTheme="majorEastAsia" w:hAnsiTheme="majorHAnsi"/>
      <w:color w:val="1F4D78" w:themeColor="accent1" w:themeShade="7f"/>
      <w:szCs w:val="24"/>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666dce"/>
    <w:rPr>
      <w:rFonts w:ascii="Times New Roman" w:hAnsi="Times New Roman" w:eastAsia="" w:cs="" w:cstheme="majorBidi" w:eastAsiaTheme="majorEastAsia"/>
      <w:b/>
      <w:color w:val="2E74B5" w:themeColor="accent1" w:themeShade="bf"/>
      <w:sz w:val="28"/>
      <w:szCs w:val="40"/>
    </w:rPr>
  </w:style>
  <w:style w:type="character" w:styleId="Heading2Char" w:customStyle="1">
    <w:name w:val="Heading 2 Char"/>
    <w:basedOn w:val="DefaultParagraphFont"/>
    <w:link w:val="Heading2"/>
    <w:uiPriority w:val="9"/>
    <w:qFormat/>
    <w:rsid w:val="00ad397f"/>
    <w:rPr>
      <w:rFonts w:ascii="Times New Roman" w:hAnsi="Times New Roman" w:eastAsia="" w:cs="" w:cstheme="majorBidi" w:eastAsiaTheme="majorEastAsia"/>
      <w:b/>
      <w:color w:val="2E74B5" w:themeColor="accent1" w:themeShade="bf"/>
      <w:sz w:val="26"/>
      <w:szCs w:val="26"/>
    </w:rPr>
  </w:style>
  <w:style w:type="character" w:styleId="HeaderChar" w:customStyle="1">
    <w:name w:val="Header Char"/>
    <w:basedOn w:val="DefaultParagraphFont"/>
    <w:link w:val="Header"/>
    <w:uiPriority w:val="99"/>
    <w:qFormat/>
    <w:rsid w:val="00e648de"/>
    <w:rPr/>
  </w:style>
  <w:style w:type="character" w:styleId="FooterChar" w:customStyle="1">
    <w:name w:val="Footer Char"/>
    <w:basedOn w:val="DefaultParagraphFont"/>
    <w:link w:val="Footer"/>
    <w:uiPriority w:val="99"/>
    <w:qFormat/>
    <w:rsid w:val="00e648de"/>
    <w:rPr/>
  </w:style>
  <w:style w:type="character" w:styleId="InternetLink">
    <w:name w:val="Internet Link"/>
    <w:basedOn w:val="DefaultParagraphFont"/>
    <w:uiPriority w:val="99"/>
    <w:unhideWhenUsed/>
    <w:rsid w:val="00767869"/>
    <w:rPr>
      <w:color w:val="0563C1" w:themeColor="hyperlink"/>
      <w:u w:val="single"/>
    </w:rPr>
  </w:style>
  <w:style w:type="character" w:styleId="Heading3Char" w:customStyle="1">
    <w:name w:val="Heading 3 Char"/>
    <w:basedOn w:val="DefaultParagraphFont"/>
    <w:link w:val="Heading3"/>
    <w:uiPriority w:val="9"/>
    <w:semiHidden/>
    <w:qFormat/>
    <w:rsid w:val="00fb2a34"/>
    <w:rPr>
      <w:rFonts w:ascii="Calibri Light" w:hAnsi="Calibri Light" w:eastAsia="" w:cs="" w:asciiTheme="majorHAnsi" w:cstheme="majorBidi" w:eastAsiaTheme="majorEastAsia" w:hAnsiTheme="majorHAnsi"/>
      <w:color w:val="1F4D78" w:themeColor="accent1" w:themeShade="7f"/>
      <w:sz w:val="24"/>
      <w:szCs w:val="24"/>
    </w:rPr>
  </w:style>
  <w:style w:type="character" w:styleId="Strong">
    <w:name w:val="Strong"/>
    <w:basedOn w:val="DefaultParagraphFont"/>
    <w:uiPriority w:val="22"/>
    <w:qFormat/>
    <w:rsid w:val="00fb2a34"/>
    <w:rPr>
      <w:b/>
      <w:bCs/>
    </w:rPr>
  </w:style>
  <w:style w:type="character" w:styleId="Emphasis">
    <w:name w:val="Emphasis"/>
    <w:basedOn w:val="DefaultParagraphFont"/>
    <w:uiPriority w:val="20"/>
    <w:qFormat/>
    <w:rsid w:val="00fb2a34"/>
    <w:rPr>
      <w:i/>
      <w:iCs/>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sz w:val="20"/>
    </w:rPr>
  </w:style>
  <w:style w:type="character" w:styleId="ListLabel11">
    <w:name w:val="ListLabel 11"/>
    <w:qFormat/>
    <w:rPr>
      <w:sz w:val="20"/>
    </w:rPr>
  </w:style>
  <w:style w:type="character" w:styleId="ListLabel12">
    <w:name w:val="ListLabel 12"/>
    <w:qFormat/>
    <w:rPr>
      <w:sz w:val="20"/>
    </w:rPr>
  </w:style>
  <w:style w:type="character" w:styleId="ListLabel13">
    <w:name w:val="ListLabel 13"/>
    <w:qFormat/>
    <w:rPr>
      <w:sz w:val="20"/>
    </w:rPr>
  </w:style>
  <w:style w:type="character" w:styleId="ListLabel14">
    <w:name w:val="ListLabel 14"/>
    <w:qFormat/>
    <w:rPr>
      <w:sz w:val="20"/>
    </w:rPr>
  </w:style>
  <w:style w:type="character" w:styleId="ListLabel15">
    <w:name w:val="ListLabel 15"/>
    <w:qFormat/>
    <w:rPr>
      <w:sz w:val="20"/>
    </w:rPr>
  </w:style>
  <w:style w:type="character" w:styleId="ListLabel16">
    <w:name w:val="ListLabel 16"/>
    <w:qFormat/>
    <w:rPr>
      <w:sz w:val="20"/>
    </w:rPr>
  </w:style>
  <w:style w:type="character" w:styleId="ListLabel17">
    <w:name w:val="ListLabel 17"/>
    <w:qFormat/>
    <w:rPr>
      <w:sz w:val="20"/>
    </w:rPr>
  </w:style>
  <w:style w:type="character" w:styleId="ListLabel18">
    <w:name w:val="ListLabel 18"/>
    <w:qFormat/>
    <w:rPr>
      <w:sz w:val="20"/>
    </w:rPr>
  </w:style>
  <w:style w:type="character" w:styleId="ListLabel19">
    <w:name w:val="ListLabel 19"/>
    <w:qFormat/>
    <w:rPr>
      <w:sz w:val="20"/>
    </w:rPr>
  </w:style>
  <w:style w:type="character" w:styleId="ListLabel20">
    <w:name w:val="ListLabel 20"/>
    <w:qFormat/>
    <w:rPr>
      <w:sz w:val="20"/>
    </w:rPr>
  </w:style>
  <w:style w:type="character" w:styleId="ListLabel21">
    <w:name w:val="ListLabel 21"/>
    <w:qFormat/>
    <w:rPr>
      <w:sz w:val="20"/>
    </w:rPr>
  </w:style>
  <w:style w:type="character" w:styleId="ListLabel22">
    <w:name w:val="ListLabel 22"/>
    <w:qFormat/>
    <w:rPr>
      <w:sz w:val="20"/>
    </w:rPr>
  </w:style>
  <w:style w:type="character" w:styleId="ListLabel23">
    <w:name w:val="ListLabel 23"/>
    <w:qFormat/>
    <w:rPr>
      <w:sz w:val="20"/>
    </w:rPr>
  </w:style>
  <w:style w:type="character" w:styleId="ListLabel24">
    <w:name w:val="ListLabel 24"/>
    <w:qFormat/>
    <w:rPr>
      <w:sz w:val="20"/>
    </w:rPr>
  </w:style>
  <w:style w:type="character" w:styleId="ListLabel25">
    <w:name w:val="ListLabel 25"/>
    <w:qFormat/>
    <w:rPr>
      <w:sz w:val="20"/>
    </w:rPr>
  </w:style>
  <w:style w:type="character" w:styleId="ListLabel26">
    <w:name w:val="ListLabel 26"/>
    <w:qFormat/>
    <w:rPr>
      <w:sz w:val="20"/>
    </w:rPr>
  </w:style>
  <w:style w:type="character" w:styleId="ListLabel27">
    <w:name w:val="ListLabel 27"/>
    <w:qFormat/>
    <w:rPr>
      <w:sz w:val="20"/>
    </w:rPr>
  </w:style>
  <w:style w:type="character" w:styleId="ListLabel28">
    <w:name w:val="ListLabel 28"/>
    <w:qFormat/>
    <w:rPr>
      <w:sz w:val="20"/>
    </w:rPr>
  </w:style>
  <w:style w:type="character" w:styleId="ListLabel29">
    <w:name w:val="ListLabel 29"/>
    <w:qFormat/>
    <w:rPr>
      <w:sz w:val="20"/>
    </w:rPr>
  </w:style>
  <w:style w:type="character" w:styleId="ListLabel30">
    <w:name w:val="ListLabel 30"/>
    <w:qFormat/>
    <w:rPr>
      <w:sz w:val="20"/>
    </w:rPr>
  </w:style>
  <w:style w:type="character" w:styleId="ListLabel31">
    <w:name w:val="ListLabel 31"/>
    <w:qFormat/>
    <w:rPr>
      <w:sz w:val="20"/>
    </w:rPr>
  </w:style>
  <w:style w:type="character" w:styleId="ListLabel32">
    <w:name w:val="ListLabel 32"/>
    <w:qFormat/>
    <w:rPr>
      <w:sz w:val="20"/>
    </w:rPr>
  </w:style>
  <w:style w:type="character" w:styleId="ListLabel33">
    <w:name w:val="ListLabel 33"/>
    <w:qFormat/>
    <w:rPr>
      <w:sz w:val="20"/>
    </w:rPr>
  </w:style>
  <w:style w:type="character" w:styleId="ListLabel34">
    <w:name w:val="ListLabel 34"/>
    <w:qFormat/>
    <w:rPr>
      <w:sz w:val="20"/>
    </w:rPr>
  </w:style>
  <w:style w:type="character" w:styleId="ListLabel35">
    <w:name w:val="ListLabel 35"/>
    <w:qFormat/>
    <w:rPr>
      <w:sz w:val="20"/>
    </w:rPr>
  </w:style>
  <w:style w:type="character" w:styleId="ListLabel36">
    <w:name w:val="ListLabel 36"/>
    <w:qFormat/>
    <w:rPr>
      <w:sz w:val="20"/>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Header">
    <w:name w:val="Header"/>
    <w:basedOn w:val="Normal"/>
    <w:link w:val="HeaderChar"/>
    <w:uiPriority w:val="99"/>
    <w:unhideWhenUsed/>
    <w:rsid w:val="00e648de"/>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e648de"/>
    <w:pPr>
      <w:tabs>
        <w:tab w:val="clear" w:pos="720"/>
        <w:tab w:val="center" w:pos="4513" w:leader="none"/>
        <w:tab w:val="right" w:pos="9026" w:leader="none"/>
      </w:tabs>
      <w:spacing w:lineRule="auto" w:line="240" w:before="0" w:after="0"/>
    </w:pPr>
    <w:rPr/>
  </w:style>
  <w:style w:type="paragraph" w:styleId="TOCHeading">
    <w:name w:val="TOC Heading"/>
    <w:basedOn w:val="Heading1"/>
    <w:next w:val="Normal"/>
    <w:autoRedefine/>
    <w:uiPriority w:val="39"/>
    <w:unhideWhenUsed/>
    <w:qFormat/>
    <w:rsid w:val="00666dce"/>
    <w:pPr>
      <w:spacing w:before="240" w:after="0"/>
      <w:jc w:val="center"/>
    </w:pPr>
    <w:rPr>
      <w:sz w:val="32"/>
      <w:szCs w:val="32"/>
      <w:lang w:val="en-US"/>
    </w:rPr>
  </w:style>
  <w:style w:type="paragraph" w:styleId="Contents1">
    <w:name w:val="TOC 1"/>
    <w:basedOn w:val="Normal"/>
    <w:next w:val="Normal"/>
    <w:autoRedefine/>
    <w:uiPriority w:val="39"/>
    <w:unhideWhenUsed/>
    <w:rsid w:val="007504c3"/>
    <w:pPr>
      <w:tabs>
        <w:tab w:val="clear" w:pos="720"/>
        <w:tab w:val="left" w:pos="440" w:leader="none"/>
        <w:tab w:val="right" w:pos="9016" w:leader="dot"/>
      </w:tabs>
      <w:spacing w:before="0" w:after="100"/>
    </w:pPr>
    <w:rPr>
      <w:b/>
    </w:rPr>
  </w:style>
  <w:style w:type="paragraph" w:styleId="NormalWeb">
    <w:name w:val="Normal (Web)"/>
    <w:basedOn w:val="Normal"/>
    <w:uiPriority w:val="99"/>
    <w:unhideWhenUsed/>
    <w:qFormat/>
    <w:rsid w:val="00fb2a34"/>
    <w:pPr>
      <w:spacing w:lineRule="auto" w:line="240" w:beforeAutospacing="1" w:afterAutospacing="1"/>
      <w:jc w:val="left"/>
    </w:pPr>
    <w:rPr>
      <w:rFonts w:eastAsia="Times New Roman" w:cs="Times New Roman"/>
      <w:szCs w:val="24"/>
      <w:lang w:eastAsia="en-GB"/>
    </w:rPr>
  </w:style>
  <w:style w:type="paragraph" w:styleId="ListParagraph">
    <w:name w:val="List Paragraph"/>
    <w:basedOn w:val="Normal"/>
    <w:uiPriority w:val="34"/>
    <w:qFormat/>
    <w:rsid w:val="00fd48b9"/>
    <w:pPr>
      <w:spacing w:before="0" w:after="160"/>
      <w:ind w:left="720" w:hanging="0"/>
      <w:contextualSpacing/>
    </w:pPr>
    <w:rPr/>
  </w:style>
  <w:style w:type="paragraph" w:styleId="Contents2">
    <w:name w:val="TOC 2"/>
    <w:basedOn w:val="Normal"/>
    <w:next w:val="Normal"/>
    <w:autoRedefine/>
    <w:uiPriority w:val="39"/>
    <w:unhideWhenUsed/>
    <w:rsid w:val="007504c3"/>
    <w:pPr>
      <w:spacing w:before="0" w:after="100"/>
      <w:ind w:left="24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33060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footer" Target="footer2.xm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A59F87-CD0E-4C13-93FA-E71D2ECD3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Application>Trio_Office/6.2.8.2$Windows_x86 LibreOffice_project/</Application>
  <Pages>14</Pages>
  <Words>3133</Words>
  <Characters>18910</Characters>
  <CharactersWithSpaces>22038</CharactersWithSpaces>
  <Paragraphs>83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2026-01-21T07:06:00Z</dcterms:created>
  <dc:creator/>
  <dc:description/>
  <dc:language>en-GB</dc:language>
  <cp:lastModifiedBy/>
  <dcterms:modified xsi:type="dcterms:W3CDTF">2026-02-12T20:47:54Z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