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4D30D988" w14:paraId="0E72E748" wp14:textId="755A1CD6">
      <w:pPr>
        <w:spacing w:after="160" w:line="259" w:lineRule="auto"/>
        <w:rPr>
          <w:rFonts w:ascii="Calibri" w:hAnsi="Calibri" w:eastAsia="Calibri" w:cs="Calibri"/>
          <w:b w:val="0"/>
          <w:bCs w:val="0"/>
          <w:i w:val="0"/>
          <w:iCs w:val="0"/>
          <w:caps w:val="0"/>
          <w:smallCaps w:val="0"/>
          <w:noProof w:val="0"/>
          <w:color w:val="8EAADB" w:themeColor="accent1" w:themeTint="99" w:themeShade="FF"/>
          <w:sz w:val="28"/>
          <w:szCs w:val="28"/>
          <w:lang w:val="en-US"/>
        </w:rPr>
      </w:pPr>
    </w:p>
    <w:p xmlns:wp14="http://schemas.microsoft.com/office/word/2010/wordml" w:rsidP="6866C369" w14:paraId="7156C105" wp14:textId="03C78982">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866C369" w:rsidR="4D30D98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w:t>
      </w:r>
    </w:p>
    <w:p xmlns:wp14="http://schemas.microsoft.com/office/word/2010/wordml" w:rsidP="6866C369" w14:paraId="17003B42" wp14:textId="24D24F94">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866C369" w:rsidR="6866C36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In the case of Tweddle v Atkinson (1861) it was established that the general rule under the doctrine of </w:t>
      </w:r>
      <w:r w:rsidRPr="6866C369" w:rsidR="6866C36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privity</w:t>
      </w:r>
      <w:r w:rsidRPr="6866C369" w:rsidR="6866C36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is that if a party has not provided consideration for an agreement, they cannot sue to enforce that contract or be sued under it. Additionally, it was established that </w:t>
      </w:r>
      <w:r w:rsidRPr="6866C369" w:rsidR="6866C36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consideration</w:t>
      </w:r>
      <w:r w:rsidRPr="6866C369" w:rsidR="6866C36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must flow from the </w:t>
      </w:r>
      <w:r w:rsidRPr="6866C369" w:rsidR="6866C36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Promisee</w:t>
      </w:r>
      <w:r w:rsidRPr="6866C369" w:rsidR="6866C36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This is reinforced within the case of </w:t>
      </w:r>
      <w:r w:rsidRPr="6866C369" w:rsidR="6866C36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Dunlop Pneumatic Tyre Co Ltd v Selfridge &amp; Co Ltd (1915). </w:t>
      </w:r>
      <w:r w:rsidRPr="6866C369" w:rsidR="4D30D98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However, privity does have exceptions such as third parties are able to sue manufacturers for faulty goods even though they are not parties to the original contract. Furthermore, Practical Law (2022) states that the UK Contracts (Rights of Third Parties) Act 1999, refined the privity of contract rule and gives a person who is not a party to a contract a right to enforce </w:t>
      </w:r>
      <w:r w:rsidRPr="6866C369" w:rsidR="4D30D98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 term</w:t>
      </w:r>
      <w:r w:rsidRPr="6866C369" w:rsidR="4D30D98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of that contract in specific circumstances.</w:t>
      </w:r>
    </w:p>
    <w:p w:rsidR="6866C369" w:rsidP="6866C369" w:rsidRDefault="6866C369" w14:paraId="04FA86A0" w14:textId="329D4D9E">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xmlns:wp14="http://schemas.microsoft.com/office/word/2010/wordml" w:rsidP="6866C369" w14:paraId="7C5F8664" wp14:textId="5AB87DA7">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866C369" w:rsidR="4D30D98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B.</w:t>
      </w:r>
    </w:p>
    <w:p xmlns:wp14="http://schemas.microsoft.com/office/word/2010/wordml" w:rsidP="6866C369" w14:paraId="3638F455" wp14:textId="520E1636">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4471C4" w:themeColor="accent1" w:themeTint="99" w:themeShade="FF"/>
          <w:sz w:val="22"/>
          <w:szCs w:val="22"/>
          <w:lang w:val="en-GB"/>
        </w:rPr>
      </w:pPr>
    </w:p>
    <w:p w:rsidR="4D30D988" w:rsidP="6866C369" w:rsidRDefault="4D30D988" w14:paraId="7177538A" w14:textId="2FC70229">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866C369" w:rsidR="4D30D98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In the case of Dunlop v Selfridge (1915) consideration is defined as ‘’ an act or forbearance of one party; or the promise thereof, is the price for white the promise of the other is bought, and the promise thus given for value is </w:t>
      </w:r>
      <w:r w:rsidRPr="6866C369" w:rsidR="4D30D98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enforceable’’</w:t>
      </w:r>
      <w:r w:rsidRPr="6866C369" w:rsidR="4D30D98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6866C369" w:rsidR="4D30D98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Past consideration is a promise or an act that was made or performed prior to a </w:t>
      </w:r>
      <w:r w:rsidRPr="6866C369" w:rsidR="4D30D98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contract, thus the past consideration ‘’is not given in exchange for the intended promise’’ (Clarence, 1913). Therefore, within a contract, past consideration does not count as valid consideration. </w:t>
      </w:r>
    </w:p>
    <w:p xmlns:wp14="http://schemas.microsoft.com/office/word/2010/wordml" w:rsidP="6866C369" w14:paraId="711E4E37" wp14:textId="42DB59BE">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866C369" w:rsidR="4D30D98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However, there is an </w:t>
      </w:r>
      <w:r w:rsidRPr="6866C369" w:rsidR="4D30D98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exception to</w:t>
      </w:r>
      <w:r w:rsidRPr="6866C369" w:rsidR="4D30D98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 doctrine of past consideration. If someone is asked to carry out a task and they assume that a price will be fixed later, there is consideration in the form of an ‘’implied promised to pay at a reasonable </w:t>
      </w:r>
      <w:r w:rsidRPr="6866C369" w:rsidR="4D30D98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rate’’</w:t>
      </w:r>
      <w:r w:rsidRPr="6866C369" w:rsidR="4D30D98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(Croner-I, 2022) also known as the doctrine of implied assumpsit. </w:t>
      </w:r>
      <w:r w:rsidRPr="6866C369" w:rsidR="4D30D98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This principle applies in the case of Pao </w:t>
      </w:r>
      <w:r w:rsidRPr="6866C369" w:rsidR="4D30D98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On</w:t>
      </w:r>
      <w:r w:rsidRPr="6866C369" w:rsidR="4D30D98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v Lau Yin Long (1980) where it was </w:t>
      </w:r>
      <w:r w:rsidRPr="6866C369" w:rsidR="4D30D98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established</w:t>
      </w:r>
      <w:r w:rsidRPr="6866C369" w:rsidR="4D30D98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that an act performed before a promise is made can sometimes be valid consideration. However, the act must be done at the promisor's request and the parties must have understood that the act was to be reimbursed. This exception to the doctrine of past consideration was </w:t>
      </w:r>
      <w:r w:rsidRPr="6866C369" w:rsidR="4D30D98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established</w:t>
      </w:r>
      <w:r w:rsidRPr="6866C369" w:rsidR="4D30D98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in the </w:t>
      </w:r>
      <w:r w:rsidRPr="6866C369" w:rsidR="4D30D98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Lampleigh</w:t>
      </w:r>
      <w:r w:rsidRPr="6866C369" w:rsidR="4D30D98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v Braithwaite (1615) case where the court held that if a party does something at the request of another party, and the same party later promises something in return for the other parties' trouble, then that promise is considered good consideration. This is because the </w:t>
      </w:r>
      <w:r w:rsidRPr="6866C369" w:rsidR="4D30D98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later promise</w:t>
      </w:r>
      <w:r w:rsidRPr="6866C369" w:rsidR="4D30D98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is considered a part of the same single transaction and thus is </w:t>
      </w:r>
      <w:r w:rsidRPr="6866C369" w:rsidR="4D30D98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consequently</w:t>
      </w:r>
      <w:r w:rsidRPr="6866C369" w:rsidR="4D30D98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enforceable. Additionally, t</w:t>
      </w:r>
      <w:r w:rsidRPr="6866C369" w:rsidR="4D30D98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his is also seen in the Re Casey’s Patents (1892) case where past consideration was enforceable as both parties understood that past work done conducted would be remunerated.</w:t>
      </w:r>
    </w:p>
    <w:p w:rsidR="4D30D988" w:rsidP="6866C369" w:rsidRDefault="4D30D988" w14:paraId="21777CB8" w14:textId="04971DDE">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866C369" w:rsidR="4D30D98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Therefore, past consideration does not amount to good consideration unless it falls within the doctrine of implied </w:t>
      </w:r>
      <w:r w:rsidRPr="6866C369" w:rsidR="4D30D98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assumpit</w:t>
      </w:r>
      <w:r w:rsidRPr="6866C369" w:rsidR="4D30D98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p>
    <w:p w:rsidR="6866C369" w:rsidP="6866C369" w:rsidRDefault="6866C369" w14:paraId="52FC7D01" w14:textId="1B70959E">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6866C369" w:rsidP="6866C369" w:rsidRDefault="6866C369" w14:paraId="59DB7947" w14:textId="345646D6">
      <w:pPr>
        <w:pStyle w:val="Normal"/>
        <w:jc w:val="center"/>
        <w:rPr>
          <w:rFonts w:ascii="Calibri" w:hAnsi="Calibri" w:eastAsia="Calibri" w:cs="Calibri"/>
          <w:b w:val="0"/>
          <w:bCs w:val="0"/>
          <w:i w:val="0"/>
          <w:iCs w:val="0"/>
          <w:noProof w:val="0"/>
          <w:sz w:val="33"/>
          <w:szCs w:val="33"/>
          <w:lang w:val="en-GB"/>
        </w:rPr>
      </w:pPr>
    </w:p>
    <w:p w:rsidR="6866C369" w:rsidP="6866C369" w:rsidRDefault="6866C369" w14:paraId="7B15849A" w14:textId="02F727CB">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xmlns:wp14="http://schemas.microsoft.com/office/word/2010/wordml" w:rsidP="6866C369" w14:paraId="25D2D773" wp14:textId="239449C1">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xmlns:wp14="http://schemas.microsoft.com/office/word/2010/wordml" w:rsidP="6866C369" w14:paraId="4C354714" wp14:textId="40DC65F4">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xmlns:wp14="http://schemas.microsoft.com/office/word/2010/wordml" w:rsidP="6866C369" w14:paraId="29E83F9F" wp14:textId="4714DFD9">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xmlns:wp14="http://schemas.microsoft.com/office/word/2010/wordml" w:rsidP="6866C369" w14:paraId="75DADE4D" wp14:textId="5EEAB7E6">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xmlns:wp14="http://schemas.microsoft.com/office/word/2010/wordml" w:rsidP="6866C369" w14:paraId="7493727A" wp14:textId="1D1BFE94">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866C369" w:rsidR="4D30D98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w:t>
      </w:r>
    </w:p>
    <w:p xmlns:wp14="http://schemas.microsoft.com/office/word/2010/wordml" w:rsidP="6866C369" w14:paraId="0312F788" wp14:textId="13C7E450">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xmlns:wp14="http://schemas.microsoft.com/office/word/2010/wordml" w:rsidP="6866C369" w14:paraId="00A24E37" wp14:textId="36B3BAA5">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866C369" w:rsidR="4D30D98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 case of Cutter v Powell (1795) established that if </w:t>
      </w:r>
      <w:r w:rsidRPr="6866C369" w:rsidR="4D30D98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price</w:t>
      </w:r>
      <w:r w:rsidRPr="6866C369" w:rsidR="4D30D98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is payable on completion of the contract, then to be paid as promised, completion is required. Therefore, completion is a requirement for payment. However, the harshness of this rule has been mitigated through exceptions. </w:t>
      </w:r>
    </w:p>
    <w:p xmlns:wp14="http://schemas.microsoft.com/office/word/2010/wordml" w:rsidP="6866C369" w14:paraId="1A2ADFFF" wp14:textId="32B77590">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866C369" w:rsidR="4D30D98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 the case of Hoeing v Isaac (1952) the entire performance rule was mitigated by the ‘sustainable performance’ exception. This is where the party can sue for the contract price if they have completed the contract’s main purpose.</w:t>
      </w:r>
    </w:p>
    <w:p xmlns:wp14="http://schemas.microsoft.com/office/word/2010/wordml" w:rsidP="6866C369" w14:paraId="480B6F2A" wp14:textId="060076DC">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866C369" w:rsidR="4D30D98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Additionally, the entire performance rule was mitigated by the possibility of making a claim in restitution for payment for partial performance of a contract. </w:t>
      </w:r>
    </w:p>
    <w:p xmlns:wp14="http://schemas.microsoft.com/office/word/2010/wordml" w:rsidP="6866C369" w14:paraId="46142DFF" wp14:textId="35674F70">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866C369" w:rsidR="4D30D98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In </w:t>
      </w:r>
      <w:r w:rsidRPr="6866C369" w:rsidR="4D30D988">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Sumpter v Hedges</w:t>
      </w:r>
      <w:r w:rsidRPr="6866C369" w:rsidR="4D30D98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(1898) it was determined that </w:t>
      </w:r>
      <w:r w:rsidRPr="6866C369" w:rsidR="4D30D98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when one party agrees to accept partial performance then a sum is payable for the work completed. Additionally, in the case</w:t>
      </w:r>
      <w:r w:rsidRPr="6866C369" w:rsidR="4D30D98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of </w:t>
      </w:r>
      <w:r w:rsidRPr="6866C369" w:rsidR="4D30D988">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Simantob</w:t>
      </w:r>
      <w:r w:rsidRPr="6866C369" w:rsidR="4D30D988">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 v </w:t>
      </w:r>
      <w:r w:rsidRPr="6866C369" w:rsidR="4D30D988">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Shavleyan</w:t>
      </w:r>
      <w:r w:rsidRPr="6866C369" w:rsidR="4D30D988">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 (2019)</w:t>
      </w:r>
      <w:r w:rsidRPr="6866C369" w:rsidR="4D30D988">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 it is established </w:t>
      </w:r>
      <w:r w:rsidRPr="6866C369" w:rsidR="4D30D98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that on the arrangement to perform partial performance of a contract, parties should consider and specify where that agreement is intended to discharge the original obligations or the parties. As well as this, the terms of the contract what allow part performance should be signed as a deed to avoid any uncertainty about where there is good consideration. Moreover, if the underlying contractual obligation is disputed, it may be argued that the agreement to make part performance was supported by good consideration. </w:t>
      </w:r>
    </w:p>
    <w:p xmlns:wp14="http://schemas.microsoft.com/office/word/2010/wordml" w:rsidP="6866C369" w14:paraId="191C4E85" wp14:textId="22CBDE31">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866C369" w:rsidR="4D30D98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Furthermore, there is an exception to the entire performance rule in severable contracts, which are contracts with ‘’two or more agreements that are distinct enough to where the unenforceability or breach of one does not nullify the enforceability of another’’ (Cornell Law School, 2022). In the case of Ritchie V Atkinson (1808), it was determined that although the claimant only carried out part of the agreement, the contract could be divided into separate parts and thus was entitled to payment for the work carried out. However, the defendant was also entitled to damages caused by the work not carried out by the claimant. Therefore, if a contract can be divided into separate parts, the courts can award a sum for the separate parts of the contract that have been completed. </w:t>
      </w:r>
    </w:p>
    <w:p xmlns:wp14="http://schemas.microsoft.com/office/word/2010/wordml" w:rsidP="6866C369" w14:paraId="53991EF2" wp14:textId="64FA5065">
      <w:pPr>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866C369" w:rsidR="4D30D98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p>
    <w:p xmlns:wp14="http://schemas.microsoft.com/office/word/2010/wordml" w:rsidP="6866C369" w14:paraId="75BE8F48" wp14:textId="57D296BE">
      <w:pPr>
        <w:pStyle w:val="Normal"/>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866C369" w:rsidR="4D30D98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p>
    <w:p xmlns:wp14="http://schemas.microsoft.com/office/word/2010/wordml" w:rsidP="6866C369" w14:paraId="6B2A027B" wp14:textId="5EF9DD45">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p>
    <w:p xmlns:wp14="http://schemas.microsoft.com/office/word/2010/wordml" w:rsidP="6866C369" w14:paraId="6EBA1376" wp14:textId="373ED4A4">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xmlns:wp14="http://schemas.microsoft.com/office/word/2010/wordml" w:rsidP="6866C369" w14:paraId="2D416501" wp14:textId="1124526E">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xmlns:wp14="http://schemas.microsoft.com/office/word/2010/wordml" w:rsidP="6866C369" w14:paraId="2AA7C05D" wp14:textId="4ACBB745">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4471C4" w:themeColor="accent1" w:themeTint="99" w:themeShade="FF"/>
          <w:sz w:val="22"/>
          <w:szCs w:val="22"/>
          <w:lang w:val="en-GB"/>
        </w:rPr>
      </w:pPr>
    </w:p>
    <w:p xmlns:wp14="http://schemas.microsoft.com/office/word/2010/wordml" w:rsidP="6866C369" w14:paraId="6A565849" wp14:textId="606159E0">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4471C4" w:themeColor="accent1" w:themeTint="99" w:themeShade="FF"/>
          <w:sz w:val="22"/>
          <w:szCs w:val="22"/>
          <w:lang w:val="en-GB"/>
        </w:rPr>
      </w:pPr>
    </w:p>
    <w:p xmlns:wp14="http://schemas.microsoft.com/office/word/2010/wordml" w:rsidP="6866C369" w14:paraId="07791406" wp14:textId="437BF1AD">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4471C4" w:themeColor="accent1" w:themeTint="99" w:themeShade="FF"/>
          <w:sz w:val="22"/>
          <w:szCs w:val="22"/>
          <w:lang w:val="en-GB"/>
        </w:rPr>
      </w:pPr>
    </w:p>
    <w:p xmlns:wp14="http://schemas.microsoft.com/office/word/2010/wordml" w:rsidP="6866C369" w14:paraId="2BF18C4B" wp14:textId="76AEA4C6">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4471C4" w:themeColor="accent1" w:themeTint="99" w:themeShade="FF"/>
          <w:sz w:val="22"/>
          <w:szCs w:val="22"/>
          <w:lang w:val="en-GB"/>
        </w:rPr>
      </w:pPr>
    </w:p>
    <w:p xmlns:wp14="http://schemas.microsoft.com/office/word/2010/wordml" w:rsidP="6866C369" w14:paraId="76489401" wp14:textId="4659F571">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6866C369" w:rsidR="4D30D98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D. </w:t>
      </w:r>
    </w:p>
    <w:p w:rsidR="6866C369" w:rsidP="6866C369" w:rsidRDefault="6866C369" w14:paraId="5E1254A3" w14:textId="4B84B2A6">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6866C369" w:rsidR="6866C36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Phillips (1978) states that a contract can only </w:t>
      </w:r>
      <w:r w:rsidRPr="6866C369" w:rsidR="6866C36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exists</w:t>
      </w:r>
      <w:r w:rsidRPr="6866C369" w:rsidR="6866C36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when there is an intention to create legal intention, where there is an offer to do or refrain from doing an act, acceptance of that offer and valid consideration between parties. </w:t>
      </w:r>
    </w:p>
    <w:p w:rsidR="6866C369" w:rsidP="6866C369" w:rsidRDefault="6866C369" w14:paraId="44850FD7" w14:textId="43816E4D">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w:rsidR="6866C369" w:rsidP="6866C369" w:rsidRDefault="6866C369" w14:paraId="4956FBA1" w14:textId="2E5CAA07">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xmlns:wp14="http://schemas.microsoft.com/office/word/2010/wordml" w:rsidP="6866C369" w14:paraId="1CFD7523" wp14:textId="5D012442">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6866C369" w:rsidR="4D30D98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On the first of May Arthur posted an advert selling his Antique Rolex watch. In the case of Partridge v Crittenden (1968) the court held that advertisements are considered an invitation to treat and not are not considered an offer. Therefore, an invitation to treat cannot be accepted. Consequently, an offer must be placed and then accepted </w:t>
      </w:r>
      <w:r w:rsidRPr="6866C369" w:rsidR="4D30D98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in order for</w:t>
      </w:r>
      <w:r w:rsidRPr="6866C369" w:rsidR="4D30D98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 invitation to treat to result in a valid agreement. Moreover, advertisements of a bilateral contract are considered invitations to treat, whereas unilateral </w:t>
      </w:r>
      <w:r w:rsidRPr="6866C369" w:rsidR="4D30D98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contacts</w:t>
      </w:r>
      <w:r w:rsidRPr="6866C369" w:rsidR="4D30D98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are considered an offer. As the advertisement </w:t>
      </w:r>
      <w:r w:rsidRPr="6866C369" w:rsidR="4D30D98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of</w:t>
      </w:r>
      <w:r w:rsidRPr="6866C369" w:rsidR="4D30D98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the Rolex Watch is a two-way exchange of money for the sale of the watch, it is considered a bilateral contract. As a result of this, the advertisement of the Antique Rolex watch was an invitation to treat and therefore can be viewed as an invite to an offer or an invitation to negotiate. Furthermore, in the case of Clifton v Palumbo (1944) a mere statement of price was not considered an offer and therefore, although Arthur states in his advertisement that he is prepared to sell his watch for £15000, it is an invitation to treat, not an offer.</w:t>
      </w:r>
    </w:p>
    <w:p xmlns:wp14="http://schemas.microsoft.com/office/word/2010/wordml" w:rsidP="6866C369" w14:paraId="1B1F3316" wp14:textId="5D8742D8">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6866C369" w:rsidR="4D30D98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As a result of Arthurs advertisement being an invitation to treat, Ben’s postal offer on the Fourth of May of £15000 for Arthur’s watch, must be accepted by Arthur for a valid agreement to take place. Although in the Adams v Lindsell (1818) case acceptance takes effect on posting, the contract is made at the time of posting and therefore, takes priority over another contract made after the original acceptance posted. As </w:t>
      </w:r>
      <w:r w:rsidRPr="6866C369" w:rsidR="4D30D98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Arthur's</w:t>
      </w:r>
      <w:r w:rsidRPr="6866C369" w:rsidR="4D30D98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advertisement was an invitation to treat, not an offer, it cannot be accepted for valid agreement to take place. As a result of this, the postal rule does not apply and consequently Ben has posted an offer, not acceptance</w:t>
      </w:r>
      <w:r w:rsidRPr="6866C369" w:rsidR="4D30D98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to which Arthur does not accept, therefore no valid agreement </w:t>
      </w:r>
      <w:r w:rsidRPr="6866C369" w:rsidR="4D30D98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takes</w:t>
      </w:r>
      <w:r w:rsidRPr="6866C369" w:rsidR="4D30D98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place between Arthur and Ben. As a result of this, no valid contract was created through Ben’s letter and therefore, no valid contract exists between Arther and Ben. </w:t>
      </w:r>
    </w:p>
    <w:p xmlns:wp14="http://schemas.microsoft.com/office/word/2010/wordml" w:rsidP="6866C369" w14:paraId="2EFEEFCA" wp14:textId="1809C2CE">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6866C369" w:rsidR="4D30D98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On the fifth of May Christine offered £11,000 for Arthurs £15,000 watch. On the same day Arthur responds to Chrstine stating that he is willing to accept £13,000 for his watch. In the case of Hyde v Wrench (1840) it is established that an offer containing </w:t>
      </w:r>
      <w:r w:rsidRPr="6866C369" w:rsidR="4D30D98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new terms</w:t>
      </w:r>
      <w:r w:rsidRPr="6866C369" w:rsidR="4D30D98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has the same effect as rejecting the original offer and thus ends the original offer. As Arthurs responded to Christine that he is willing to accept £13,000 not her offer of £11,000, he has created </w:t>
      </w:r>
      <w:r w:rsidRPr="6866C369" w:rsidR="4D30D98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new terms</w:t>
      </w:r>
      <w:r w:rsidRPr="6866C369" w:rsidR="4D30D98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as a result rejecting Christines offer by making a counteroffer, ending her original offer. </w:t>
      </w:r>
    </w:p>
    <w:p xmlns:wp14="http://schemas.microsoft.com/office/word/2010/wordml" w:rsidP="6866C369" w14:paraId="1E0BB1C0" wp14:textId="7681B55A">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6866C369" w:rsidR="4D30D98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Additionally, in the case of Pickfords Ltd v Celestica Ltd (2003) it is rules that by the offeror making a second offer to the same offeree, it could imply that the first offer is revoked although not specifically stated. Therefore, although not specifically stated, Arthur has rejected Christines offer of £11,000 for his watch.</w:t>
      </w:r>
    </w:p>
    <w:p xmlns:wp14="http://schemas.microsoft.com/office/word/2010/wordml" w:rsidP="6866C369" w14:paraId="198DBE08" wp14:textId="080DE947">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6866C369" w:rsidR="4D30D98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Chrstine then responds to Arthur's counteroffer, stating that she is willing to pay £11,000 and then the remaining £2000 </w:t>
      </w:r>
      <w:r w:rsidRPr="6866C369" w:rsidR="4D30D98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at a later date</w:t>
      </w:r>
      <w:r w:rsidRPr="6866C369" w:rsidR="4D30D98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Although this offer amounts to the £13000 Arthur stated he is willing to accept for his watch, Christines offer contains </w:t>
      </w:r>
      <w:r w:rsidRPr="6866C369" w:rsidR="4D30D98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new terms</w:t>
      </w:r>
      <w:r w:rsidRPr="6866C369" w:rsidR="4D30D98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and therefore does not follow the mirror image rule. For this reason, Christines offer is not acceptance and is considered rejection of the original offer as a </w:t>
      </w:r>
      <w:r w:rsidRPr="6866C369" w:rsidR="4D30D98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counteroffer</w:t>
      </w:r>
      <w:r w:rsidRPr="6866C369" w:rsidR="4D30D98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has been made, as established in the Hyde v Wrench (1840) case. Moreover, Arther does not accept Christines offer. As a result of this, no valid acceptance or agreement takes place between Arthur and Christine on the fifth of May. </w:t>
      </w:r>
    </w:p>
    <w:p xmlns:wp14="http://schemas.microsoft.com/office/word/2010/wordml" w:rsidP="6866C369" w14:paraId="014C69A6" wp14:textId="67DF29FE">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6866C369" w:rsidR="4D30D98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On the sixth of May Christine offers to pay Arthur the full £13000. However, as Christine on the fifth of May offered a counteroffer to Arthur, rejecting and ending Arthurs original offer of £13000, this is not considered acceptance but considered a new offer to Arthur to which he must accept for a valid agreement to take place. Arthur does not accept Christines offer of £13000 for his watch thus no valid agreement, acceptance or contract is established between Arthur and Christine of the sixth of May. </w:t>
      </w:r>
    </w:p>
    <w:p w:rsidR="6866C369" w:rsidP="6866C369" w:rsidRDefault="6866C369" w14:paraId="3B8DF0CE" w14:textId="5854F5CB">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6866C369" w:rsidR="6866C36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However, in the case of Stevenson Jaques and Co. V McLean the court ruled that inquiring for more information to see if an offer could be changed is not a </w:t>
      </w:r>
      <w:r w:rsidRPr="6866C369" w:rsidR="6866C36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counteroffer</w:t>
      </w:r>
      <w:r w:rsidRPr="6866C369" w:rsidR="6866C36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if there is no specific wording that indicates that a </w:t>
      </w:r>
      <w:r w:rsidRPr="6866C369" w:rsidR="6866C36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counteroffer</w:t>
      </w:r>
      <w:r w:rsidRPr="6866C369" w:rsidR="6866C36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is being made. Therefore, if the courts considered Christines’ email on the 5</w:t>
      </w:r>
      <w:r w:rsidRPr="6866C369" w:rsidR="6866C36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vertAlign w:val="superscript"/>
          <w:lang w:val="en-GB"/>
        </w:rPr>
        <w:t>th</w:t>
      </w:r>
      <w:r w:rsidRPr="6866C369" w:rsidR="6866C36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of May to pay £11,000 now and then £2000 at the end of the month for Arthurs watch as a request for information and not a counteroffer, it would then mean that Arthurs offer of £13,000 to Christine remained open and had not ended on the 5</w:t>
      </w:r>
      <w:r w:rsidRPr="6866C369" w:rsidR="6866C36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vertAlign w:val="superscript"/>
          <w:lang w:val="en-GB"/>
        </w:rPr>
        <w:t>th</w:t>
      </w:r>
      <w:r w:rsidRPr="6866C369" w:rsidR="6866C36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of May.</w:t>
      </w:r>
    </w:p>
    <w:p w:rsidR="6866C369" w:rsidP="6866C369" w:rsidRDefault="6866C369" w14:paraId="2836498F" w14:textId="1A0A5230">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FF0000"/>
          <w:sz w:val="22"/>
          <w:szCs w:val="22"/>
          <w:lang w:val="en-GB"/>
        </w:rPr>
      </w:pPr>
      <w:r w:rsidRPr="6866C369" w:rsidR="6866C36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As a result of this, it would mean that Christines email to Arthur of the 6</w:t>
      </w:r>
      <w:r w:rsidRPr="6866C369" w:rsidR="6866C36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vertAlign w:val="superscript"/>
          <w:lang w:val="en-GB"/>
        </w:rPr>
        <w:t>th</w:t>
      </w:r>
      <w:r w:rsidRPr="6866C369" w:rsidR="6866C36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of May would be considered acceptance to Arthurs offer of £13000 for his watch on the 5</w:t>
      </w:r>
      <w:r w:rsidRPr="6866C369" w:rsidR="6866C36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vertAlign w:val="superscript"/>
          <w:lang w:val="en-GB"/>
        </w:rPr>
        <w:t>th</w:t>
      </w:r>
      <w:r w:rsidRPr="6866C369" w:rsidR="6866C36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of May. Thus, there would be a valid agreement created between Arthur and Christine. </w:t>
      </w:r>
    </w:p>
    <w:p xmlns:wp14="http://schemas.microsoft.com/office/word/2010/wordml" w:rsidP="6866C369" w14:paraId="7B5718DD" wp14:textId="4E8A92B4">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6866C369" w:rsidR="4D30D98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Moreover, on the Sixth of May, Dennis emails Arthur conveying his interest in his watch. </w:t>
      </w:r>
      <w:r w:rsidRPr="6866C369" w:rsidR="4D30D98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Arthur</w:t>
      </w:r>
      <w:r w:rsidRPr="6866C369" w:rsidR="4D30D98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responds, clearly establishing that he is willing to sell his watch for £13000. The principles in the case of Clifton v Palumbo (1944) establish that an offer reveals the offeror’s intention to create a legally binding contract and therefore, a valid </w:t>
      </w:r>
      <w:r w:rsidRPr="6866C369" w:rsidR="4D30D98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contract</w:t>
      </w:r>
      <w:r w:rsidRPr="6866C369" w:rsidR="4D30D98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would be established if the offeree accepts. Hense, </w:t>
      </w:r>
      <w:r w:rsidRPr="6866C369" w:rsidR="4D30D98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Arthur's</w:t>
      </w:r>
      <w:r w:rsidRPr="6866C369" w:rsidR="4D30D98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response to Dennis establishes that he has intention to create a legally binding contract. </w:t>
      </w:r>
    </w:p>
    <w:p xmlns:wp14="http://schemas.microsoft.com/office/word/2010/wordml" w:rsidP="6866C369" w14:paraId="59C56D82" wp14:textId="7813594B">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6866C369" w:rsidR="4D30D98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Denis then responds, agreeing to Arthurs offer of £13000 for his watch. The case of </w:t>
      </w:r>
      <w:r w:rsidRPr="6866C369" w:rsidR="4D30D98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Blue</w:t>
      </w:r>
      <w:r w:rsidRPr="6866C369" w:rsidR="4D30D98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v Ashley (2017) sees that there is no intention to create legal relations through vague language or through a social context. As Dennis’ email was not through a social context and his language is clear when accepting Arthur’s offer, it is </w:t>
      </w:r>
      <w:r w:rsidRPr="6866C369" w:rsidR="4D30D98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demonstrated</w:t>
      </w:r>
      <w:r w:rsidRPr="6866C369" w:rsidR="4D30D98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that there is intention to create legal relations on both Arthurs and Dennis’ part. Additionally, in the case of Clifton v Palubo (1944) a valid contract is concluded if the offeree accepts the </w:t>
      </w:r>
      <w:r w:rsidRPr="6866C369" w:rsidR="4D30D98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offeror's</w:t>
      </w:r>
      <w:r w:rsidRPr="6866C369" w:rsidR="4D30D98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offer, to which Dennis does. </w:t>
      </w:r>
    </w:p>
    <w:p xmlns:wp14="http://schemas.microsoft.com/office/word/2010/wordml" w:rsidP="6866C369" w14:paraId="486A30BB" wp14:textId="08FF501B">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6866C369" w:rsidR="4D30D98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Additionally, in the case of Gison v Manchester city council (1979) the House of Lords established that agreement exists when a clear offer is made mirrored with clear acceptance. Arthur clearly stated that he is willing to sell his Rolex watch for £13000, to which Dennis agreed to pay with no modifications. As well as this, as established in the Entores v Miles Far East corporation (1955) case, acceptance must be fully communicated to be valid, to which Dennis has does through email. Therefore, there is </w:t>
      </w:r>
      <w:r w:rsidRPr="6866C369" w:rsidR="4D30D98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valid</w:t>
      </w:r>
      <w:r w:rsidRPr="6866C369" w:rsidR="4D30D98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agreement between Dennis and Arthur. Moreover, Arthur made the offer to sell his watch for £13000 to Dennis, to which he accepted, creating a valid agreement, as the invitation to treat resulted in an offer being made and then acceptance.</w:t>
      </w:r>
    </w:p>
    <w:p xmlns:wp14="http://schemas.microsoft.com/office/word/2010/wordml" w:rsidP="6866C369" w14:paraId="7B3D51DC" wp14:textId="314536D4">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6866C369" w:rsidR="4D30D98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In addition, in the case of </w:t>
      </w:r>
      <w:r w:rsidRPr="6866C369" w:rsidR="4D30D98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Brinkibon</w:t>
      </w:r>
      <w:r w:rsidRPr="6866C369" w:rsidR="4D30D98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Ltd v </w:t>
      </w:r>
      <w:r w:rsidRPr="6866C369" w:rsidR="4D30D98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Stahag</w:t>
      </w:r>
      <w:r w:rsidRPr="6866C369" w:rsidR="4D30D98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Stahl (1983) the court deemed that acceptance sent by instantaneous forms of communication </w:t>
      </w:r>
      <w:r w:rsidRPr="6866C369" w:rsidR="4D30D98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are</w:t>
      </w:r>
      <w:r w:rsidRPr="6866C369" w:rsidR="4D30D98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effective from when they are received than from when they are sent. As Arthur is using a personal email to which he would have access to at all hours and Dennis replied to Arthurs email at a reasonable time of day, Dennis acceptance was valid when received at 5 pm on the sixth </w:t>
      </w:r>
      <w:r w:rsidRPr="6866C369" w:rsidR="4D30D98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of May.</w:t>
      </w:r>
    </w:p>
    <w:p xmlns:wp14="http://schemas.microsoft.com/office/word/2010/wordml" w:rsidP="6866C369" w14:paraId="02487654" wp14:textId="1D113F89">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6866C369" w:rsidR="4D30D98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Furthermore, within this agreement between Arthur and Dennis there is valid consideration which in the case of </w:t>
      </w:r>
      <w:r w:rsidRPr="6866C369" w:rsidR="4D30D98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Currie v Misa (1875) consideration was defined as: “some right, interest, profit or benefit accruing to one party, or some forbearance, detriment, loss or responsibility given, suffered or undertaken by the other”. Therefore, the consideration in Dennis and Arthurs case is the promise to provide the watch in exchange for the promise of payment of £</w:t>
      </w:r>
      <w:r w:rsidRPr="6866C369" w:rsidR="4D30D98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13000, also</w:t>
      </w:r>
      <w:r w:rsidRPr="6866C369" w:rsidR="4D30D98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known as executory consideration. Additionally, in the Chappel and Co Ltd v Nestle Ltd (1959) case consideration did not need to be adequate but must be of sufficient value, and therefore must be of some legal worth, to which the exchange of the watch for £13000 acts in accordance with. Moreover, in the case of Thomas v Thomas (1842) it is established that consideration is something that has value in the eyes of the law, to which the watch and the £13000 is. </w:t>
      </w:r>
      <w:r w:rsidRPr="6866C369" w:rsidR="4D30D98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Therefore,</w:t>
      </w:r>
      <w:r w:rsidRPr="6866C369" w:rsidR="4D30D98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there is valid consideration exchanged between Dennis and Arthur.</w:t>
      </w:r>
    </w:p>
    <w:p xmlns:wp14="http://schemas.microsoft.com/office/word/2010/wordml" w:rsidP="6866C369" w14:paraId="043F7A15" wp14:textId="4A1AA56B">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6866C369" w:rsidR="4D30D98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Furthermore, Arthur and Dennis have all the elements for a valid </w:t>
      </w:r>
      <w:r w:rsidRPr="6866C369" w:rsidR="4D30D98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contract</w:t>
      </w:r>
      <w:r w:rsidRPr="6866C369" w:rsidR="4D30D98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to be formed; a valid offer, valid acceptance of that offer, consideration provided by both parties and intention to create legal relations. Therefore, a valid contract exists between Dennis and Arthur for the sale of Arthurs watch.</w:t>
      </w:r>
    </w:p>
    <w:p w:rsidR="6866C369" w:rsidP="6866C369" w:rsidRDefault="6866C369" w14:paraId="0DEA816F" w14:textId="79BBFCFF">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6866C369" w:rsidR="6866C36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Nevertheless, if Chestines’ email on the 6</w:t>
      </w:r>
      <w:r w:rsidRPr="6866C369" w:rsidR="6866C36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vertAlign w:val="superscript"/>
          <w:lang w:val="en-US"/>
        </w:rPr>
        <w:t>th</w:t>
      </w:r>
      <w:r w:rsidRPr="6866C369" w:rsidR="6866C36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of May was to be considered valid acceptance as a result of her email on the 5</w:t>
      </w:r>
      <w:r w:rsidRPr="6866C369" w:rsidR="6866C36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vertAlign w:val="superscript"/>
          <w:lang w:val="en-US"/>
        </w:rPr>
        <w:t>th</w:t>
      </w:r>
      <w:r w:rsidRPr="6866C369" w:rsidR="6866C36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of May being considered a request for more information, it </w:t>
      </w:r>
      <w:r w:rsidRPr="6866C369" w:rsidR="6866C36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would result in a valid contract existing between Arthur and Christine as Arthur and Christine too would have all the elements of a valid contract. </w:t>
      </w:r>
    </w:p>
    <w:p w:rsidR="6866C369" w:rsidP="6866C369" w:rsidRDefault="6866C369" w14:paraId="7FE408C0" w14:textId="1D786F52">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p>
    <w:p w:rsidR="6866C369" w:rsidP="6866C369" w:rsidRDefault="6866C369" w14:paraId="43C16051" w14:textId="6C71A56A">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p>
    <w:p w:rsidR="6866C369" w:rsidP="6866C369" w:rsidRDefault="6866C369" w14:paraId="6673FD4B" w14:textId="7E30ECD0">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p>
    <w:p w:rsidR="6866C369" w:rsidP="6866C369" w:rsidRDefault="6866C369" w14:paraId="755644BE" w14:textId="193EB436">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p>
    <w:p w:rsidR="6866C369" w:rsidP="6866C369" w:rsidRDefault="6866C369" w14:paraId="338E31A6" w14:textId="5010EFAB">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p>
    <w:p w:rsidR="6866C369" w:rsidP="6866C369" w:rsidRDefault="6866C369" w14:paraId="012F2303" w14:textId="67C941E0">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p>
    <w:p w:rsidR="6866C369" w:rsidP="6866C369" w:rsidRDefault="6866C369" w14:paraId="30920002" w14:textId="6F95B4B6">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p>
    <w:p w:rsidR="6866C369" w:rsidP="6866C369" w:rsidRDefault="6866C369" w14:paraId="64166E05" w14:textId="62D8E3DB">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p>
    <w:p w:rsidR="6866C369" w:rsidP="6866C369" w:rsidRDefault="6866C369" w14:paraId="4808295F" w14:textId="0852A9A5">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p>
    <w:p w:rsidR="6866C369" w:rsidP="6866C369" w:rsidRDefault="6866C369" w14:paraId="56E364B1" w14:textId="28DCC29C">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p>
    <w:p w:rsidR="6866C369" w:rsidP="6866C369" w:rsidRDefault="6866C369" w14:paraId="627875CB" w14:textId="5BEFFC17">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p>
    <w:p w:rsidR="6866C369" w:rsidP="6866C369" w:rsidRDefault="6866C369" w14:paraId="2FE8114A" w14:textId="60236277">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p>
    <w:p w:rsidR="6866C369" w:rsidP="6866C369" w:rsidRDefault="6866C369" w14:paraId="0753C248" w14:textId="48E8AC2B">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p>
    <w:p w:rsidR="6866C369" w:rsidP="6866C369" w:rsidRDefault="6866C369" w14:paraId="23D248E5" w14:textId="41DA78DF">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p>
    <w:p w:rsidR="6866C369" w:rsidP="6866C369" w:rsidRDefault="6866C369" w14:paraId="1E02E1A5" w14:textId="724C5932">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p>
    <w:p xmlns:wp14="http://schemas.microsoft.com/office/word/2010/wordml" w:rsidP="4D30D988" w14:paraId="14B716A2" wp14:textId="6BA8637F">
      <w:pPr>
        <w:pStyle w:val="Normal"/>
        <w:spacing w:after="160" w:line="259" w:lineRule="auto"/>
        <w:rPr>
          <w:rFonts w:ascii="Arial" w:hAnsi="Arial" w:eastAsia="Arial" w:cs="Arial"/>
          <w:b w:val="0"/>
          <w:bCs w:val="0"/>
          <w:i w:val="0"/>
          <w:iCs w:val="0"/>
          <w:caps w:val="0"/>
          <w:smallCaps w:val="0"/>
          <w:noProof w:val="0"/>
          <w:color w:val="8EAADB" w:themeColor="accent1" w:themeTint="99" w:themeShade="FF"/>
          <w:sz w:val="28"/>
          <w:szCs w:val="28"/>
          <w:lang w:val="en-US"/>
        </w:rPr>
      </w:pPr>
      <w:r w:rsidRPr="4D30D988" w:rsidR="4D30D988">
        <w:rPr>
          <w:rFonts w:ascii="Arial" w:hAnsi="Arial" w:eastAsia="Arial" w:cs="Arial"/>
          <w:b w:val="0"/>
          <w:bCs w:val="0"/>
          <w:i w:val="0"/>
          <w:iCs w:val="0"/>
          <w:caps w:val="0"/>
          <w:smallCaps w:val="0"/>
          <w:noProof w:val="0"/>
          <w:color w:val="8EAADB" w:themeColor="accent1" w:themeTint="99" w:themeShade="FF"/>
          <w:sz w:val="28"/>
          <w:szCs w:val="28"/>
          <w:lang w:val="en-US"/>
        </w:rPr>
        <w:t xml:space="preserve">References </w:t>
      </w:r>
    </w:p>
    <w:p xmlns:wp14="http://schemas.microsoft.com/office/word/2010/wordml" w:rsidP="4D30D988" w14:paraId="5EEDDAEC" wp14:textId="409D29D6">
      <w:pPr>
        <w:pStyle w:val="Normal"/>
        <w:spacing w:after="160" w:line="259" w:lineRule="auto"/>
        <w:rPr>
          <w:rFonts w:ascii="Arial" w:hAnsi="Arial" w:eastAsia="Arial" w:cs="Arial"/>
          <w:b w:val="0"/>
          <w:bCs w:val="0"/>
          <w:i w:val="0"/>
          <w:iCs w:val="0"/>
          <w:caps w:val="0"/>
          <w:smallCaps w:val="0"/>
          <w:noProof w:val="0"/>
          <w:color w:val="8EAADB" w:themeColor="accent1" w:themeTint="99" w:themeShade="FF"/>
          <w:sz w:val="28"/>
          <w:szCs w:val="28"/>
          <w:lang w:val="en-US"/>
        </w:rPr>
      </w:pPr>
      <w:r w:rsidRPr="6866C369" w:rsidR="4D30D988">
        <w:rPr>
          <w:rFonts w:ascii="Arial" w:hAnsi="Arial" w:eastAsia="Arial" w:cs="Arial"/>
          <w:b w:val="0"/>
          <w:bCs w:val="0"/>
          <w:i w:val="0"/>
          <w:iCs w:val="0"/>
          <w:caps w:val="0"/>
          <w:smallCaps w:val="0"/>
          <w:noProof w:val="0"/>
          <w:color w:val="4471C4"/>
          <w:sz w:val="28"/>
          <w:szCs w:val="28"/>
          <w:lang w:val="en-US"/>
        </w:rPr>
        <w:t>A</w:t>
      </w:r>
    </w:p>
    <w:p w:rsidR="6866C369" w:rsidP="6866C369" w:rsidRDefault="6866C369" w14:paraId="26B5073C" w14:textId="2CC4F7E2">
      <w:pPr>
        <w:pStyle w:val="Normal"/>
        <w:spacing w:after="160" w:line="259" w:lineRule="auto"/>
        <w:rPr>
          <w:rFonts w:ascii="Roboto" w:hAnsi="Roboto" w:eastAsia="Roboto" w:cs="Roboto"/>
          <w:b w:val="0"/>
          <w:bCs w:val="0"/>
          <w:i w:val="0"/>
          <w:iCs w:val="0"/>
          <w:caps w:val="0"/>
          <w:smallCaps w:val="0"/>
          <w:noProof w:val="0"/>
          <w:color w:val="000000" w:themeColor="text1" w:themeTint="FF" w:themeShade="FF"/>
          <w:sz w:val="24"/>
          <w:szCs w:val="24"/>
          <w:lang w:val="en-US"/>
        </w:rPr>
      </w:pPr>
      <w:r w:rsidRPr="6866C369" w:rsidR="6866C369">
        <w:rPr>
          <w:rFonts w:ascii="Roboto" w:hAnsi="Roboto" w:eastAsia="Roboto" w:cs="Roboto"/>
          <w:b w:val="0"/>
          <w:bCs w:val="0"/>
          <w:i w:val="0"/>
          <w:iCs w:val="0"/>
          <w:caps w:val="0"/>
          <w:smallCaps w:val="0"/>
          <w:noProof w:val="0"/>
          <w:color w:val="000000" w:themeColor="text1" w:themeTint="FF" w:themeShade="FF"/>
          <w:sz w:val="24"/>
          <w:szCs w:val="24"/>
          <w:lang w:val="en-US"/>
        </w:rPr>
        <w:t>Tweddle v Atkinson [1861] 1 B&amp;S 393</w:t>
      </w:r>
    </w:p>
    <w:p w:rsidR="6866C369" w:rsidP="6866C369" w:rsidRDefault="6866C369" w14:paraId="5651F9E0" w14:textId="327D3718">
      <w:pPr>
        <w:pStyle w:val="Normal"/>
        <w:spacing w:after="160" w:line="259" w:lineRule="auto"/>
        <w:rPr>
          <w:rFonts w:ascii="Roboto" w:hAnsi="Roboto" w:eastAsia="Roboto" w:cs="Roboto"/>
          <w:b w:val="0"/>
          <w:bCs w:val="0"/>
          <w:i w:val="0"/>
          <w:iCs w:val="0"/>
          <w:caps w:val="0"/>
          <w:smallCaps w:val="0"/>
          <w:noProof w:val="0"/>
          <w:color w:val="000000" w:themeColor="text1" w:themeTint="FF" w:themeShade="FF"/>
          <w:sz w:val="24"/>
          <w:szCs w:val="24"/>
          <w:lang w:val="en-US"/>
        </w:rPr>
      </w:pPr>
      <w:r w:rsidRPr="6866C369" w:rsidR="6866C369">
        <w:rPr>
          <w:rFonts w:ascii="Roboto" w:hAnsi="Roboto" w:eastAsia="Roboto" w:cs="Roboto"/>
          <w:b w:val="0"/>
          <w:bCs w:val="0"/>
          <w:i w:val="0"/>
          <w:iCs w:val="0"/>
          <w:caps w:val="0"/>
          <w:smallCaps w:val="0"/>
          <w:noProof w:val="0"/>
          <w:color w:val="000000" w:themeColor="text1" w:themeTint="FF" w:themeShade="FF"/>
          <w:sz w:val="24"/>
          <w:szCs w:val="24"/>
          <w:lang w:val="en-US"/>
        </w:rPr>
        <w:t xml:space="preserve">Dunlop Pneumatic Tyre Co Ltd v Selfridge &amp; Co Ltd [1915] AC 847 </w:t>
      </w:r>
    </w:p>
    <w:p xmlns:wp14="http://schemas.microsoft.com/office/word/2010/wordml" w:rsidP="4D30D988" w14:paraId="01942F56" wp14:textId="5D7331D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D30D988" w:rsidR="4D30D988">
        <w:rPr>
          <w:rFonts w:ascii="Calibri" w:hAnsi="Calibri" w:eastAsia="Calibri" w:cs="Calibri"/>
          <w:b w:val="0"/>
          <w:bCs w:val="0"/>
          <w:i w:val="0"/>
          <w:iCs w:val="0"/>
          <w:caps w:val="0"/>
          <w:smallCaps w:val="0"/>
          <w:noProof w:val="0"/>
          <w:color w:val="000000" w:themeColor="text1" w:themeTint="FF" w:themeShade="FF"/>
          <w:sz w:val="22"/>
          <w:szCs w:val="22"/>
          <w:lang w:val="en-US"/>
        </w:rPr>
        <w:t>b.</w:t>
      </w:r>
    </w:p>
    <w:p xmlns:wp14="http://schemas.microsoft.com/office/word/2010/wordml" w:rsidP="4D30D988" w14:paraId="2FA83573" wp14:textId="22F205A4">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r w:rsidRPr="4D30D988" w:rsidR="4D30D988">
        <w:rPr>
          <w:rFonts w:ascii="Calibri" w:hAnsi="Calibri" w:eastAsia="Calibri" w:cs="Calibri"/>
          <w:b w:val="0"/>
          <w:bCs w:val="0"/>
          <w:i w:val="0"/>
          <w:iCs w:val="0"/>
          <w:caps w:val="0"/>
          <w:smallCaps w:val="0"/>
          <w:noProof w:val="0"/>
          <w:color w:val="000000" w:themeColor="text1" w:themeTint="FF" w:themeShade="FF"/>
          <w:sz w:val="22"/>
          <w:szCs w:val="22"/>
          <w:lang w:val="en-US"/>
        </w:rPr>
        <w:t xml:space="preserve">Croner-I (2022) </w:t>
      </w:r>
      <w:r w:rsidRPr="4D30D988" w:rsidR="4D30D988">
        <w:rPr>
          <w:rFonts w:ascii="Calibri" w:hAnsi="Calibri" w:eastAsia="Calibri" w:cs="Calibri"/>
          <w:b w:val="0"/>
          <w:bCs w:val="0"/>
          <w:i w:val="1"/>
          <w:iCs w:val="1"/>
          <w:caps w:val="0"/>
          <w:smallCaps w:val="0"/>
          <w:noProof w:val="0"/>
          <w:color w:val="000000" w:themeColor="text1" w:themeTint="FF" w:themeShade="FF"/>
          <w:sz w:val="22"/>
          <w:szCs w:val="22"/>
          <w:lang w:val="en-US"/>
        </w:rPr>
        <w:t xml:space="preserve">Implied Contractual Terms. </w:t>
      </w:r>
      <w:r w:rsidRPr="4D30D988" w:rsidR="4D30D988">
        <w:rPr>
          <w:rFonts w:ascii="Calibri" w:hAnsi="Calibri" w:eastAsia="Calibri" w:cs="Calibri"/>
          <w:b w:val="0"/>
          <w:bCs w:val="0"/>
          <w:i w:val="0"/>
          <w:iCs w:val="0"/>
          <w:caps w:val="0"/>
          <w:smallCaps w:val="0"/>
          <w:noProof w:val="0"/>
          <w:color w:val="000000" w:themeColor="text1" w:themeTint="FF" w:themeShade="FF"/>
          <w:sz w:val="22"/>
          <w:szCs w:val="22"/>
          <w:lang w:val="en-US"/>
        </w:rPr>
        <w:t xml:space="preserve">Available at: </w:t>
      </w:r>
      <w:hyperlink r:id="Rec7d265c98454fe9">
        <w:r w:rsidRPr="4D30D988" w:rsidR="4D30D988">
          <w:rPr>
            <w:rStyle w:val="Hyperlink"/>
            <w:rFonts w:ascii="Calibri" w:hAnsi="Calibri" w:eastAsia="Calibri" w:cs="Calibri"/>
            <w:b w:val="0"/>
            <w:bCs w:val="0"/>
            <w:i w:val="0"/>
            <w:iCs w:val="0"/>
            <w:caps w:val="0"/>
            <w:smallCaps w:val="0"/>
            <w:noProof w:val="0"/>
            <w:sz w:val="22"/>
            <w:szCs w:val="22"/>
            <w:lang w:val="en-US"/>
          </w:rPr>
          <w:t>https://app.croneri.co.uk/feature-articles/implied-contractual-terms</w:t>
        </w:r>
      </w:hyperlink>
      <w:r w:rsidRPr="4D30D988" w:rsidR="4D30D988">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4D30D988" w:rsidR="4D30D988">
        <w:rPr>
          <w:rFonts w:ascii="Calibri" w:hAnsi="Calibri" w:eastAsia="Calibri" w:cs="Calibri" w:asciiTheme="minorAscii" w:hAnsiTheme="minorAscii" w:eastAsiaTheme="minorAscii" w:cstheme="minorAscii"/>
          <w:b w:val="0"/>
          <w:bCs w:val="0"/>
          <w:i w:val="0"/>
          <w:iCs w:val="0"/>
          <w:caps w:val="0"/>
          <w:smallCaps w:val="0"/>
          <w:noProof w:val="0"/>
          <w:sz w:val="22"/>
          <w:szCs w:val="22"/>
          <w:lang w:val="en-US"/>
        </w:rPr>
        <w:t>(Accessed: 21 February 2022).</w:t>
      </w:r>
    </w:p>
    <w:p xmlns:wp14="http://schemas.microsoft.com/office/word/2010/wordml" w:rsidP="4D30D988" w14:paraId="50405408" wp14:textId="323EAD05">
      <w:pPr>
        <w:pStyle w:val="Normal"/>
        <w:spacing w:after="160" w:line="259" w:lineRule="auto"/>
        <w:rPr>
          <w:rFonts w:ascii="Calibri" w:hAnsi="Calibri" w:eastAsia="Calibri" w:cs="Calibri"/>
          <w:b w:val="0"/>
          <w:bCs w:val="0"/>
          <w:i w:val="0"/>
          <w:iCs w:val="0"/>
          <w:caps w:val="0"/>
          <w:smallCaps w:val="0"/>
          <w:noProof w:val="0"/>
          <w:color w:val="212529"/>
          <w:sz w:val="24"/>
          <w:szCs w:val="24"/>
          <w:lang w:val="en-US"/>
        </w:rPr>
      </w:pPr>
      <w:r w:rsidRPr="6866C369" w:rsidR="4D30D988">
        <w:rPr>
          <w:rFonts w:ascii="Calibri" w:hAnsi="Calibri" w:eastAsia="Calibri" w:cs="Calibri"/>
          <w:b w:val="0"/>
          <w:bCs w:val="0"/>
          <w:i w:val="0"/>
          <w:iCs w:val="0"/>
          <w:caps w:val="0"/>
          <w:smallCaps w:val="0"/>
          <w:noProof w:val="0"/>
          <w:color w:val="212529"/>
          <w:sz w:val="24"/>
          <w:szCs w:val="24"/>
          <w:lang w:val="en-US"/>
        </w:rPr>
        <w:t>Dunlop Pneumatic Tyre Co Ltd v Selfridge Ltd [1915] AC 847</w:t>
      </w:r>
    </w:p>
    <w:p xmlns:wp14="http://schemas.microsoft.com/office/word/2010/wordml" w:rsidP="4D30D988" w14:paraId="72EE7B36" wp14:textId="63C6DF9B">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r w:rsidRPr="4D30D988" w:rsidR="4D30D988">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2"/>
          <w:szCs w:val="22"/>
          <w:lang w:val="en-US"/>
        </w:rPr>
        <w:t xml:space="preserve">Lawshelf (2022) </w:t>
      </w:r>
      <w:r w:rsidRPr="4D30D988" w:rsidR="4D30D988">
        <w:rPr>
          <w:rFonts w:ascii="Calibri" w:hAnsi="Calibri" w:eastAsia="Calibri" w:cs="Calibri" w:asciiTheme="minorAscii" w:hAnsiTheme="minorAscii" w:eastAsiaTheme="minorAscii" w:cstheme="minorAscii"/>
          <w:b w:val="0"/>
          <w:bCs w:val="0"/>
          <w:i w:val="1"/>
          <w:iCs w:val="1"/>
          <w:caps w:val="0"/>
          <w:smallCaps w:val="0"/>
          <w:strike w:val="0"/>
          <w:dstrike w:val="0"/>
          <w:noProof w:val="0"/>
          <w:sz w:val="22"/>
          <w:szCs w:val="22"/>
          <w:lang w:val="en-US"/>
        </w:rPr>
        <w:t xml:space="preserve">Moral or Past Consideration. </w:t>
      </w:r>
      <w:r w:rsidRPr="4D30D988" w:rsidR="4D30D988">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2"/>
          <w:szCs w:val="22"/>
          <w:lang w:val="en-US"/>
        </w:rPr>
        <w:t xml:space="preserve">Available at: </w:t>
      </w:r>
      <w:hyperlink r:id="Rb762ad3b0a52413d">
        <w:r w:rsidRPr="4D30D988" w:rsidR="4D30D988">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2"/>
            <w:szCs w:val="22"/>
            <w:lang w:val="en-US"/>
          </w:rPr>
          <w:t>https://lawshelf.com/coursewarecontentview/moral-or-past-consideration</w:t>
        </w:r>
      </w:hyperlink>
      <w:r w:rsidRPr="4D30D988" w:rsidR="4D30D988">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2"/>
          <w:szCs w:val="22"/>
          <w:lang w:val="en-US"/>
        </w:rPr>
        <w:t xml:space="preserve"> </w:t>
      </w:r>
      <w:r w:rsidRPr="4D30D988" w:rsidR="4D30D988">
        <w:rPr>
          <w:rFonts w:ascii="Calibri" w:hAnsi="Calibri" w:eastAsia="Calibri" w:cs="Calibri" w:asciiTheme="minorAscii" w:hAnsiTheme="minorAscii" w:eastAsiaTheme="minorAscii" w:cstheme="minorAscii"/>
          <w:b w:val="0"/>
          <w:bCs w:val="0"/>
          <w:i w:val="0"/>
          <w:iCs w:val="0"/>
          <w:caps w:val="0"/>
          <w:smallCaps w:val="0"/>
          <w:noProof w:val="0"/>
          <w:sz w:val="22"/>
          <w:szCs w:val="22"/>
          <w:lang w:val="en-US"/>
        </w:rPr>
        <w:t>(Accessed: 21 February 2022).</w:t>
      </w:r>
    </w:p>
    <w:p xmlns:wp14="http://schemas.microsoft.com/office/word/2010/wordml" w:rsidP="4D30D988" w14:paraId="028190CE" wp14:textId="29688504">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pPr>
      <w:r w:rsidRPr="4D30D988" w:rsidR="4D30D988">
        <w:rPr>
          <w:rFonts w:ascii="Calibri" w:hAnsi="Calibri" w:eastAsia="Calibri" w:cs="Calibri" w:asciiTheme="minorAscii" w:hAnsiTheme="minorAscii" w:eastAsiaTheme="minorAscii" w:cstheme="minorAscii"/>
          <w:b w:val="0"/>
          <w:bCs w:val="0"/>
          <w:i w:val="0"/>
          <w:iCs w:val="0"/>
          <w:caps w:val="0"/>
          <w:smallCaps w:val="0"/>
          <w:noProof w:val="0"/>
          <w:color w:val="212529"/>
          <w:sz w:val="24"/>
          <w:szCs w:val="24"/>
          <w:lang w:val="en-US"/>
        </w:rPr>
        <w:t>Pao On v Lau Yiu Long [1980] AC 614</w:t>
      </w:r>
    </w:p>
    <w:p xmlns:wp14="http://schemas.microsoft.com/office/word/2010/wordml" w:rsidP="4D30D988" w14:paraId="53D4EA25" wp14:textId="6DCD310B">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r w:rsidRPr="6866C369" w:rsidR="4D30D988">
        <w:rPr>
          <w:rFonts w:ascii="Calibri" w:hAnsi="Calibri" w:eastAsia="Calibri" w:cs="Calibri"/>
          <w:b w:val="0"/>
          <w:bCs w:val="0"/>
          <w:i w:val="0"/>
          <w:iCs w:val="0"/>
          <w:caps w:val="0"/>
          <w:smallCaps w:val="0"/>
          <w:strike w:val="0"/>
          <w:dstrike w:val="0"/>
          <w:noProof w:val="0"/>
          <w:sz w:val="22"/>
          <w:szCs w:val="22"/>
          <w:lang w:val="en-US"/>
        </w:rPr>
        <w:t xml:space="preserve">Upcounsel (2022) </w:t>
      </w:r>
      <w:r w:rsidRPr="6866C369" w:rsidR="4D30D988">
        <w:rPr>
          <w:rFonts w:ascii="Calibri" w:hAnsi="Calibri" w:eastAsia="Calibri" w:cs="Calibri"/>
          <w:b w:val="0"/>
          <w:bCs w:val="0"/>
          <w:i w:val="1"/>
          <w:iCs w:val="1"/>
          <w:caps w:val="0"/>
          <w:smallCaps w:val="0"/>
          <w:strike w:val="0"/>
          <w:dstrike w:val="0"/>
          <w:noProof w:val="0"/>
          <w:sz w:val="22"/>
          <w:szCs w:val="22"/>
          <w:lang w:val="en-US"/>
        </w:rPr>
        <w:t xml:space="preserve">Past Consideration: Everything You Need to Know. </w:t>
      </w:r>
      <w:r w:rsidRPr="6866C369" w:rsidR="4D30D988">
        <w:rPr>
          <w:rFonts w:ascii="Calibri" w:hAnsi="Calibri" w:eastAsia="Calibri" w:cs="Calibri"/>
          <w:b w:val="0"/>
          <w:bCs w:val="0"/>
          <w:i w:val="0"/>
          <w:iCs w:val="0"/>
          <w:caps w:val="0"/>
          <w:smallCaps w:val="0"/>
          <w:strike w:val="0"/>
          <w:dstrike w:val="0"/>
          <w:noProof w:val="0"/>
          <w:sz w:val="22"/>
          <w:szCs w:val="22"/>
          <w:lang w:val="en-US"/>
        </w:rPr>
        <w:t xml:space="preserve">Available at: </w:t>
      </w:r>
      <w:hyperlink r:id="R03cb56c6680c476a">
        <w:r w:rsidRPr="6866C369" w:rsidR="4D30D988">
          <w:rPr>
            <w:rStyle w:val="Hyperlink"/>
            <w:rFonts w:ascii="Calibri" w:hAnsi="Calibri" w:eastAsia="Calibri" w:cs="Calibri"/>
            <w:b w:val="0"/>
            <w:bCs w:val="0"/>
            <w:i w:val="0"/>
            <w:iCs w:val="0"/>
            <w:caps w:val="0"/>
            <w:smallCaps w:val="0"/>
            <w:strike w:val="0"/>
            <w:dstrike w:val="0"/>
            <w:noProof w:val="0"/>
            <w:sz w:val="22"/>
            <w:szCs w:val="22"/>
            <w:lang w:val="en-US"/>
          </w:rPr>
          <w:t>https://www.upcounsel.com/past-consideration</w:t>
        </w:r>
      </w:hyperlink>
      <w:r w:rsidRPr="6866C369" w:rsidR="4D30D988">
        <w:rPr>
          <w:rFonts w:ascii="Calibri" w:hAnsi="Calibri" w:eastAsia="Calibri" w:cs="Calibri" w:asciiTheme="minorAscii" w:hAnsiTheme="minorAscii" w:eastAsiaTheme="minorAscii" w:cstheme="minorAscii"/>
          <w:b w:val="0"/>
          <w:bCs w:val="0"/>
          <w:i w:val="0"/>
          <w:iCs w:val="0"/>
          <w:caps w:val="0"/>
          <w:smallCaps w:val="0"/>
          <w:noProof w:val="0"/>
          <w:sz w:val="22"/>
          <w:szCs w:val="22"/>
          <w:lang w:val="en-US"/>
        </w:rPr>
        <w:t xml:space="preserve"> (Accessed: 21 February 2022).</w:t>
      </w:r>
    </w:p>
    <w:p xmlns:wp14="http://schemas.microsoft.com/office/word/2010/wordml" w:rsidP="6866C369" w14:paraId="6EA7FEE3" wp14:textId="2C929D00">
      <w:pPr>
        <w:spacing w:after="160" w:line="259" w:lineRule="auto"/>
        <w:rPr>
          <w:rFonts w:ascii="Calibri" w:hAnsi="Calibri" w:eastAsia="Calibri" w:cs="Calibri"/>
          <w:noProof w:val="0"/>
          <w:color w:val="FF0000"/>
          <w:sz w:val="22"/>
          <w:szCs w:val="22"/>
          <w:lang w:val="en-US"/>
        </w:rPr>
      </w:pPr>
      <w:r w:rsidRPr="6866C369" w:rsidR="6866C369">
        <w:rPr>
          <w:rFonts w:ascii="Calibri" w:hAnsi="Calibri" w:eastAsia="Calibri" w:cs="Calibri"/>
          <w:noProof w:val="0"/>
          <w:color w:val="FF0000"/>
          <w:sz w:val="22"/>
          <w:szCs w:val="22"/>
          <w:lang w:val="en-US"/>
        </w:rPr>
        <w:t xml:space="preserve">Journal - Ashley, Clarence D. (1913) “The Doctrine of Consideration.” </w:t>
      </w:r>
      <w:r w:rsidRPr="6866C369" w:rsidR="6866C369">
        <w:rPr>
          <w:rFonts w:ascii="Calibri" w:hAnsi="Calibri" w:eastAsia="Calibri" w:cs="Calibri"/>
          <w:i w:val="1"/>
          <w:iCs w:val="1"/>
          <w:noProof w:val="0"/>
          <w:color w:val="FF0000"/>
          <w:sz w:val="22"/>
          <w:szCs w:val="22"/>
          <w:lang w:val="en-US"/>
        </w:rPr>
        <w:t>Harvard Law Review</w:t>
      </w:r>
      <w:r w:rsidRPr="6866C369" w:rsidR="6866C369">
        <w:rPr>
          <w:rFonts w:ascii="Calibri" w:hAnsi="Calibri" w:eastAsia="Calibri" w:cs="Calibri"/>
          <w:noProof w:val="0"/>
          <w:color w:val="FF0000"/>
          <w:sz w:val="22"/>
          <w:szCs w:val="22"/>
          <w:lang w:val="en-US"/>
        </w:rPr>
        <w:t xml:space="preserve">, vol. 26, no. 5, The Harvard Law Review Association, 1913, pp. 429–36, </w:t>
      </w:r>
      <w:hyperlink r:id="R87e2ccf25d154c0f">
        <w:r w:rsidRPr="6866C369" w:rsidR="6866C369">
          <w:rPr>
            <w:rStyle w:val="Hyperlink"/>
            <w:rFonts w:ascii="Calibri" w:hAnsi="Calibri" w:eastAsia="Calibri" w:cs="Calibri"/>
            <w:noProof w:val="0"/>
            <w:sz w:val="22"/>
            <w:szCs w:val="22"/>
            <w:lang w:val="en-US"/>
          </w:rPr>
          <w:t>https://doi.org/10.2307/1326089</w:t>
        </w:r>
      </w:hyperlink>
      <w:r w:rsidRPr="6866C369" w:rsidR="6866C369">
        <w:rPr>
          <w:rFonts w:ascii="Calibri" w:hAnsi="Calibri" w:eastAsia="Calibri" w:cs="Calibri"/>
          <w:noProof w:val="0"/>
          <w:color w:val="FF0000"/>
          <w:sz w:val="22"/>
          <w:szCs w:val="22"/>
          <w:lang w:val="en-US"/>
        </w:rPr>
        <w:t xml:space="preserve">. Make this </w:t>
      </w:r>
      <w:r w:rsidRPr="6866C369" w:rsidR="6866C369">
        <w:rPr>
          <w:rFonts w:ascii="Calibri" w:hAnsi="Calibri" w:eastAsia="Calibri" w:cs="Calibri"/>
          <w:noProof w:val="0"/>
          <w:color w:val="FF0000"/>
          <w:sz w:val="22"/>
          <w:szCs w:val="22"/>
          <w:lang w:val="en-US"/>
        </w:rPr>
        <w:t>Harvard</w:t>
      </w:r>
      <w:r w:rsidRPr="6866C369" w:rsidR="6866C369">
        <w:rPr>
          <w:rFonts w:ascii="Calibri" w:hAnsi="Calibri" w:eastAsia="Calibri" w:cs="Calibri"/>
          <w:noProof w:val="0"/>
          <w:color w:val="FF0000"/>
          <w:sz w:val="22"/>
          <w:szCs w:val="22"/>
          <w:lang w:val="en-US"/>
        </w:rPr>
        <w:t xml:space="preserve"> reference </w:t>
      </w:r>
    </w:p>
    <w:p xmlns:wp14="http://schemas.microsoft.com/office/word/2010/wordml" w:rsidP="6866C369" w14:paraId="64DC39BE" wp14:textId="7413265F">
      <w:pPr>
        <w:pStyle w:val="Normal"/>
        <w:spacing w:after="160" w:line="259" w:lineRule="auto"/>
        <w:rPr>
          <w:rFonts w:ascii="Calibri" w:hAnsi="Calibri" w:eastAsia="Calibri" w:cs="Calibri"/>
          <w:b w:val="1"/>
          <w:bCs w:val="1"/>
          <w:i w:val="0"/>
          <w:iCs w:val="0"/>
          <w:caps w:val="0"/>
          <w:smallCaps w:val="0"/>
          <w:noProof w:val="0"/>
          <w:color w:val="212529"/>
          <w:sz w:val="24"/>
          <w:szCs w:val="24"/>
          <w:lang w:val="en-US"/>
        </w:rPr>
      </w:pPr>
      <w:r w:rsidRPr="6866C369" w:rsidR="6866C369">
        <w:rPr>
          <w:rFonts w:ascii="Calibri" w:hAnsi="Calibri" w:eastAsia="Calibri" w:cs="Calibri"/>
          <w:b w:val="1"/>
          <w:bCs w:val="1"/>
          <w:i w:val="0"/>
          <w:iCs w:val="0"/>
          <w:caps w:val="0"/>
          <w:smallCaps w:val="0"/>
          <w:noProof w:val="0"/>
          <w:color w:val="212529"/>
          <w:sz w:val="24"/>
          <w:szCs w:val="24"/>
          <w:lang w:val="en-US"/>
        </w:rPr>
        <w:t>Lampleigh v Braithwaite (1615) Hob 105</w:t>
      </w:r>
    </w:p>
    <w:p xmlns:wp14="http://schemas.microsoft.com/office/word/2010/wordml" w:rsidP="6866C369" w14:paraId="19C0790B" wp14:textId="391EF9EE">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4D30D988" w14:paraId="7286BE34" wp14:textId="27B60716">
      <w:pPr>
        <w:spacing w:after="160" w:line="259" w:lineRule="auto"/>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lang w:val="en-US"/>
        </w:rPr>
      </w:pPr>
      <w:r w:rsidRPr="4D30D988" w:rsidR="4D30D988">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lang w:val="en-US"/>
        </w:rPr>
        <w:t>C</w:t>
      </w:r>
    </w:p>
    <w:p xmlns:wp14="http://schemas.microsoft.com/office/word/2010/wordml" w:rsidP="4D30D988" w14:paraId="649CD257" wp14:textId="1B1464A0">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r w:rsidRPr="4D30D988" w:rsidR="4D30D98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Cornell Law School (2022) </w:t>
      </w:r>
      <w:r w:rsidRPr="4D30D988" w:rsidR="4D30D988">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US"/>
        </w:rPr>
        <w:t>Severable Contract</w:t>
      </w:r>
      <w:r w:rsidRPr="4D30D988" w:rsidR="4D30D98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Available at: </w:t>
      </w:r>
      <w:hyperlink w:anchor=":~:text=A%20severable%20contract%20is%20a,cannot%20recover%20for%20part%20performance" r:id="R70cb7f99dc324e33">
        <w:r w:rsidRPr="4D30D988" w:rsidR="4D30D988">
          <w:rPr>
            <w:rStyle w:val="Hyperlink"/>
            <w:rFonts w:ascii="Calibri" w:hAnsi="Calibri" w:eastAsia="Calibri" w:cs="Calibri" w:asciiTheme="minorAscii" w:hAnsiTheme="minorAscii" w:eastAsiaTheme="minorAscii" w:cstheme="minorAscii"/>
            <w:b w:val="0"/>
            <w:bCs w:val="0"/>
            <w:i w:val="0"/>
            <w:iCs w:val="0"/>
            <w:caps w:val="0"/>
            <w:smallCaps w:val="0"/>
            <w:noProof w:val="0"/>
            <w:sz w:val="22"/>
            <w:szCs w:val="22"/>
            <w:lang w:val="en-US"/>
          </w:rPr>
          <w:t>https://www.law.cornell.edu/wex/severable_contract#:~:text=A%20severable%20contract%20is%20a,cannot%20recover%20for%20part%20performance</w:t>
        </w:r>
      </w:hyperlink>
      <w:r w:rsidRPr="4D30D988" w:rsidR="4D30D988">
        <w:rPr>
          <w:rFonts w:ascii="Calibri" w:hAnsi="Calibri" w:eastAsia="Calibri" w:cs="Calibri" w:asciiTheme="minorAscii" w:hAnsiTheme="minorAscii" w:eastAsiaTheme="minorAscii" w:cstheme="minorAscii"/>
          <w:b w:val="0"/>
          <w:bCs w:val="0"/>
          <w:i w:val="0"/>
          <w:iCs w:val="0"/>
          <w:caps w:val="0"/>
          <w:smallCaps w:val="0"/>
          <w:noProof w:val="0"/>
          <w:sz w:val="22"/>
          <w:szCs w:val="22"/>
          <w:lang w:val="en-US"/>
        </w:rPr>
        <w:t xml:space="preserve"> (Accessed: 21 February 2022).</w:t>
      </w:r>
    </w:p>
    <w:p xmlns:wp14="http://schemas.microsoft.com/office/word/2010/wordml" w:rsidP="6866C369" w14:paraId="06871B1B" wp14:textId="2BF695E5">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r w:rsidRPr="6866C369" w:rsidR="4D30D988">
        <w:rPr>
          <w:rFonts w:ascii="Calibri" w:hAnsi="Calibri" w:eastAsia="Calibri" w:cs="Calibri" w:asciiTheme="minorAscii" w:hAnsiTheme="minorAscii" w:eastAsiaTheme="minorAscii" w:cstheme="minorAscii"/>
          <w:b w:val="0"/>
          <w:bCs w:val="0"/>
          <w:i w:val="0"/>
          <w:iCs w:val="0"/>
          <w:caps w:val="0"/>
          <w:smallCaps w:val="0"/>
          <w:noProof w:val="0"/>
          <w:color w:val="212529"/>
          <w:sz w:val="22"/>
          <w:szCs w:val="22"/>
          <w:lang w:val="en-US"/>
        </w:rPr>
        <w:t>Cutter v Powell [1795] 6 TR 320</w:t>
      </w:r>
      <w:r w:rsidRPr="6866C369" w:rsidR="4D30D98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p>
    <w:p xmlns:wp14="http://schemas.microsoft.com/office/word/2010/wordml" w:rsidP="6866C369" w14:paraId="6D8D196E" wp14:textId="4DDC4A97">
      <w:pPr>
        <w:pStyle w:val="Normal"/>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r w:rsidRPr="6866C369" w:rsidR="4D30D98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Hoeing v Isaacs [1952] 2 All ER 176</w:t>
      </w:r>
    </w:p>
    <w:p xmlns:wp14="http://schemas.microsoft.com/office/word/2010/wordml" w:rsidP="6866C369" w14:paraId="039649EC" wp14:textId="5664D959">
      <w:pPr>
        <w:pStyle w:val="Normal"/>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r w:rsidRPr="6866C369" w:rsidR="4D30D98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Ritchie v Atkinson</w:t>
      </w:r>
      <w:r w:rsidRPr="6866C369" w:rsidR="4D30D98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[1808] 10 East 295</w:t>
      </w:r>
    </w:p>
    <w:p xmlns:wp14="http://schemas.microsoft.com/office/word/2010/wordml" w:rsidP="4D30D988" w14:paraId="312D0AD6" wp14:textId="1E4CCCCB">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r w:rsidRPr="4D30D988" w:rsidR="4D30D98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Simantob</w:t>
      </w:r>
      <w:r w:rsidRPr="4D30D988" w:rsidR="4D30D98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v </w:t>
      </w:r>
      <w:r w:rsidRPr="4D30D988" w:rsidR="4D30D98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Shavleyan</w:t>
      </w:r>
      <w:r w:rsidRPr="4D30D988" w:rsidR="4D30D98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[2019] EWCA Civ 1105</w:t>
      </w:r>
    </w:p>
    <w:p xmlns:wp14="http://schemas.microsoft.com/office/word/2010/wordml" w:rsidP="6866C369" w14:paraId="21080F2B" wp14:textId="414A2185">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r w:rsidRPr="6866C369" w:rsidR="4D30D98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Sumpter v Hedges</w:t>
      </w:r>
      <w:r w:rsidRPr="6866C369" w:rsidR="4D30D98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[1898] 1 QB 673</w:t>
      </w:r>
    </w:p>
    <w:p xmlns:wp14="http://schemas.microsoft.com/office/word/2010/wordml" w:rsidP="4D30D988" w14:paraId="3508C089" wp14:textId="2912F844">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r w:rsidRPr="4D30D988" w:rsidR="4D30D98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p>
    <w:p xmlns:wp14="http://schemas.microsoft.com/office/word/2010/wordml" w:rsidP="4D30D988" w14:paraId="05F47D2B" wp14:textId="32E0B996">
      <w:pPr>
        <w:pStyle w:val="Normal"/>
        <w:spacing w:after="160" w:line="259" w:lineRule="auto"/>
        <w:rPr>
          <w:rFonts w:ascii="Calibri" w:hAnsi="Calibri" w:eastAsia="Calibri" w:cs="Calibri" w:asciiTheme="minorAscii" w:hAnsiTheme="minorAscii" w:eastAsiaTheme="minorAscii" w:cstheme="minorAscii"/>
          <w:b w:val="1"/>
          <w:bCs w:val="1"/>
          <w:i w:val="0"/>
          <w:iCs w:val="0"/>
          <w:caps w:val="0"/>
          <w:smallCaps w:val="0"/>
          <w:noProof w:val="0"/>
          <w:color w:val="auto"/>
          <w:sz w:val="28"/>
          <w:szCs w:val="28"/>
          <w:lang w:val="en-US"/>
        </w:rPr>
      </w:pPr>
      <w:r w:rsidRPr="4D30D988" w:rsidR="4D30D988">
        <w:rPr>
          <w:rFonts w:ascii="Calibri" w:hAnsi="Calibri" w:eastAsia="Calibri" w:cs="Calibri" w:asciiTheme="minorAscii" w:hAnsiTheme="minorAscii" w:eastAsiaTheme="minorAscii" w:cstheme="minorAscii"/>
          <w:b w:val="1"/>
          <w:bCs w:val="1"/>
          <w:i w:val="0"/>
          <w:iCs w:val="0"/>
          <w:caps w:val="0"/>
          <w:smallCaps w:val="0"/>
          <w:noProof w:val="0"/>
          <w:color w:val="auto"/>
          <w:sz w:val="28"/>
          <w:szCs w:val="28"/>
          <w:lang w:val="en-US"/>
        </w:rPr>
        <w:t>d.</w:t>
      </w:r>
    </w:p>
    <w:p xmlns:wp14="http://schemas.microsoft.com/office/word/2010/wordml" w:rsidP="6866C369" w14:paraId="49F4DB3E" wp14:textId="09EEDB06">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r w:rsidRPr="6866C369" w:rsidR="4D30D98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Adams v Lindsell [1818] 106 ER 250</w:t>
      </w:r>
    </w:p>
    <w:p xmlns:wp14="http://schemas.microsoft.com/office/word/2010/wordml" w:rsidP="6866C369" w14:paraId="3EDF82BC" wp14:textId="7FDAC249">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r w:rsidRPr="6866C369" w:rsidR="4D30D98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Brinkibon</w:t>
      </w:r>
      <w:r w:rsidRPr="6866C369" w:rsidR="4D30D98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Ltd v </w:t>
      </w:r>
      <w:r w:rsidRPr="6866C369" w:rsidR="4D30D98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Stahag</w:t>
      </w:r>
      <w:r w:rsidRPr="6866C369" w:rsidR="4D30D98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Stahl [1983] 2 AC 34</w:t>
      </w:r>
    </w:p>
    <w:p xmlns:wp14="http://schemas.microsoft.com/office/word/2010/wordml" w:rsidP="4D30D988" w14:paraId="52E3DDF1" wp14:textId="10663814">
      <w:pPr>
        <w:pStyle w:val="Normal"/>
        <w:spacing w:after="160"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r w:rsidRPr="4D30D988" w:rsidR="4D30D98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Blue v Ashley [2017] EWHC 1928</w:t>
      </w:r>
      <w:r w:rsidRPr="4D30D988" w:rsidR="4D30D98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w:t>
      </w:r>
    </w:p>
    <w:p xmlns:wp14="http://schemas.microsoft.com/office/word/2010/wordml" w:rsidP="4D30D988" w14:paraId="488199A2" wp14:textId="17B6A134">
      <w:pPr>
        <w:pStyle w:val="Normal"/>
        <w:spacing w:after="160"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r w:rsidRPr="4D30D988" w:rsidR="4D30D98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Chappell &amp; Co Ltd v Nestle Co Ltd [1959] UKHL 1</w:t>
      </w:r>
    </w:p>
    <w:p xmlns:wp14="http://schemas.microsoft.com/office/word/2010/wordml" w:rsidP="4D30D988" w14:paraId="457C76EC" wp14:textId="2EB32757">
      <w:pPr>
        <w:pStyle w:val="Normal"/>
        <w:spacing w:after="160"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r w:rsidRPr="4D30D988" w:rsidR="4D30D98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Currie v Misa [1875] LR 10 Ex 153</w:t>
      </w:r>
    </w:p>
    <w:p xmlns:wp14="http://schemas.microsoft.com/office/word/2010/wordml" w:rsidP="6866C369" w14:paraId="26B0DF49" wp14:textId="33B8D0AC">
      <w:pPr>
        <w:pStyle w:val="Normal"/>
        <w:spacing w:after="160"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r w:rsidRPr="6866C369" w:rsidR="4D30D98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Clifton v Palumbo</w:t>
      </w:r>
      <w:r w:rsidRPr="6866C369" w:rsidR="4D30D98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[1944] 2 ALL ER 497</w:t>
      </w:r>
    </w:p>
    <w:p xmlns:wp14="http://schemas.microsoft.com/office/word/2010/wordml" w:rsidP="6866C369" w14:paraId="05655668" wp14:textId="7B5EC783">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r w:rsidRPr="6866C369" w:rsidR="4D30D98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US"/>
        </w:rPr>
        <w:t>Entores v Miles Far East corporation [1955] 2 QQB 327</w:t>
      </w:r>
    </w:p>
    <w:p xmlns:wp14="http://schemas.microsoft.com/office/word/2010/wordml" w:rsidP="6866C369" w14:paraId="6C6D29E8" wp14:textId="2B918726">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r w:rsidRPr="6866C369" w:rsidR="4D30D98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Gison v Manchester city council [1979]  1 WLR 294</w:t>
      </w:r>
    </w:p>
    <w:p xmlns:wp14="http://schemas.microsoft.com/office/word/2010/wordml" w:rsidP="6866C369" w14:paraId="042A34AB" wp14:textId="0E81D690">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r w:rsidRPr="6866C369" w:rsidR="4D30D98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US"/>
        </w:rPr>
        <w:t>Hyde v Wrench [1840] 49 ER 132</w:t>
      </w:r>
    </w:p>
    <w:p xmlns:wp14="http://schemas.microsoft.com/office/word/2010/wordml" w:rsidP="6866C369" w14:paraId="543D1CA7" wp14:textId="4CEF7FFA">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r w:rsidRPr="6866C369" w:rsidR="4D30D98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Partridge v Crittenden [1968] 2 ALL ER 421</w:t>
      </w:r>
    </w:p>
    <w:p xmlns:wp14="http://schemas.microsoft.com/office/word/2010/wordml" w:rsidP="6866C369" w14:paraId="0FC98FB5" wp14:textId="5F038AF5">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r w:rsidRPr="6866C369" w:rsidR="4D30D98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Pickfords Ltd v Celestica Ltd [2003] EWCA Civ 1741</w:t>
      </w:r>
    </w:p>
    <w:p w:rsidR="6866C369" w:rsidP="6866C369" w:rsidRDefault="6866C369" w14:paraId="13F77755" w14:textId="5029CD62">
      <w:pPr>
        <w:pStyle w:val="Normal"/>
        <w:bidi w:val="0"/>
        <w:spacing w:before="0" w:beforeAutospacing="off" w:after="160" w:afterAutospacing="off" w:line="259" w:lineRule="auto"/>
        <w:ind w:left="0" w:right="0"/>
        <w:jc w:val="left"/>
        <w:rPr>
          <w:rFonts w:ascii="Calibri" w:hAnsi="Calibri" w:eastAsia="Calibri" w:cs="Calibri"/>
          <w:b w:val="1"/>
          <w:bCs w:val="1"/>
          <w:i w:val="0"/>
          <w:iCs w:val="0"/>
          <w:caps w:val="0"/>
          <w:smallCaps w:val="0"/>
          <w:noProof w:val="0"/>
          <w:color w:val="212529"/>
          <w:sz w:val="24"/>
          <w:szCs w:val="24"/>
          <w:lang w:val="en-US"/>
        </w:rPr>
      </w:pPr>
      <w:r w:rsidRPr="6866C369" w:rsidR="6866C369">
        <w:rPr>
          <w:rFonts w:ascii="Calibri" w:hAnsi="Calibri" w:eastAsia="Calibri" w:cs="Calibri"/>
          <w:b w:val="1"/>
          <w:bCs w:val="1"/>
          <w:i w:val="0"/>
          <w:iCs w:val="0"/>
          <w:caps w:val="0"/>
          <w:smallCaps w:val="0"/>
          <w:noProof w:val="0"/>
          <w:color w:val="212529"/>
          <w:sz w:val="24"/>
          <w:szCs w:val="24"/>
          <w:lang w:val="en-US"/>
        </w:rPr>
        <w:t>Stevenson Jaques &amp; Co. v McLean (1880) 5 QBD 346</w:t>
      </w:r>
    </w:p>
    <w:p xmlns:wp14="http://schemas.microsoft.com/office/word/2010/wordml" w:rsidP="6866C369" w14:paraId="194CD08C" wp14:textId="55C6A231">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r w:rsidRPr="6866C369" w:rsidR="4D30D98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Taylor v Laird [1856] 25 LJ Ex 329</w:t>
      </w:r>
    </w:p>
    <w:p xmlns:wp14="http://schemas.microsoft.com/office/word/2010/wordml" w:rsidP="6866C369" w14:paraId="7E85E1A6" wp14:textId="0D4D6068">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r w:rsidRPr="6866C369" w:rsidR="4D30D98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Thomas v Thomas [1842] 2 QB 851;114 ER 330</w:t>
      </w:r>
    </w:p>
    <w:p xmlns:wp14="http://schemas.microsoft.com/office/word/2010/wordml" w:rsidP="6866C369" w14:paraId="58ED4514" wp14:textId="08695663">
      <w:pPr>
        <w:pStyle w:val="Normal"/>
        <w:bidi w:val="0"/>
        <w:spacing w:before="0" w:beforeAutospacing="off" w:after="160" w:afterAutospacing="off" w:line="259" w:lineRule="auto"/>
        <w:ind w:left="0" w:right="0"/>
        <w:jc w:val="left"/>
        <w:rPr>
          <w:rFonts w:ascii="Calibri" w:hAnsi="Calibri" w:eastAsia="Calibri" w:cs="Calibri"/>
          <w:b w:val="1"/>
          <w:bCs w:val="1"/>
          <w:i w:val="0"/>
          <w:iCs w:val="0"/>
          <w:caps w:val="0"/>
          <w:smallCaps w:val="0"/>
          <w:noProof w:val="0"/>
          <w:color w:val="212529" w:themeColor="accent1" w:themeTint="99" w:themeShade="FF"/>
          <w:sz w:val="24"/>
          <w:szCs w:val="24"/>
          <w:lang w:val="en-US"/>
        </w:rPr>
      </w:pPr>
      <w:r w:rsidRPr="6866C369" w:rsidR="6866C36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Phillips, J (1978) </w:t>
      </w:r>
      <w:r w:rsidRPr="6866C369" w:rsidR="6866C369">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US"/>
        </w:rPr>
        <w:t xml:space="preserve">Offer and Acceptance from </w:t>
      </w:r>
      <w:proofErr w:type="spellStart"/>
      <w:r w:rsidRPr="6866C369" w:rsidR="6866C369">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US"/>
        </w:rPr>
        <w:t>Felthouse</w:t>
      </w:r>
      <w:proofErr w:type="spellEnd"/>
      <w:r w:rsidRPr="6866C369" w:rsidR="6866C369">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US"/>
        </w:rPr>
        <w:t xml:space="preserve"> to council House. Available at: </w:t>
      </w:r>
      <w:hyperlink r:id="R3ba9040b4e244669">
        <w:r w:rsidRPr="6866C369" w:rsidR="6866C369">
          <w:rPr>
            <w:rStyle w:val="Hyperlink"/>
            <w:rFonts w:ascii="Calibri" w:hAnsi="Calibri" w:eastAsia="Calibri" w:cs="Calibri" w:asciiTheme="minorAscii" w:hAnsiTheme="minorAscii" w:eastAsiaTheme="minorAscii" w:cstheme="minorAscii"/>
            <w:b w:val="0"/>
            <w:bCs w:val="0"/>
            <w:i w:val="1"/>
            <w:iCs w:val="1"/>
            <w:caps w:val="0"/>
            <w:smallCaps w:val="0"/>
            <w:noProof w:val="0"/>
            <w:sz w:val="22"/>
            <w:szCs w:val="22"/>
            <w:lang w:val="en-US"/>
          </w:rPr>
          <w:t>https://heinonline.org/HOL/LandingPage?handle=hein.journals/dubulj2&amp;div=10&amp;id=&amp;page=</w:t>
        </w:r>
      </w:hyperlink>
      <w:r w:rsidRPr="6866C369" w:rsidR="6866C369">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US"/>
        </w:rPr>
        <w:t xml:space="preserve"> (Accessed: 25 February 2022). </w:t>
      </w:r>
    </w:p>
    <w:p xmlns:wp14="http://schemas.microsoft.com/office/word/2010/wordml" w:rsidP="4D30D988" w14:paraId="55A54024" wp14:textId="75F0A6B8">
      <w:pPr>
        <w:pStyle w:val="Normal"/>
        <w:spacing w:after="160" w:line="259" w:lineRule="auto"/>
        <w:rPr>
          <w:rFonts w:ascii="Arial" w:hAnsi="Arial" w:eastAsia="Arial" w:cs="Arial"/>
          <w:b w:val="0"/>
          <w:bCs w:val="0"/>
          <w:i w:val="0"/>
          <w:iCs w:val="0"/>
          <w:caps w:val="0"/>
          <w:smallCaps w:val="0"/>
          <w:noProof w:val="0"/>
          <w:color w:val="8EAADB" w:themeColor="accent1" w:themeTint="99" w:themeShade="FF"/>
          <w:sz w:val="28"/>
          <w:szCs w:val="28"/>
          <w:lang w:val="en-US"/>
        </w:rPr>
      </w:pPr>
    </w:p>
    <w:p xmlns:wp14="http://schemas.microsoft.com/office/word/2010/wordml" w:rsidP="4D30D988" w14:paraId="242A2DA7" wp14:textId="2FBDC688">
      <w:pPr>
        <w:pStyle w:val="Normal"/>
        <w:spacing w:after="160" w:line="259" w:lineRule="auto"/>
        <w:rPr>
          <w:rFonts w:ascii="Calibri" w:hAnsi="Calibri" w:eastAsia="Calibri" w:cs="Calibri"/>
          <w:b w:val="0"/>
          <w:bCs w:val="0"/>
          <w:i w:val="0"/>
          <w:iCs w:val="0"/>
          <w:caps w:val="0"/>
          <w:smallCaps w:val="0"/>
          <w:noProof w:val="0"/>
          <w:color w:val="8EAADB" w:themeColor="accent1" w:themeTint="99" w:themeShade="FF"/>
          <w:sz w:val="28"/>
          <w:szCs w:val="28"/>
          <w:lang w:val="en-US"/>
        </w:rPr>
      </w:pPr>
    </w:p>
    <w:p xmlns:wp14="http://schemas.microsoft.com/office/word/2010/wordml" w:rsidP="4D30D988" w14:paraId="2C078E63" wp14:textId="166B25A3">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xml><?xml version="1.0" encoding="utf-8"?>
<int:Intelligence xmlns:int="http://schemas.microsoft.com/office/intelligence/2019/intelligence">
  <int:IntelligenceSettings/>
  <int:Manifest>
    <int:ParagraphRange paragraphId="455029526" textId="1018344713" start="712" length="5" invalidationStart="712" invalidationLength="5" id="nwCB0WfN"/>
    <int:WordHash hashCode="izCP/yCSxdXjVb" id="NquWJf0W"/>
    <int:ParagraphRange paragraphId="1506110850" textId="1397270390" start="84" length="4" invalidationStart="84" invalidationLength="4" id="QWaGWXPs"/>
    <int:WordHash hashCode="TkBUtZrkGIB0xq" id="3dMPykNs"/>
    <int:ParagraphRange paragraphId="385891138" textId="1439301171" start="130" length="6" invalidationStart="130" invalidationLength="6" id="XLzC1GvM"/>
    <int:ParagraphRange paragraphId="385891138" textId="1439301171" start="145" length="10" invalidationStart="145" invalidationLength="10" id="UtRvzXUW"/>
    <int:WordHash hashCode="mhbZ86jHh8fVeO" id="6Cbst5Ku"/>
    <int:WordHash hashCode="ksQowEudxct5TD" id="R64j4q84"/>
    <int:ParagraphRange paragraphId="486729735" textId="583550628" start="231" length="13" invalidationStart="231" invalidationLength="13" id="ZD1xVlMr"/>
    <int:ParagraphRange paragraphId="486729735" textId="583550628" start="431" length="10" invalidationStart="431" invalidationLength="10" id="Ty3ehmjR"/>
    <int:ParagraphRange paragraphId="1897811511" textId="2014443804" start="138" length="13" invalidationStart="138" invalidationLength="13" id="CqISDviA"/>
    <int:WordHash hashCode="RW69o7UjDZZ26U" id="F6dLbVui"/>
    <int:ParagraphRange paragraphId="1720681065" textId="1214041460" start="182" length="6" invalidationStart="182" invalidationLength="6" id="DdRc3lS5"/>
    <int:ParagraphRange paragraphId="1921530175" textId="1731441995" start="207" length="2" invalidationStart="207" invalidationLength="2" id="C1FHvZfX"/>
    <int:ParagraphRange paragraphId="385891138" textId="1439301171" start="679" length="6" invalidationStart="679" invalidationLength="6" id="PW8tU5cW"/>
    <int:WordHash hashCode="txKC4C74zaFRwb" id="UazCGukv"/>
    <int:WordHash hashCode="4qTJozoQRSVNQT" id="A1KUIBNk"/>
    <int:ParagraphRange paragraphId="385891138" textId="846265638" start="679" length="6" invalidationStart="679" invalidationLength="6" id="uELP5zpC"/>
    <int:ParagraphRange paragraphId="385891138" textId="846265638" start="130" length="6" invalidationStart="130" invalidationLength="6" id="wYYPvfEg"/>
    <int:ParagraphRange paragraphId="385891138" textId="846265638" start="145" length="10" invalidationStart="145" invalidationLength="10" id="fFkldyo5"/>
    <int:WordHash hashCode="7nsz71Hgdv2Q6x" id="lqQFmuxA"/>
    <int:WordHash hashCode="Gl9O4WP20AbTT6" id="k6gTvP0d"/>
    <int:ParagraphRange paragraphId="1506110850" textId="2014533963" start="84" length="4" invalidationStart="84" invalidationLength="4" id="UAzKqUqg"/>
    <int:WordHash hashCode="WzQtwixHDFy4VY" id="jD8yZYm3"/>
    <int:WordHash hashCode="a2Elz8dU03M6CK" id="PTUVEehA"/>
    <int:WordHash hashCode="irUq8GBhqwJdF3" id="WQd8jFLm"/>
    <int:ParagraphRange paragraphId="1962680453" textId="2134438074" start="104" length="7" invalidationStart="104" invalidationLength="7" id="qR9hQulp"/>
    <int:ParagraphRange paragraphId="1720681065" textId="117735491" start="244" length="9" invalidationStart="244" invalidationLength="9" id="xGd13CEv"/>
    <int:ParagraphRange paragraphId="1897811511" textId="143350478" start="42" length="2" invalidationStart="42" invalidationLength="2" id="lPi5KAtV"/>
    <int:WordHash hashCode="GBiVCBU08/stjY" id="ImvvFZl8"/>
    <int:WordHash hashCode="HV6DiByd639idI" id="19UjiEQ2"/>
    <int:WordHash hashCode="6iHq7Y+YNjbl+t" id="B0r0l0aI"/>
    <int:ParagraphRange paragraphId="1897811511" textId="1121671614" start="358" length="2" invalidationStart="358" invalidationLength="2" id="dtbbQjWx"/>
  </int:Manifest>
  <int:Observations>
    <int:Content id="nwCB0WfN">
      <int:Rejection type="LegacyProofing"/>
    </int:Content>
    <int:Content id="NquWJf0W">
      <int:Rejection type="LegacyProofing"/>
    </int:Content>
    <int:Content id="QWaGWXPs">
      <int:Rejection type="LegacyProofing"/>
    </int:Content>
    <int:Content id="3dMPykNs">
      <int:Rejection type="LegacyProofing"/>
    </int:Content>
    <int:Content id="XLzC1GvM">
      <int:Rejection type="LegacyProofing"/>
    </int:Content>
    <int:Content id="UtRvzXUW">
      <int:Rejection type="LegacyProofing"/>
    </int:Content>
    <int:Content id="6Cbst5Ku">
      <int:Rejection type="LegacyProofing"/>
    </int:Content>
    <int:Content id="R64j4q84">
      <int:Rejection type="LegacyProofing"/>
    </int:Content>
    <int:Content id="ZD1xVlMr">
      <int:Rejection type="LegacyProofing"/>
    </int:Content>
    <int:Content id="Ty3ehmjR">
      <int:Rejection type="LegacyProofing"/>
    </int:Content>
    <int:Content id="CqISDviA">
      <int:Rejection type="LegacyProofing"/>
    </int:Content>
    <int:Content id="F6dLbVui">
      <int:Rejection type="LegacyProofing"/>
    </int:Content>
    <int:Content id="DdRc3lS5">
      <int:Rejection type="LegacyProofing"/>
    </int:Content>
    <int:Content id="C1FHvZfX">
      <int:Rejection type="LegacyProofing"/>
    </int:Content>
    <int:Content id="PW8tU5cW">
      <int:Rejection type="LegacyProofing"/>
    </int:Content>
    <int:Content id="UazCGukv">
      <int:Rejection type="LegacyProofing"/>
    </int:Content>
    <int:Content id="A1KUIBNk">
      <int:Rejection type="LegacyProofing"/>
    </int:Content>
    <int:Content id="uELP5zpC">
      <int:Rejection type="LegacyProofing"/>
    </int:Content>
    <int:Content id="wYYPvfEg">
      <int:Rejection type="LegacyProofing"/>
    </int:Content>
    <int:Content id="fFkldyo5">
      <int:Rejection type="LegacyProofing"/>
    </int:Content>
    <int:Content id="lqQFmuxA">
      <int:Rejection type="LegacyProofing"/>
    </int:Content>
    <int:Content id="k6gTvP0d">
      <int:Rejection type="LegacyProofing"/>
    </int:Content>
    <int:Content id="UAzKqUqg">
      <int:Rejection type="LegacyProofing"/>
    </int:Content>
    <int:Content id="jD8yZYm3">
      <int:Rejection type="AugLoop_Text_Critique"/>
    </int:Content>
    <int:Content id="PTUVEehA">
      <int:Rejection type="AugLoop_Text_Critique"/>
    </int:Content>
    <int:Content id="WQd8jFLm">
      <int:Rejection type="AugLoop_Text_Critique"/>
    </int:Content>
    <int:Content id="qR9hQulp">
      <int:Rejection type="LegacyProofing"/>
    </int:Content>
    <int:Content id="xGd13CEv">
      <int:Rejection type="LegacyProofing"/>
    </int:Content>
    <int:Content id="lPi5KAtV">
      <int:Rejection type="LegacyProofing"/>
    </int:Content>
    <int:Content id="ImvvFZl8">
      <int:Rejection type="LegacyProofing"/>
    </int:Content>
    <int:Content id="19UjiEQ2">
      <int:Rejection type="LegacyProofing"/>
    </int:Content>
    <int:Content id="B0r0l0aI">
      <int:Rejection type="LegacyProofing"/>
    </int:Content>
    <int:Content id="dtbbQjWx">
      <int:Rejection type="LegacyProofing"/>
    </int:Content>
  </int:Observations>
</int:Intelligence>
</file>

<file path=word/numbering.xml><?xml version="1.0" encoding="utf-8"?>
<w:numbering xmlns:w="http://schemas.openxmlformats.org/wordprocessingml/2006/main">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D902089"/>
    <w:rsid w:val="001A44C8"/>
    <w:rsid w:val="00236433"/>
    <w:rsid w:val="00DFAAEF"/>
    <w:rsid w:val="016F219C"/>
    <w:rsid w:val="0212993B"/>
    <w:rsid w:val="029614BA"/>
    <w:rsid w:val="02C0B398"/>
    <w:rsid w:val="02FEDAF2"/>
    <w:rsid w:val="031015C9"/>
    <w:rsid w:val="0347C990"/>
    <w:rsid w:val="03E67C85"/>
    <w:rsid w:val="0446608B"/>
    <w:rsid w:val="046A2EAF"/>
    <w:rsid w:val="04ABE62A"/>
    <w:rsid w:val="051B44F0"/>
    <w:rsid w:val="0553B61B"/>
    <w:rsid w:val="05824CE6"/>
    <w:rsid w:val="05997B57"/>
    <w:rsid w:val="06256F4E"/>
    <w:rsid w:val="06F0A9D9"/>
    <w:rsid w:val="077C0EA8"/>
    <w:rsid w:val="07A1CF71"/>
    <w:rsid w:val="07D24C15"/>
    <w:rsid w:val="08779973"/>
    <w:rsid w:val="08B501A7"/>
    <w:rsid w:val="08EB95A5"/>
    <w:rsid w:val="09DAAD6A"/>
    <w:rsid w:val="0A06DF2A"/>
    <w:rsid w:val="0A2D1B8B"/>
    <w:rsid w:val="0AD20F8D"/>
    <w:rsid w:val="0B231534"/>
    <w:rsid w:val="0B3C740A"/>
    <w:rsid w:val="0B79EA86"/>
    <w:rsid w:val="0B79EA86"/>
    <w:rsid w:val="0B93FBFE"/>
    <w:rsid w:val="0BBE7D6D"/>
    <w:rsid w:val="0BCB8D81"/>
    <w:rsid w:val="0BF18E6A"/>
    <w:rsid w:val="0CBBBAFA"/>
    <w:rsid w:val="0D1CA319"/>
    <w:rsid w:val="0D1CA319"/>
    <w:rsid w:val="0D902089"/>
    <w:rsid w:val="0EA1119B"/>
    <w:rsid w:val="0EA5A522"/>
    <w:rsid w:val="0EB8737A"/>
    <w:rsid w:val="0ECB9CC0"/>
    <w:rsid w:val="0F292F2C"/>
    <w:rsid w:val="0FDD5DFA"/>
    <w:rsid w:val="1056D45A"/>
    <w:rsid w:val="108D2838"/>
    <w:rsid w:val="10A15A26"/>
    <w:rsid w:val="11128E22"/>
    <w:rsid w:val="112EDE71"/>
    <w:rsid w:val="11792E5B"/>
    <w:rsid w:val="11AB99B1"/>
    <w:rsid w:val="11DD45E4"/>
    <w:rsid w:val="12323923"/>
    <w:rsid w:val="125652E4"/>
    <w:rsid w:val="12B86C5F"/>
    <w:rsid w:val="12F41938"/>
    <w:rsid w:val="132E2719"/>
    <w:rsid w:val="1331B1DF"/>
    <w:rsid w:val="13CE0984"/>
    <w:rsid w:val="13D69F66"/>
    <w:rsid w:val="1494D2F9"/>
    <w:rsid w:val="14B0CF1D"/>
    <w:rsid w:val="14C9F77A"/>
    <w:rsid w:val="152FA284"/>
    <w:rsid w:val="152FA284"/>
    <w:rsid w:val="158DF3A6"/>
    <w:rsid w:val="15C3752B"/>
    <w:rsid w:val="15F00D21"/>
    <w:rsid w:val="15F565F2"/>
    <w:rsid w:val="16597FD7"/>
    <w:rsid w:val="1665C7DB"/>
    <w:rsid w:val="16B0B707"/>
    <w:rsid w:val="16CB72E5"/>
    <w:rsid w:val="16D526A1"/>
    <w:rsid w:val="17CEEB01"/>
    <w:rsid w:val="18052302"/>
    <w:rsid w:val="185E8D3B"/>
    <w:rsid w:val="18AA49D5"/>
    <w:rsid w:val="19DF385E"/>
    <w:rsid w:val="1A0313A7"/>
    <w:rsid w:val="1A163CED"/>
    <w:rsid w:val="1A6EE358"/>
    <w:rsid w:val="1AEF32A7"/>
    <w:rsid w:val="1B5C637A"/>
    <w:rsid w:val="1B5C637A"/>
    <w:rsid w:val="1C60F692"/>
    <w:rsid w:val="1CF833DB"/>
    <w:rsid w:val="1D05FCFB"/>
    <w:rsid w:val="1D0FE547"/>
    <w:rsid w:val="1D16D920"/>
    <w:rsid w:val="1D3AB469"/>
    <w:rsid w:val="1D4DDDAF"/>
    <w:rsid w:val="1DD52646"/>
    <w:rsid w:val="1E4B6313"/>
    <w:rsid w:val="1E94043C"/>
    <w:rsid w:val="1EA1CD5C"/>
    <w:rsid w:val="1EB2A981"/>
    <w:rsid w:val="1F4988CB"/>
    <w:rsid w:val="1FCAF2A6"/>
    <w:rsid w:val="202FD49D"/>
    <w:rsid w:val="2065A599"/>
    <w:rsid w:val="21872722"/>
    <w:rsid w:val="22C706CC"/>
    <w:rsid w:val="22E8C022"/>
    <w:rsid w:val="22FC8B78"/>
    <w:rsid w:val="231ED436"/>
    <w:rsid w:val="234FC32F"/>
    <w:rsid w:val="23B4AD39"/>
    <w:rsid w:val="2415C59E"/>
    <w:rsid w:val="243B3C2F"/>
    <w:rsid w:val="249E7FD0"/>
    <w:rsid w:val="249E7FD0"/>
    <w:rsid w:val="24C4BC31"/>
    <w:rsid w:val="24D3D340"/>
    <w:rsid w:val="24EB9390"/>
    <w:rsid w:val="2559C2C7"/>
    <w:rsid w:val="255B056E"/>
    <w:rsid w:val="2587DFA2"/>
    <w:rsid w:val="262127D4"/>
    <w:rsid w:val="26746864"/>
    <w:rsid w:val="26911C96"/>
    <w:rsid w:val="26EC4DFB"/>
    <w:rsid w:val="26FD88D2"/>
    <w:rsid w:val="27038046"/>
    <w:rsid w:val="271A7B0C"/>
    <w:rsid w:val="274D6660"/>
    <w:rsid w:val="279A77EF"/>
    <w:rsid w:val="27B37B3A"/>
    <w:rsid w:val="286E89E7"/>
    <w:rsid w:val="28E936C1"/>
    <w:rsid w:val="2938B241"/>
    <w:rsid w:val="2945BF33"/>
    <w:rsid w:val="2968460D"/>
    <w:rsid w:val="2971F0F3"/>
    <w:rsid w:val="29C0CFD2"/>
    <w:rsid w:val="2A078B7B"/>
    <w:rsid w:val="2AE8DAC2"/>
    <w:rsid w:val="2B0DC154"/>
    <w:rsid w:val="2B0DC154"/>
    <w:rsid w:val="2B38FACC"/>
    <w:rsid w:val="2B5AD514"/>
    <w:rsid w:val="2BBFBF1E"/>
    <w:rsid w:val="2BBFBF1E"/>
    <w:rsid w:val="2BF4D2DD"/>
    <w:rsid w:val="2C107280"/>
    <w:rsid w:val="2C705303"/>
    <w:rsid w:val="2C74E68A"/>
    <w:rsid w:val="2C7A7A66"/>
    <w:rsid w:val="2C84AB23"/>
    <w:rsid w:val="2CC984B9"/>
    <w:rsid w:val="2D9D54A8"/>
    <w:rsid w:val="2DD36F1E"/>
    <w:rsid w:val="2E1AD843"/>
    <w:rsid w:val="2E65551A"/>
    <w:rsid w:val="2E65AA2A"/>
    <w:rsid w:val="2E9275D6"/>
    <w:rsid w:val="2E9C2E7B"/>
    <w:rsid w:val="2F1E3B00"/>
    <w:rsid w:val="2F2EEAE5"/>
    <w:rsid w:val="2F6F3F7F"/>
    <w:rsid w:val="2F935EEF"/>
    <w:rsid w:val="2FA7F3C5"/>
    <w:rsid w:val="2FAE1ACD"/>
    <w:rsid w:val="2FB6A8A4"/>
    <w:rsid w:val="3001257B"/>
    <w:rsid w:val="301E736D"/>
    <w:rsid w:val="30BA0B61"/>
    <w:rsid w:val="322F00A2"/>
    <w:rsid w:val="322F00A2"/>
    <w:rsid w:val="331C83C1"/>
    <w:rsid w:val="33422C30"/>
    <w:rsid w:val="3423CE6C"/>
    <w:rsid w:val="34464C40"/>
    <w:rsid w:val="345DB0A7"/>
    <w:rsid w:val="347908B6"/>
    <w:rsid w:val="34818BF0"/>
    <w:rsid w:val="349AB44D"/>
    <w:rsid w:val="349AB44D"/>
    <w:rsid w:val="35F98108"/>
    <w:rsid w:val="3629D51C"/>
    <w:rsid w:val="36AB17B9"/>
    <w:rsid w:val="36BC7194"/>
    <w:rsid w:val="36C696F0"/>
    <w:rsid w:val="370271C5"/>
    <w:rsid w:val="37298631"/>
    <w:rsid w:val="37782251"/>
    <w:rsid w:val="378B356F"/>
    <w:rsid w:val="378B356F"/>
    <w:rsid w:val="37C5A57D"/>
    <w:rsid w:val="37CB6CDD"/>
    <w:rsid w:val="37D2550F"/>
    <w:rsid w:val="37EAF3DD"/>
    <w:rsid w:val="38177DD4"/>
    <w:rsid w:val="3876FDFC"/>
    <w:rsid w:val="389E4226"/>
    <w:rsid w:val="389E4226"/>
    <w:rsid w:val="392705D0"/>
    <w:rsid w:val="396E2570"/>
    <w:rsid w:val="3978DCBC"/>
    <w:rsid w:val="39BB3BBB"/>
    <w:rsid w:val="3A367D93"/>
    <w:rsid w:val="3A42000D"/>
    <w:rsid w:val="3A42000D"/>
    <w:rsid w:val="3A5B32A6"/>
    <w:rsid w:val="3A6126F3"/>
    <w:rsid w:val="3A62934C"/>
    <w:rsid w:val="3AC2D631"/>
    <w:rsid w:val="3ACCF22B"/>
    <w:rsid w:val="3AFD463F"/>
    <w:rsid w:val="3B520F05"/>
    <w:rsid w:val="3B570C1C"/>
    <w:rsid w:val="3B7AB183"/>
    <w:rsid w:val="3BC7A318"/>
    <w:rsid w:val="3C2EE051"/>
    <w:rsid w:val="3C68C28C"/>
    <w:rsid w:val="3C9916A0"/>
    <w:rsid w:val="3C9EDE00"/>
    <w:rsid w:val="3CF2DC7D"/>
    <w:rsid w:val="3CF2DC7D"/>
    <w:rsid w:val="3D2770C7"/>
    <w:rsid w:val="3D441530"/>
    <w:rsid w:val="3D5EA772"/>
    <w:rsid w:val="3DACB26B"/>
    <w:rsid w:val="3E3AAE61"/>
    <w:rsid w:val="3E89AFC7"/>
    <w:rsid w:val="3EAD6644"/>
    <w:rsid w:val="3EB88078"/>
    <w:rsid w:val="3ECDB933"/>
    <w:rsid w:val="3FD67EC2"/>
    <w:rsid w:val="3FD67EC2"/>
    <w:rsid w:val="405450D9"/>
    <w:rsid w:val="405F1189"/>
    <w:rsid w:val="405F36D9"/>
    <w:rsid w:val="408A08B2"/>
    <w:rsid w:val="41724F23"/>
    <w:rsid w:val="417BC7D4"/>
    <w:rsid w:val="4188A142"/>
    <w:rsid w:val="41C597C3"/>
    <w:rsid w:val="41C64DA0"/>
    <w:rsid w:val="422C358A"/>
    <w:rsid w:val="4239160D"/>
    <w:rsid w:val="42BAD4F8"/>
    <w:rsid w:val="42BF46C1"/>
    <w:rsid w:val="42E91101"/>
    <w:rsid w:val="42FDA5D7"/>
    <w:rsid w:val="43155149"/>
    <w:rsid w:val="43621E01"/>
    <w:rsid w:val="43621E01"/>
    <w:rsid w:val="4383281F"/>
    <w:rsid w:val="43A12A56"/>
    <w:rsid w:val="43CDE8F6"/>
    <w:rsid w:val="43D052E7"/>
    <w:rsid w:val="44A9EFE5"/>
    <w:rsid w:val="44B77006"/>
    <w:rsid w:val="462CFD8B"/>
    <w:rsid w:val="464CF20B"/>
    <w:rsid w:val="4699BEC3"/>
    <w:rsid w:val="47475E35"/>
    <w:rsid w:val="476FDD8F"/>
    <w:rsid w:val="47ADE5D1"/>
    <w:rsid w:val="47B362B9"/>
    <w:rsid w:val="47E8C26C"/>
    <w:rsid w:val="47F33025"/>
    <w:rsid w:val="48B465F0"/>
    <w:rsid w:val="49065BB3"/>
    <w:rsid w:val="491BA478"/>
    <w:rsid w:val="497855D6"/>
    <w:rsid w:val="497F872E"/>
    <w:rsid w:val="4993B327"/>
    <w:rsid w:val="49D15F85"/>
    <w:rsid w:val="49D15F85"/>
    <w:rsid w:val="4A68978C"/>
    <w:rsid w:val="4A98C621"/>
    <w:rsid w:val="4A9CE56A"/>
    <w:rsid w:val="4AB61413"/>
    <w:rsid w:val="4AB6A943"/>
    <w:rsid w:val="4AD90F5A"/>
    <w:rsid w:val="4B40A5EF"/>
    <w:rsid w:val="4BA0E9A0"/>
    <w:rsid w:val="4BDB64CC"/>
    <w:rsid w:val="4C349682"/>
    <w:rsid w:val="4C51E474"/>
    <w:rsid w:val="4CC07E4C"/>
    <w:rsid w:val="4CC6A148"/>
    <w:rsid w:val="4CFC26EF"/>
    <w:rsid w:val="4D30D988"/>
    <w:rsid w:val="4D557A31"/>
    <w:rsid w:val="4DEE17E7"/>
    <w:rsid w:val="4E025443"/>
    <w:rsid w:val="4E074044"/>
    <w:rsid w:val="4E38E841"/>
    <w:rsid w:val="4E3BCF8F"/>
    <w:rsid w:val="4E6271A9"/>
    <w:rsid w:val="4EE320BE"/>
    <w:rsid w:val="4EEB3553"/>
    <w:rsid w:val="4F7205CF"/>
    <w:rsid w:val="50141712"/>
    <w:rsid w:val="5040A109"/>
    <w:rsid w:val="5040A109"/>
    <w:rsid w:val="50573F73"/>
    <w:rsid w:val="509004B8"/>
    <w:rsid w:val="50C38526"/>
    <w:rsid w:val="50C7655B"/>
    <w:rsid w:val="50D6D9CA"/>
    <w:rsid w:val="50D6D9CA"/>
    <w:rsid w:val="50F204FD"/>
    <w:rsid w:val="51255597"/>
    <w:rsid w:val="513B9FBA"/>
    <w:rsid w:val="515C74B1"/>
    <w:rsid w:val="51859CAF"/>
    <w:rsid w:val="51979238"/>
    <w:rsid w:val="51F30FD4"/>
    <w:rsid w:val="5272AA2B"/>
    <w:rsid w:val="52F84512"/>
    <w:rsid w:val="53336299"/>
    <w:rsid w:val="538EE035"/>
    <w:rsid w:val="53FF061D"/>
    <w:rsid w:val="53FF061D"/>
    <w:rsid w:val="5447EAFD"/>
    <w:rsid w:val="545CF659"/>
    <w:rsid w:val="54CF32FA"/>
    <w:rsid w:val="54D5B5E6"/>
    <w:rsid w:val="54E42887"/>
    <w:rsid w:val="54E42887"/>
    <w:rsid w:val="55AA4AED"/>
    <w:rsid w:val="55BA3545"/>
    <w:rsid w:val="55F8C6BA"/>
    <w:rsid w:val="562FE5D4"/>
    <w:rsid w:val="56757114"/>
    <w:rsid w:val="56D94E56"/>
    <w:rsid w:val="56F64738"/>
    <w:rsid w:val="5706151C"/>
    <w:rsid w:val="573A5D19"/>
    <w:rsid w:val="57432695"/>
    <w:rsid w:val="57443357"/>
    <w:rsid w:val="57461B4E"/>
    <w:rsid w:val="57461B4E"/>
    <w:rsid w:val="57F64818"/>
    <w:rsid w:val="57F64818"/>
    <w:rsid w:val="5805BEFB"/>
    <w:rsid w:val="58751EB7"/>
    <w:rsid w:val="5949F2EB"/>
    <w:rsid w:val="59833DE0"/>
    <w:rsid w:val="5990AE94"/>
    <w:rsid w:val="5A10EF18"/>
    <w:rsid w:val="5A42507A"/>
    <w:rsid w:val="5A4910E5"/>
    <w:rsid w:val="5A7BD419"/>
    <w:rsid w:val="5ACC9AEF"/>
    <w:rsid w:val="5AF6B22F"/>
    <w:rsid w:val="5B48E237"/>
    <w:rsid w:val="5C686B50"/>
    <w:rsid w:val="5C6C42A9"/>
    <w:rsid w:val="5CC3D630"/>
    <w:rsid w:val="5CE0933B"/>
    <w:rsid w:val="5CE2BC86"/>
    <w:rsid w:val="5DD8758B"/>
    <w:rsid w:val="5E1828C5"/>
    <w:rsid w:val="5E1AC8C5"/>
    <w:rsid w:val="5E23DE8E"/>
    <w:rsid w:val="5E3828EC"/>
    <w:rsid w:val="5E789573"/>
    <w:rsid w:val="5E789573"/>
    <w:rsid w:val="5E8082F9"/>
    <w:rsid w:val="5EB39495"/>
    <w:rsid w:val="5ECFDD73"/>
    <w:rsid w:val="5ED192DC"/>
    <w:rsid w:val="5F13629D"/>
    <w:rsid w:val="5F1C8208"/>
    <w:rsid w:val="5F3116DE"/>
    <w:rsid w:val="5F4F10AC"/>
    <w:rsid w:val="5FB0FAF5"/>
    <w:rsid w:val="6053DE5F"/>
    <w:rsid w:val="607550C3"/>
    <w:rsid w:val="60D30E47"/>
    <w:rsid w:val="60D30E47"/>
    <w:rsid w:val="60ECFD94"/>
    <w:rsid w:val="611339F5"/>
    <w:rsid w:val="61315F69"/>
    <w:rsid w:val="617C7C91"/>
    <w:rsid w:val="62502059"/>
    <w:rsid w:val="6268B7A0"/>
    <w:rsid w:val="62C1E956"/>
    <w:rsid w:val="62EB99E8"/>
    <w:rsid w:val="63A503FF"/>
    <w:rsid w:val="640AAF09"/>
    <w:rsid w:val="641CEF34"/>
    <w:rsid w:val="647B6ABB"/>
    <w:rsid w:val="6598E825"/>
    <w:rsid w:val="663A5211"/>
    <w:rsid w:val="666E798E"/>
    <w:rsid w:val="66C31FE3"/>
    <w:rsid w:val="66E9851A"/>
    <w:rsid w:val="6749CC32"/>
    <w:rsid w:val="677416F6"/>
    <w:rsid w:val="6796A015"/>
    <w:rsid w:val="6827653F"/>
    <w:rsid w:val="68320BE5"/>
    <w:rsid w:val="6866C369"/>
    <w:rsid w:val="6885557B"/>
    <w:rsid w:val="68E59C93"/>
    <w:rsid w:val="68F06057"/>
    <w:rsid w:val="6A79F08D"/>
    <w:rsid w:val="6A8D19D3"/>
    <w:rsid w:val="6ABD38D1"/>
    <w:rsid w:val="6B0B933C"/>
    <w:rsid w:val="6B5F0601"/>
    <w:rsid w:val="6C1D3D55"/>
    <w:rsid w:val="6C2239B9"/>
    <w:rsid w:val="6C50D2E2"/>
    <w:rsid w:val="6CA7639D"/>
    <w:rsid w:val="6D5D9371"/>
    <w:rsid w:val="6DBE0A1A"/>
    <w:rsid w:val="6DC4BA95"/>
    <w:rsid w:val="6DFF0D0A"/>
    <w:rsid w:val="6E96A6C3"/>
    <w:rsid w:val="6E9FF73B"/>
    <w:rsid w:val="6EC66346"/>
    <w:rsid w:val="6EEFA42C"/>
    <w:rsid w:val="6F66D3A0"/>
    <w:rsid w:val="6F8873A4"/>
    <w:rsid w:val="6FD4AA76"/>
    <w:rsid w:val="6FF2ACAD"/>
    <w:rsid w:val="70386E98"/>
    <w:rsid w:val="705D7DE1"/>
    <w:rsid w:val="70FB723C"/>
    <w:rsid w:val="710926ED"/>
    <w:rsid w:val="715501C2"/>
    <w:rsid w:val="71CE4785"/>
    <w:rsid w:val="71F9E0BB"/>
    <w:rsid w:val="71FE0408"/>
    <w:rsid w:val="72F0D223"/>
    <w:rsid w:val="733DE3B2"/>
    <w:rsid w:val="73798C55"/>
    <w:rsid w:val="7395B11C"/>
    <w:rsid w:val="743312FE"/>
    <w:rsid w:val="743312FE"/>
    <w:rsid w:val="746B8D9C"/>
    <w:rsid w:val="748CA284"/>
    <w:rsid w:val="74B13162"/>
    <w:rsid w:val="7535A4CA"/>
    <w:rsid w:val="755EE5B0"/>
    <w:rsid w:val="7684FB57"/>
    <w:rsid w:val="76D1752B"/>
    <w:rsid w:val="76DFA229"/>
    <w:rsid w:val="76FAB611"/>
    <w:rsid w:val="7707F97C"/>
    <w:rsid w:val="7712DCF4"/>
    <w:rsid w:val="777833E1"/>
    <w:rsid w:val="77B59A13"/>
    <w:rsid w:val="783D8909"/>
    <w:rsid w:val="784CFD78"/>
    <w:rsid w:val="78F6D475"/>
    <w:rsid w:val="79516A74"/>
    <w:rsid w:val="7A0915ED"/>
    <w:rsid w:val="7A3F9A3E"/>
    <w:rsid w:val="7A91387D"/>
    <w:rsid w:val="7B12796C"/>
    <w:rsid w:val="7B33C36D"/>
    <w:rsid w:val="7B48F597"/>
    <w:rsid w:val="7BA4E64E"/>
    <w:rsid w:val="7BC38826"/>
    <w:rsid w:val="7DC7FEAC"/>
    <w:rsid w:val="7E141587"/>
    <w:rsid w:val="7E7E7466"/>
    <w:rsid w:val="7E809659"/>
    <w:rsid w:val="7E809659"/>
    <w:rsid w:val="7EA24FAF"/>
    <w:rsid w:val="7EAC036B"/>
    <w:rsid w:val="7F130B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902089"/>
  <w15:chartTrackingRefBased/>
  <w15:docId w15:val="{A038F3E7-F6F2-4E26-B53A-E4E68986B73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app.croneri.co.uk/feature-articles/implied-contractual-terms" TargetMode="External" Id="Rec7d265c98454fe9" /><Relationship Type="http://schemas.openxmlformats.org/officeDocument/2006/relationships/hyperlink" Target="https://lawshelf.com/coursewarecontentview/moral-or-past-consideration" TargetMode="External" Id="Rb762ad3b0a52413d" /><Relationship Type="http://schemas.openxmlformats.org/officeDocument/2006/relationships/hyperlink" Target="https://www.law.cornell.edu/wex/severable_contract" TargetMode="External" Id="R70cb7f99dc324e33" /><Relationship Type="http://schemas.microsoft.com/office/2019/09/relationships/intelligence" Target="intelligence.xml" Id="R28a8def7156e48b4" /><Relationship Type="http://schemas.openxmlformats.org/officeDocument/2006/relationships/numbering" Target="numbering.xml" Id="Rbd3e13a82c44451b" /><Relationship Type="http://schemas.openxmlformats.org/officeDocument/2006/relationships/hyperlink" Target="https://www.upcounsel.com/past-consideration" TargetMode="External" Id="R03cb56c6680c476a" /><Relationship Type="http://schemas.openxmlformats.org/officeDocument/2006/relationships/hyperlink" Target="https://doi.org/10.2307/1326089" TargetMode="External" Id="R87e2ccf25d154c0f" /><Relationship Type="http://schemas.openxmlformats.org/officeDocument/2006/relationships/hyperlink" Target="https://heinonline.org/HOL/LandingPage?handle=hein.journals/dubulj2&amp;div=10&amp;id=&amp;page=" TargetMode="External" Id="R3ba9040b4e24466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2022-02-18T22:59:53.9587532Z</dcterms:created>
  <dcterms:modified xsi:type="dcterms:W3CDTF">2022-02-28T06:59:30.4702930Z</dcterms:modified>
  <dc:creator>Frances Williams (1904925)</dc:creator>
  <lastModifiedBy>Frances Williams (1904925)</lastModifiedBy>
</coreProperties>
</file>