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73A9A" w14:textId="2A5756EF" w:rsidR="00817939" w:rsidRPr="00817939" w:rsidRDefault="00817939" w:rsidP="00817939">
      <w:pPr>
        <w:pStyle w:val="paragraph"/>
        <w:spacing w:before="0" w:beforeAutospacing="0" w:after="0" w:afterAutospacing="0"/>
        <w:textAlignment w:val="baseline"/>
        <w:rPr>
          <w:rStyle w:val="normaltextrun"/>
          <w:rFonts w:ascii="Arial" w:hAnsi="Arial" w:cs="Arial"/>
          <w:u w:val="single"/>
        </w:rPr>
      </w:pPr>
      <w:r w:rsidRPr="00817939">
        <w:rPr>
          <w:rStyle w:val="normaltextrun"/>
          <w:rFonts w:ascii="Arial" w:hAnsi="Arial" w:cs="Arial"/>
          <w:u w:val="single"/>
        </w:rPr>
        <w:t>Q1</w:t>
      </w:r>
    </w:p>
    <w:p w14:paraId="1544CDEF" w14:textId="77777777" w:rsidR="00817939" w:rsidRPr="00817939" w:rsidRDefault="00817939" w:rsidP="00817939">
      <w:pPr>
        <w:pStyle w:val="paragraph"/>
        <w:spacing w:before="0" w:beforeAutospacing="0" w:after="0" w:afterAutospacing="0"/>
        <w:textAlignment w:val="baseline"/>
        <w:rPr>
          <w:rStyle w:val="normaltextrun"/>
          <w:rFonts w:ascii="Arial" w:hAnsi="Arial" w:cs="Arial"/>
        </w:rPr>
      </w:pPr>
    </w:p>
    <w:p w14:paraId="73FC7D85" w14:textId="21F0283F"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The Code of Ethics was introduced in July 2014. Its aim is to provide a set of guidelines for police staff to follow and to establish standards of professional behaviour for all. Although there had been guidelines for police standards before, the introduction of the Code aimed to support “each member of the policing profession to deliver the highest professional standards in their service to the public.” (College of Policing). The Code was also introduced to “strengthen and make more explicit the requirement for officers to report their colleagues’ misdemeanours” (</w:t>
      </w:r>
      <w:proofErr w:type="spellStart"/>
      <w:r w:rsidRPr="00817939">
        <w:rPr>
          <w:rStyle w:val="normaltextrun"/>
          <w:rFonts w:ascii="Arial" w:hAnsi="Arial" w:cs="Arial"/>
        </w:rPr>
        <w:t>Westmarland</w:t>
      </w:r>
      <w:proofErr w:type="spellEnd"/>
      <w:r w:rsidRPr="00817939">
        <w:rPr>
          <w:rStyle w:val="normaltextrun"/>
          <w:rFonts w:ascii="Arial" w:hAnsi="Arial" w:cs="Arial"/>
        </w:rPr>
        <w:t xml:space="preserve">, Louise and Rowe, Michael: </w:t>
      </w:r>
      <w:r w:rsidRPr="00817939">
        <w:rPr>
          <w:rStyle w:val="normaltextrun"/>
          <w:rFonts w:ascii="Arial" w:hAnsi="Arial" w:cs="Arial"/>
          <w:i/>
          <w:iCs/>
        </w:rPr>
        <w:t>Police Ethics and Integrity</w:t>
      </w:r>
      <w:r w:rsidRPr="00817939">
        <w:rPr>
          <w:rStyle w:val="normaltextrun"/>
          <w:rFonts w:ascii="Arial" w:hAnsi="Arial" w:cs="Arial"/>
        </w:rPr>
        <w:t>, Policing and Society, 28 (7) p.p. 854-870). </w:t>
      </w:r>
      <w:r w:rsidRPr="00817939">
        <w:rPr>
          <w:rStyle w:val="eop"/>
          <w:rFonts w:ascii="Arial" w:hAnsi="Arial" w:cs="Arial"/>
        </w:rPr>
        <w:t> </w:t>
      </w:r>
    </w:p>
    <w:p w14:paraId="386839EC"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Making sure that professional standards are maintained and that any breach of the Code is reported is important in making sure that the public trust the police. This is vital because the idea of ‘policing by consent’ underpins everything the service does. According to the UK Parliament Post, “the British model of policing asserts that the power of the police to execute their duties depends on the common consent of the public”. For policing to work, the service must have the trust and confidence of the public. This in turn “has been shown to facilitate compliance and cooperation with the police”. (UK Parliament Post, Richard Brown, Abbi Hobbs, 2023).  </w:t>
      </w:r>
      <w:r w:rsidRPr="00817939">
        <w:rPr>
          <w:rStyle w:val="eop"/>
          <w:rFonts w:ascii="Arial" w:hAnsi="Arial" w:cs="Arial"/>
        </w:rPr>
        <w:t> </w:t>
      </w:r>
    </w:p>
    <w:p w14:paraId="1182EE13"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Recently, however, there have been several high-profile cases where public trust and confidence in the police has been seriously affected. The murder of Sarah Everard by police officer (Wayne Couzens) in 2021 and the conviction of PCs Deniz Jaffer and Jamie Lewis, who took photographs of the bodies of murder victims Nicole Smallman and </w:t>
      </w:r>
      <w:proofErr w:type="spellStart"/>
      <w:r w:rsidRPr="00817939">
        <w:rPr>
          <w:rStyle w:val="normaltextrun"/>
          <w:rFonts w:ascii="Arial" w:hAnsi="Arial" w:cs="Arial"/>
        </w:rPr>
        <w:t>Bibaa</w:t>
      </w:r>
      <w:proofErr w:type="spellEnd"/>
      <w:r w:rsidRPr="00817939">
        <w:rPr>
          <w:rStyle w:val="normaltextrun"/>
          <w:rFonts w:ascii="Arial" w:hAnsi="Arial" w:cs="Arial"/>
        </w:rPr>
        <w:t xml:space="preserve"> Henry in June 2020, both had a significant impact on the way the service is viewed by the public. In fact, Her Majesty’s Chief Inspector of Constabulary Annual Report, published on 9</w:t>
      </w:r>
      <w:r w:rsidRPr="00817939">
        <w:rPr>
          <w:rStyle w:val="normaltextrun"/>
          <w:rFonts w:ascii="Arial" w:hAnsi="Arial" w:cs="Arial"/>
          <w:sz w:val="19"/>
          <w:szCs w:val="19"/>
          <w:vertAlign w:val="superscript"/>
        </w:rPr>
        <w:t>th</w:t>
      </w:r>
      <w:r w:rsidRPr="00817939">
        <w:rPr>
          <w:rStyle w:val="normaltextrun"/>
          <w:rFonts w:ascii="Arial" w:hAnsi="Arial" w:cs="Arial"/>
        </w:rPr>
        <w:t xml:space="preserve"> June 2023, found that “The fundamental principle of policing by consent, upon which the service is built, is at risk. Significant reductions in trust and confidence have been recorded.” </w:t>
      </w:r>
      <w:r w:rsidRPr="00817939">
        <w:rPr>
          <w:rStyle w:val="eop"/>
          <w:rFonts w:ascii="Arial" w:hAnsi="Arial" w:cs="Arial"/>
        </w:rPr>
        <w:t> </w:t>
      </w:r>
    </w:p>
    <w:p w14:paraId="66F4127C"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Despite this, the Code of Ethics clearly helps to reduce incidents of professional misconduct as it underpins the National Decision-Making Model which all police officers follow while on duty. To use one example of officers tasked with attending a report of a person armed with a knife, the first section of the Model is to “Gather information and intelligence”, which officers receive from control whilst on route to a call. Upon arrival, officers would then assess the risk to themselves and the person, which could mean requesting further units or for officers to consider whether use of force is necessary. The next step of the NDM is to “consider powers and policies”. Officers would look whether there is a power to arrest in this situation; otherwise, they would look at other “options and contingencies” - for example, whether the person requires treatment under the Mental Health Act. The outcome of the incident would then be </w:t>
      </w:r>
      <w:proofErr w:type="gramStart"/>
      <w:r w:rsidRPr="00817939">
        <w:rPr>
          <w:rStyle w:val="normaltextrun"/>
          <w:rFonts w:ascii="Arial" w:hAnsi="Arial" w:cs="Arial"/>
        </w:rPr>
        <w:t>reviewed</w:t>
      </w:r>
      <w:proofErr w:type="gramEnd"/>
      <w:r w:rsidRPr="00817939">
        <w:rPr>
          <w:rStyle w:val="normaltextrun"/>
          <w:rFonts w:ascii="Arial" w:hAnsi="Arial" w:cs="Arial"/>
        </w:rPr>
        <w:t xml:space="preserve"> and appropriate action taken as necessary. Therefore, by adhering to the National </w:t>
      </w:r>
      <w:proofErr w:type="gramStart"/>
      <w:r w:rsidRPr="00817939">
        <w:rPr>
          <w:rStyle w:val="normaltextrun"/>
          <w:rFonts w:ascii="Arial" w:hAnsi="Arial" w:cs="Arial"/>
        </w:rPr>
        <w:t>Decision Making</w:t>
      </w:r>
      <w:proofErr w:type="gramEnd"/>
      <w:r w:rsidRPr="00817939">
        <w:rPr>
          <w:rStyle w:val="normaltextrun"/>
          <w:rFonts w:ascii="Arial" w:hAnsi="Arial" w:cs="Arial"/>
        </w:rPr>
        <w:t xml:space="preserve"> Model when attending incidents, officers can be sure they are following the Code of Ethics at all times. </w:t>
      </w:r>
      <w:r w:rsidRPr="00817939">
        <w:rPr>
          <w:rStyle w:val="eop"/>
          <w:rFonts w:ascii="Arial" w:hAnsi="Arial" w:cs="Arial"/>
        </w:rPr>
        <w:t> </w:t>
      </w:r>
    </w:p>
    <w:p w14:paraId="3C76191B"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The Code of Ethics also encourages “ethical behaviour” by setting out the nine policing principles of: Accountability, Fairness, Honesty, Integrity, Leadership, Objectivity, Openness, Respect and Selflessness. During their attestation, police officers make a formal commitment to these principles. It has a “statutory basis in law” (Blackstone’s Handbook for Policing Students, Sixteenth Edition, Oxford University Press, Edited by Dr Dominic Wood, Professor Sarah Bradshaw, Dr Tara Dickens, Dr Julian Parker-McLeod, Dr Francis </w:t>
      </w:r>
      <w:proofErr w:type="gramStart"/>
      <w:r w:rsidRPr="00817939">
        <w:rPr>
          <w:rStyle w:val="normaltextrun"/>
          <w:rFonts w:ascii="Arial" w:hAnsi="Arial" w:cs="Arial"/>
        </w:rPr>
        <w:t>Simpson</w:t>
      </w:r>
      <w:proofErr w:type="gramEnd"/>
      <w:r w:rsidRPr="00817939">
        <w:rPr>
          <w:rStyle w:val="normaltextrun"/>
          <w:rFonts w:ascii="Arial" w:hAnsi="Arial" w:cs="Arial"/>
        </w:rPr>
        <w:t xml:space="preserve"> and Graham Weaver), so any breaches of the code can result in prosecution and / or gross misconduct. This </w:t>
      </w:r>
      <w:r w:rsidRPr="00817939">
        <w:rPr>
          <w:rStyle w:val="normaltextrun"/>
          <w:rFonts w:ascii="Arial" w:hAnsi="Arial" w:cs="Arial"/>
        </w:rPr>
        <w:lastRenderedPageBreak/>
        <w:t>should be an effective deterrent for any member of staff tempted to breach the code – for example, by accepting a bribe or falsifying statements and records. </w:t>
      </w:r>
      <w:r w:rsidRPr="00817939">
        <w:rPr>
          <w:rStyle w:val="eop"/>
          <w:rFonts w:ascii="Arial" w:hAnsi="Arial" w:cs="Arial"/>
        </w:rPr>
        <w:t> </w:t>
      </w:r>
    </w:p>
    <w:p w14:paraId="19ADF687"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The Code of Ethics also helps to reduce misconduct in the service and increases public confidence in the police because it makes “the values, beliefs, attitudes and knowledge that guide the judgements of every individual” (College of Policing, Code of Ethics 2014) in the force transparently clear. For example, the principle of Integrity covers the use of force and requires officers to “retain proportionate self-restraint in volatile situations.” (College of Policing, Code of Ethics 2014). It also instructs staff to “ensure [their] behaviour and language could not reasonably be perceived to be abusive, oppressive, harassing, bullying, victimising or offensive”. One way that this can be ensured is by ensuring that body-worn cameras are switched on during incidents and informing members of the public that they are being recorded. This footage later gets reviewed by a third party to ensure that officers have acted with appropriate “self-control and tolerance”, therefore following the Code of Ethics appropriately. </w:t>
      </w:r>
      <w:r w:rsidRPr="00817939">
        <w:rPr>
          <w:rStyle w:val="eop"/>
          <w:rFonts w:ascii="Arial" w:hAnsi="Arial" w:cs="Arial"/>
        </w:rPr>
        <w:t> </w:t>
      </w:r>
    </w:p>
    <w:p w14:paraId="41D76B17"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A further way in which the Code of Ethics can achieve its aim is by supporting staff who challenge and report any breaches of the Code. The Code means that there is now “an explicit requirement for officers to ‘blow the whistle’ on colleagues who commit misdemeanours.” (</w:t>
      </w:r>
      <w:proofErr w:type="spellStart"/>
      <w:r w:rsidRPr="00817939">
        <w:rPr>
          <w:rStyle w:val="normaltextrun"/>
          <w:rFonts w:ascii="Arial" w:hAnsi="Arial" w:cs="Arial"/>
        </w:rPr>
        <w:t>Westmarland</w:t>
      </w:r>
      <w:proofErr w:type="spellEnd"/>
      <w:r w:rsidRPr="00817939">
        <w:rPr>
          <w:rStyle w:val="normaltextrun"/>
          <w:rFonts w:ascii="Arial" w:hAnsi="Arial" w:cs="Arial"/>
        </w:rPr>
        <w:t xml:space="preserve">, Louise and Rowe, Michael: </w:t>
      </w:r>
      <w:r w:rsidRPr="00817939">
        <w:rPr>
          <w:rStyle w:val="normaltextrun"/>
          <w:rFonts w:ascii="Arial" w:hAnsi="Arial" w:cs="Arial"/>
          <w:i/>
          <w:iCs/>
        </w:rPr>
        <w:t>Police Ethics and Integrity</w:t>
      </w:r>
      <w:r w:rsidRPr="00817939">
        <w:rPr>
          <w:rStyle w:val="normaltextrun"/>
          <w:rFonts w:ascii="Arial" w:hAnsi="Arial" w:cs="Arial"/>
        </w:rPr>
        <w:t>, Policing and Society, 28 (7) p.p. 854-870). This applies to all staff regardless of rank and should help members of the force who challenge unacceptable behaviour to feel supported during this difficult time. </w:t>
      </w:r>
      <w:r w:rsidRPr="00817939">
        <w:rPr>
          <w:rStyle w:val="eop"/>
          <w:rFonts w:ascii="Arial" w:hAnsi="Arial" w:cs="Arial"/>
        </w:rPr>
        <w:t> </w:t>
      </w:r>
    </w:p>
    <w:p w14:paraId="0034273A"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According to The Open University, an historic ‘blue code’ of silence has meant that police staff have often ignored inappropriate behaviour by colleagues or even covered it up. However, the Code of Ethics challenges this ‘blue code’ by requiring “everyone in policing to prevent unprofessional conduct by questioning behaviour which falls below expected standards. Additionally, it supports reporting or </w:t>
      </w:r>
      <w:proofErr w:type="gramStart"/>
      <w:r w:rsidRPr="00817939">
        <w:rPr>
          <w:rStyle w:val="normaltextrun"/>
          <w:rFonts w:ascii="Arial" w:hAnsi="Arial" w:cs="Arial"/>
        </w:rPr>
        <w:t>taking action</w:t>
      </w:r>
      <w:proofErr w:type="gramEnd"/>
      <w:r w:rsidRPr="00817939">
        <w:rPr>
          <w:rStyle w:val="normaltextrun"/>
          <w:rFonts w:ascii="Arial" w:hAnsi="Arial" w:cs="Arial"/>
        </w:rPr>
        <w:t xml:space="preserve"> against such behaviour.” (College of Policing Code of Ethics).  The Open University found that “adhering to the ‘blue code’ rather than the Code of Ethics could now be regarded as a criminal offence and/or gross misconduct and if proven, may result in dismissal.” This helps to reduce incidents of professional misconduct because, for example, if a colleague took money from a wallet found during a house search, the Code of Ethics means that any witnessing officer is legally obliged to report it. Having this system in place means that public confidence in the service should therefore be strengthened. </w:t>
      </w:r>
      <w:r w:rsidRPr="00817939">
        <w:rPr>
          <w:rStyle w:val="eop"/>
          <w:rFonts w:ascii="Arial" w:hAnsi="Arial" w:cs="Arial"/>
        </w:rPr>
        <w:t> </w:t>
      </w:r>
    </w:p>
    <w:p w14:paraId="6BD195B0" w14:textId="77777777" w:rsidR="00817939" w:rsidRPr="00817939" w:rsidRDefault="00817939" w:rsidP="00817939">
      <w:pPr>
        <w:pStyle w:val="paragraph"/>
        <w:spacing w:before="0" w:beforeAutospacing="0" w:after="0" w:afterAutospacing="0"/>
        <w:textAlignment w:val="baseline"/>
        <w:rPr>
          <w:rStyle w:val="eop"/>
          <w:rFonts w:ascii="Arial" w:hAnsi="Arial" w:cs="Arial"/>
        </w:rPr>
      </w:pPr>
      <w:r w:rsidRPr="00817939">
        <w:rPr>
          <w:rStyle w:val="normaltextrun"/>
          <w:rFonts w:ascii="Arial" w:hAnsi="Arial" w:cs="Arial"/>
        </w:rPr>
        <w:t>In conclusion, although there are cases whereby police staff breach the Code of Ethics, the Chief Inspector of Constabulary’s 2023 report concludes that: “For the most part, [the police] service [is] full of dedicated officers, staff and volunteers who are committed to serving the public.” Making police staff legally responsible for upholding the Code of Ethics should mean that this dedication and commitment remains the defining part of British policing. </w:t>
      </w:r>
      <w:r w:rsidRPr="00817939">
        <w:rPr>
          <w:rStyle w:val="eop"/>
          <w:rFonts w:ascii="Arial" w:hAnsi="Arial" w:cs="Arial"/>
        </w:rPr>
        <w:t> </w:t>
      </w:r>
    </w:p>
    <w:p w14:paraId="626874ED" w14:textId="77777777" w:rsidR="00817939" w:rsidRPr="00817939" w:rsidRDefault="00817939" w:rsidP="00817939">
      <w:pPr>
        <w:spacing w:after="16" w:line="259" w:lineRule="auto"/>
        <w:ind w:left="567" w:right="0" w:firstLine="0"/>
        <w:jc w:val="left"/>
        <w:rPr>
          <w:color w:val="auto"/>
          <w:sz w:val="22"/>
        </w:rPr>
      </w:pPr>
    </w:p>
    <w:p w14:paraId="5D87F95F" w14:textId="77777777" w:rsidR="00817939" w:rsidRPr="00817939" w:rsidRDefault="00817939" w:rsidP="00817939">
      <w:pPr>
        <w:spacing w:after="16" w:line="259" w:lineRule="auto"/>
        <w:ind w:left="567" w:right="0" w:firstLine="0"/>
        <w:jc w:val="left"/>
        <w:rPr>
          <w:color w:val="auto"/>
          <w:sz w:val="22"/>
        </w:rPr>
      </w:pPr>
    </w:p>
    <w:p w14:paraId="15E629AD" w14:textId="6CDD3193" w:rsidR="00817939" w:rsidRPr="00817939" w:rsidRDefault="00817939" w:rsidP="00817939">
      <w:pPr>
        <w:spacing w:after="16" w:line="259" w:lineRule="auto"/>
        <w:ind w:left="567" w:right="0" w:firstLine="0"/>
        <w:jc w:val="left"/>
        <w:rPr>
          <w:color w:val="auto"/>
          <w:sz w:val="22"/>
          <w:u w:val="single"/>
        </w:rPr>
      </w:pPr>
      <w:r w:rsidRPr="00817939">
        <w:rPr>
          <w:color w:val="auto"/>
          <w:sz w:val="22"/>
          <w:u w:val="single"/>
        </w:rPr>
        <w:t>Q2</w:t>
      </w:r>
    </w:p>
    <w:p w14:paraId="7B47EBE7" w14:textId="77777777" w:rsidR="008A54EB" w:rsidRPr="00817939" w:rsidRDefault="008A54EB" w:rsidP="00817939">
      <w:pPr>
        <w:ind w:left="0" w:firstLine="0"/>
        <w:rPr>
          <w:color w:val="auto"/>
        </w:rPr>
      </w:pPr>
    </w:p>
    <w:p w14:paraId="18CAC9FD"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According to HM Inspectorate of Probation, “the public have a right to expect that [criminal justice agencies] take all reasonable steps to reduce the potential for further harm by individuals who have committed serious violence or sexual offences” (HM Government, Public Health England). To support this idea, the Multi-Agency Public Protection Arrangements (MAPPA) have been in place for twenty years. According </w:t>
      </w:r>
      <w:r w:rsidRPr="00817939">
        <w:rPr>
          <w:rStyle w:val="normaltextrun"/>
          <w:rFonts w:ascii="Arial" w:hAnsi="Arial" w:cs="Arial"/>
        </w:rPr>
        <w:lastRenderedPageBreak/>
        <w:t xml:space="preserve">to Chief Constable Michelle Skeer QPM, “MAPPA is the foundation stone on which public trust is built. We manage tens of thousands of offenders in the community </w:t>
      </w:r>
      <w:proofErr w:type="spellStart"/>
      <w:r w:rsidRPr="00817939">
        <w:rPr>
          <w:rStyle w:val="normaltextrun"/>
          <w:rFonts w:ascii="Arial" w:hAnsi="Arial" w:cs="Arial"/>
        </w:rPr>
        <w:t>ad</w:t>
      </w:r>
      <w:proofErr w:type="spellEnd"/>
      <w:r w:rsidRPr="00817939">
        <w:rPr>
          <w:rStyle w:val="normaltextrun"/>
          <w:rFonts w:ascii="Arial" w:hAnsi="Arial" w:cs="Arial"/>
        </w:rPr>
        <w:t xml:space="preserve"> so do effectively due to the provisions of MAPPA.” (She is the National Police Chiefs’ Council Leas for the Management of Sexual and Violent Offenders, quoted in </w:t>
      </w:r>
      <w:hyperlink r:id="rId4" w:tgtFrame="_blank" w:history="1">
        <w:r w:rsidRPr="00817939">
          <w:rPr>
            <w:rStyle w:val="normaltextrun"/>
            <w:rFonts w:ascii="Arial" w:hAnsi="Arial" w:cs="Arial"/>
            <w:u w:val="single"/>
            <w:shd w:val="clear" w:color="auto" w:fill="E1E3E6"/>
          </w:rPr>
          <w:t>www.aru.ac.uk/policing-institute/research/mappa/national-mappa-research</w:t>
        </w:r>
      </w:hyperlink>
      <w:r w:rsidRPr="00817939">
        <w:rPr>
          <w:rStyle w:val="normaltextrun"/>
          <w:rFonts w:ascii="Arial" w:hAnsi="Arial" w:cs="Arial"/>
        </w:rPr>
        <w:t>). </w:t>
      </w:r>
      <w:r w:rsidRPr="00817939">
        <w:rPr>
          <w:rStyle w:val="eop"/>
          <w:rFonts w:ascii="Arial" w:hAnsi="Arial" w:cs="Arial"/>
        </w:rPr>
        <w:t> </w:t>
      </w:r>
    </w:p>
    <w:p w14:paraId="36B3B1AC"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MAPPA arrangements are “considered by many organisations as the key to the successful management of violent and sexual offenders, especially their reintegration into society after a prison sentence.” (Blackstone’s). Police, </w:t>
      </w:r>
      <w:proofErr w:type="gramStart"/>
      <w:r w:rsidRPr="00817939">
        <w:rPr>
          <w:rStyle w:val="normaltextrun"/>
          <w:rFonts w:ascii="Arial" w:hAnsi="Arial" w:cs="Arial"/>
        </w:rPr>
        <w:t>probation</w:t>
      </w:r>
      <w:proofErr w:type="gramEnd"/>
      <w:r w:rsidRPr="00817939">
        <w:rPr>
          <w:rStyle w:val="normaltextrun"/>
          <w:rFonts w:ascii="Arial" w:hAnsi="Arial" w:cs="Arial"/>
        </w:rPr>
        <w:t xml:space="preserve"> and prison services make up the ‘Responsible Authority’ for MAPPA and work with other agencies such as health / social services, children’s services, housing, landlords, youth offending teams and many others to effectively monitor offenders and prevent them reoffending. HM Inspectorate of Probation states that “Critical success factors include effective communication [between these agencies], enhanced access to services and rapid responses to escalating risk or deteriorating behaviour.” It also recommends “defensible decision-making” at every level, meaning that decisions made in the management of such offenders should “withstand hindsight scrutiny”. (HM Inspectorate of Probation, Multi Agency Public Protection Arrangements). </w:t>
      </w:r>
      <w:r w:rsidRPr="00817939">
        <w:rPr>
          <w:rStyle w:val="eop"/>
          <w:rFonts w:ascii="Arial" w:hAnsi="Arial" w:cs="Arial"/>
        </w:rPr>
        <w:t> </w:t>
      </w:r>
    </w:p>
    <w:p w14:paraId="26B3E742"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Research carried out by the Policing Institute for the Eastern Region (PIER) at the Anglia Ruskin University recently found that “MAPPA is working extremely well and that the arrangements are successfully reducing harm through their interventions in a significant way.” (ARU, Prof. Samantha </w:t>
      </w:r>
      <w:proofErr w:type="spellStart"/>
      <w:r w:rsidRPr="00817939">
        <w:rPr>
          <w:rStyle w:val="normaltextrun"/>
          <w:rFonts w:ascii="Arial" w:hAnsi="Arial" w:cs="Arial"/>
        </w:rPr>
        <w:t>Lundigran</w:t>
      </w:r>
      <w:proofErr w:type="spellEnd"/>
      <w:r w:rsidRPr="00817939">
        <w:rPr>
          <w:rStyle w:val="normaltextrun"/>
          <w:rFonts w:ascii="Arial" w:hAnsi="Arial" w:cs="Arial"/>
        </w:rPr>
        <w:t>, Director of PIER). This research was seen as being the “first of its kind” when it was published in 2023. It looked at data from nearly 40,000 offenders since MAPPA was introduced in 2003 and found that “the reoffending rates of those managed under MAPPA are less than half of that of the national average.” This clearly shows that a multi-agency approach to the management of violent and sexual offenders is working. In addition, the report found that “the one-year proven reoffending rate for MAPPA-managed individuals is 12.2% compared to …. reoffending rates of between 30% and 31.3% over a similar time frame.” (ARU, PIER) This is very positive and seems to support the idea that a multi-agency approach is the preferred way to manage offenders in these categories. </w:t>
      </w:r>
      <w:r w:rsidRPr="00817939">
        <w:rPr>
          <w:rStyle w:val="eop"/>
          <w:rFonts w:ascii="Arial" w:hAnsi="Arial" w:cs="Arial"/>
        </w:rPr>
        <w:t> </w:t>
      </w:r>
    </w:p>
    <w:p w14:paraId="5EBB854C"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In addition, HM Inspectorate of Probation found that “MAPPA enhances risk management and protection of the public in the majority of cases.” (HM Inspectorate of Probation). Recent changes to the structure of MAPPA to include the “Four Pillars approach (</w:t>
      </w:r>
      <w:proofErr w:type="spellStart"/>
      <w:r w:rsidRPr="00817939">
        <w:rPr>
          <w:rStyle w:val="normaltextrun"/>
          <w:rFonts w:ascii="Arial" w:hAnsi="Arial" w:cs="Arial"/>
        </w:rPr>
        <w:t>Kemshall</w:t>
      </w:r>
      <w:proofErr w:type="spellEnd"/>
      <w:r w:rsidRPr="00817939">
        <w:rPr>
          <w:rStyle w:val="normaltextrun"/>
          <w:rFonts w:ascii="Arial" w:hAnsi="Arial" w:cs="Arial"/>
        </w:rPr>
        <w:t>, 2010) mean that, “when followed, this approach puts risk management at the heart of the process.” The Four Pillars has four key areas: supervision, monitoring and control, interventions and treatment and victim safety planning. Inspectors found that when agencies adhere to this approach, “MAPPA adds significant value to the management of cases”, particularly at Levels 2 and 3. Furthermore, “additional support and resources are often gained which would have been unlikely without the MAPPA forum.” (HM Government, Public Health England etc). A case study at HMP New Hall was highlighted as an example of best practice. A female serving a sentence for abuse and neglect of a child and assessed as high risk of harm was placed under MAPPA Category 2, Level 2. Her phone calls and mail were monitored in prison. Staff knew that they had to prioritise her calls and because a variety of agencies shared information with one another rapidly, it was quickly identified that there was “evidence of controlling behaviour by the female towards her children.” MAPPA involvement meant that Children’s Services could safeguard the children ahead of her release from prison. (Public Health England working with the Department of Health and Social Care and the Home Office).</w:t>
      </w:r>
      <w:r w:rsidRPr="00817939">
        <w:rPr>
          <w:rStyle w:val="eop"/>
          <w:rFonts w:ascii="Arial" w:hAnsi="Arial" w:cs="Arial"/>
        </w:rPr>
        <w:t> </w:t>
      </w:r>
    </w:p>
    <w:p w14:paraId="5AF5A8E6"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lastRenderedPageBreak/>
        <w:t xml:space="preserve">However, the efficiency of MAPPA in managing violent and sexual offenders is questioned whenever there is a high-profile case in the media about offenders who commit serious crimes while apparently being monitored under the organisation. For example, Judge Mark </w:t>
      </w:r>
      <w:proofErr w:type="spellStart"/>
      <w:r w:rsidRPr="00817939">
        <w:rPr>
          <w:rStyle w:val="normaltextrun"/>
          <w:rFonts w:ascii="Arial" w:hAnsi="Arial" w:cs="Arial"/>
        </w:rPr>
        <w:t>Lucraft</w:t>
      </w:r>
      <w:proofErr w:type="spellEnd"/>
      <w:r w:rsidRPr="00817939">
        <w:rPr>
          <w:rStyle w:val="normaltextrun"/>
          <w:rFonts w:ascii="Arial" w:hAnsi="Arial" w:cs="Arial"/>
        </w:rPr>
        <w:t xml:space="preserve"> QC, who presided over the deaths of two people killed by convicted terrorist Usman Khan in 2019, identified “collective failures by the security services, </w:t>
      </w:r>
      <w:proofErr w:type="gramStart"/>
      <w:r w:rsidRPr="00817939">
        <w:rPr>
          <w:rStyle w:val="normaltextrun"/>
          <w:rFonts w:ascii="Arial" w:hAnsi="Arial" w:cs="Arial"/>
        </w:rPr>
        <w:t>police</w:t>
      </w:r>
      <w:proofErr w:type="gramEnd"/>
      <w:r w:rsidRPr="00817939">
        <w:rPr>
          <w:rStyle w:val="normaltextrun"/>
          <w:rFonts w:ascii="Arial" w:hAnsi="Arial" w:cs="Arial"/>
        </w:rPr>
        <w:t xml:space="preserve"> and probation officers before the killings at Fishmongers’ Hall in London. Among the 22 “matters of concern” which were identified in his report, was the failure of MI5 to “share intelligence information about the likelihood of the attack”. Judge </w:t>
      </w:r>
      <w:proofErr w:type="spellStart"/>
      <w:r w:rsidRPr="00817939">
        <w:rPr>
          <w:rStyle w:val="normaltextrun"/>
          <w:rFonts w:ascii="Arial" w:hAnsi="Arial" w:cs="Arial"/>
        </w:rPr>
        <w:t>Lucraft</w:t>
      </w:r>
      <w:proofErr w:type="spellEnd"/>
      <w:r w:rsidRPr="00817939">
        <w:rPr>
          <w:rStyle w:val="normaltextrun"/>
          <w:rFonts w:ascii="Arial" w:hAnsi="Arial" w:cs="Arial"/>
        </w:rPr>
        <w:t xml:space="preserve"> also found that “the decision to allow Khan to attend the [event] unaccompanied was not recorded in MAPPA meetings attended by a variety of agencies responsible for monitoring him. This case clearly highlights the need for essential information-sharing between services. </w:t>
      </w:r>
      <w:r w:rsidRPr="00817939">
        <w:rPr>
          <w:rStyle w:val="eop"/>
          <w:rFonts w:ascii="Arial" w:hAnsi="Arial" w:cs="Arial"/>
        </w:rPr>
        <w:t> </w:t>
      </w:r>
    </w:p>
    <w:p w14:paraId="1D5D55CD"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Recent studies into the efficiency of multi-agency approaches have also highlighted areas of concern which need to be addressed if the system is to work reliably. For example, HM Inspectorate of Probation concluded that “the lack of focus on and scrutiny of probation-led Level 1 cases leads to unsatisfactory risk management in too many cases” (HM Inspectorate Probation).</w:t>
      </w:r>
      <w:r w:rsidRPr="00817939">
        <w:rPr>
          <w:rStyle w:val="eop"/>
          <w:rFonts w:ascii="Arial" w:hAnsi="Arial" w:cs="Arial"/>
        </w:rPr>
        <w:t> </w:t>
      </w:r>
    </w:p>
    <w:p w14:paraId="20B14F93"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Furthermore, there should be “enhanced management of individuals convicted of domestic abuse or sexually motivated crimes to ensure they can be managed under MAPPA”. On a local level, a male who was MAPPA Level 3 was recently released from prison after a ten-year sentence relating to domestic violence. Soon after release he was arrested for another domestic violence offence for which he was later convicted. Failure to provide suitable housing for this offender meant that he was living with the victim without the knowledge of the authorities. This clearly illustrates that even the highest level of MAPPA supervision can have flaws. </w:t>
      </w:r>
      <w:r w:rsidRPr="00817939">
        <w:rPr>
          <w:rStyle w:val="eop"/>
          <w:rFonts w:ascii="Arial" w:hAnsi="Arial" w:cs="Arial"/>
        </w:rPr>
        <w:t> </w:t>
      </w:r>
    </w:p>
    <w:p w14:paraId="4D46736C"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In conclusion, however, when used alongside other systems such as MARACs and VISOR, it is evident that a multi-agency approach is the most effective method of managing dangerous offenders. Although the criminal justice system can never fully remove risk to the public, HM Inspectorate of Probation concluded that MAPPA “</w:t>
      </w:r>
      <w:proofErr w:type="spellStart"/>
      <w:r w:rsidRPr="00817939">
        <w:rPr>
          <w:rStyle w:val="normaltextrun"/>
          <w:rFonts w:ascii="Arial" w:hAnsi="Arial" w:cs="Arial"/>
        </w:rPr>
        <w:t>provid</w:t>
      </w:r>
      <w:proofErr w:type="spellEnd"/>
      <w:r w:rsidRPr="00817939">
        <w:rPr>
          <w:rStyle w:val="normaltextrun"/>
          <w:rFonts w:ascii="Arial" w:hAnsi="Arial" w:cs="Arial"/>
        </w:rPr>
        <w:t>[es] assurances that all agencies are doing everything within their power to contain the risk posed by an individual, even when there is little prospect of change.” </w:t>
      </w:r>
      <w:r w:rsidRPr="00817939">
        <w:rPr>
          <w:rStyle w:val="eop"/>
          <w:rFonts w:ascii="Arial" w:hAnsi="Arial" w:cs="Arial"/>
        </w:rPr>
        <w:t> </w:t>
      </w:r>
    </w:p>
    <w:p w14:paraId="5AEE3EDF" w14:textId="77777777" w:rsidR="00817939" w:rsidRPr="00817939" w:rsidRDefault="00817939" w:rsidP="00817939">
      <w:pPr>
        <w:ind w:left="0" w:firstLine="0"/>
        <w:rPr>
          <w:color w:val="auto"/>
        </w:rPr>
      </w:pPr>
    </w:p>
    <w:p w14:paraId="1834B287" w14:textId="77777777" w:rsidR="00817939" w:rsidRPr="00817939" w:rsidRDefault="00817939" w:rsidP="00817939">
      <w:pPr>
        <w:ind w:left="0" w:firstLine="0"/>
        <w:rPr>
          <w:color w:val="auto"/>
        </w:rPr>
      </w:pPr>
    </w:p>
    <w:p w14:paraId="1193A837" w14:textId="238B23F0" w:rsidR="00817939" w:rsidRPr="00817939" w:rsidRDefault="00817939" w:rsidP="00817939">
      <w:pPr>
        <w:ind w:left="0" w:firstLine="0"/>
        <w:rPr>
          <w:color w:val="auto"/>
          <w:u w:val="single"/>
        </w:rPr>
      </w:pPr>
      <w:r w:rsidRPr="00817939">
        <w:rPr>
          <w:color w:val="auto"/>
          <w:u w:val="single"/>
        </w:rPr>
        <w:t>Q3</w:t>
      </w:r>
    </w:p>
    <w:p w14:paraId="749B379D" w14:textId="77777777" w:rsidR="00817939" w:rsidRPr="00817939" w:rsidRDefault="00817939" w:rsidP="00817939">
      <w:pPr>
        <w:ind w:left="0" w:firstLine="0"/>
        <w:rPr>
          <w:color w:val="auto"/>
          <w:u w:val="single"/>
        </w:rPr>
      </w:pPr>
    </w:p>
    <w:p w14:paraId="3B8240BB"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shd w:val="clear" w:color="auto" w:fill="FFFFFF"/>
        </w:rPr>
        <w:t xml:space="preserve">The Home Office defines serious and organised crime as: “individuals planning, co-ordinating and committing serious offences, whether individually, in groups and/or as part of transnational networks. Categories of serious offences covered by the term </w:t>
      </w:r>
      <w:proofErr w:type="gramStart"/>
      <w:r w:rsidRPr="00817939">
        <w:rPr>
          <w:rStyle w:val="normaltextrun"/>
          <w:rFonts w:ascii="Arial" w:hAnsi="Arial" w:cs="Arial"/>
          <w:shd w:val="clear" w:color="auto" w:fill="FFFFFF"/>
        </w:rPr>
        <w:t>are:</w:t>
      </w:r>
      <w:proofErr w:type="gramEnd"/>
      <w:r w:rsidRPr="00817939">
        <w:rPr>
          <w:rStyle w:val="normaltextrun"/>
          <w:rFonts w:ascii="Arial" w:hAnsi="Arial" w:cs="Arial"/>
          <w:shd w:val="clear" w:color="auto" w:fill="FFFFFF"/>
        </w:rPr>
        <w:t xml:space="preserve"> child sexual exploitation and abuse; illegal drugs; illegal firearms; fraud; money laundering and other economic crime; bribery and corruption; organised immigration crime; modern slavery and human trafficking; and </w:t>
      </w:r>
      <w:proofErr w:type="spellStart"/>
      <w:r w:rsidRPr="00817939">
        <w:rPr>
          <w:rStyle w:val="normaltextrun"/>
          <w:rFonts w:ascii="Arial" w:hAnsi="Arial" w:cs="Arial"/>
          <w:shd w:val="clear" w:color="auto" w:fill="FFFFFF"/>
        </w:rPr>
        <w:t>cyber crime</w:t>
      </w:r>
      <w:proofErr w:type="spellEnd"/>
      <w:r w:rsidRPr="00817939">
        <w:rPr>
          <w:rStyle w:val="normaltextrun"/>
          <w:rFonts w:ascii="Arial" w:hAnsi="Arial" w:cs="Arial"/>
          <w:shd w:val="clear" w:color="auto" w:fill="FFFFFF"/>
        </w:rPr>
        <w:t>.” (</w:t>
      </w:r>
      <w:hyperlink r:id="rId5" w:tgtFrame="_blank" w:history="1">
        <w:r w:rsidRPr="00817939">
          <w:rPr>
            <w:rStyle w:val="normaltextrun"/>
            <w:rFonts w:ascii="Calibri" w:hAnsi="Calibri" w:cs="Calibri"/>
            <w:sz w:val="22"/>
            <w:szCs w:val="22"/>
            <w:u w:val="single"/>
          </w:rPr>
          <w:t>Serious and Organised Crime Strategy (accessible version) - GOV.UK (www.gov.uk)</w:t>
        </w:r>
      </w:hyperlink>
      <w:r w:rsidRPr="00817939">
        <w:rPr>
          <w:rStyle w:val="normaltextrun"/>
          <w:rFonts w:ascii="Calibri" w:hAnsi="Calibri" w:cs="Calibri"/>
          <w:sz w:val="22"/>
          <w:szCs w:val="22"/>
        </w:rPr>
        <w:t>)</w:t>
      </w:r>
      <w:r w:rsidRPr="00817939">
        <w:rPr>
          <w:rStyle w:val="eop"/>
          <w:rFonts w:ascii="Calibri" w:hAnsi="Calibri" w:cs="Calibri"/>
          <w:sz w:val="22"/>
          <w:szCs w:val="22"/>
        </w:rPr>
        <w:t> </w:t>
      </w:r>
    </w:p>
    <w:p w14:paraId="0EFA1D3A"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Lifestyle theory is a strand of criminology that explores whether certain people may be more vulnerable to becoming a victim of crime depending on their social, </w:t>
      </w:r>
      <w:proofErr w:type="gramStart"/>
      <w:r w:rsidRPr="00817939">
        <w:rPr>
          <w:rStyle w:val="normaltextrun"/>
          <w:rFonts w:ascii="Arial" w:hAnsi="Arial" w:cs="Arial"/>
        </w:rPr>
        <w:t>economic</w:t>
      </w:r>
      <w:proofErr w:type="gramEnd"/>
      <w:r w:rsidRPr="00817939">
        <w:rPr>
          <w:rStyle w:val="normaltextrun"/>
          <w:rFonts w:ascii="Arial" w:hAnsi="Arial" w:cs="Arial"/>
        </w:rPr>
        <w:t xml:space="preserve"> and psychological backgrounds. Research into this area began in the seventies and found strong links between people’s domestic, </w:t>
      </w:r>
      <w:proofErr w:type="gramStart"/>
      <w:r w:rsidRPr="00817939">
        <w:rPr>
          <w:rStyle w:val="normaltextrun"/>
          <w:rFonts w:ascii="Arial" w:hAnsi="Arial" w:cs="Arial"/>
        </w:rPr>
        <w:t>financial</w:t>
      </w:r>
      <w:proofErr w:type="gramEnd"/>
      <w:r w:rsidRPr="00817939">
        <w:rPr>
          <w:rStyle w:val="normaltextrun"/>
          <w:rFonts w:ascii="Arial" w:hAnsi="Arial" w:cs="Arial"/>
        </w:rPr>
        <w:t xml:space="preserve"> and psychological circumstances and the chance of them becoming victims of crime. </w:t>
      </w:r>
      <w:r w:rsidRPr="00817939">
        <w:rPr>
          <w:rStyle w:val="normaltextrun"/>
          <w:rFonts w:ascii="Arial" w:hAnsi="Arial" w:cs="Arial"/>
        </w:rPr>
        <w:lastRenderedPageBreak/>
        <w:t>Since that time, numerous studies have found convincing links between people’s lifestyles and criminal victimization. </w:t>
      </w:r>
      <w:r w:rsidRPr="00817939">
        <w:rPr>
          <w:rStyle w:val="eop"/>
          <w:rFonts w:ascii="Arial" w:hAnsi="Arial" w:cs="Arial"/>
        </w:rPr>
        <w:t> </w:t>
      </w:r>
    </w:p>
    <w:p w14:paraId="2C400500"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The London School of Economics found that there is “a relationship between social inequality and crime victimisation.” (Newburn). One reason for this is that socially and economically disadvantaged people tend to live in high-crime areas. This makes them more likely to become victims of crime themselves or to </w:t>
      </w:r>
      <w:proofErr w:type="gramStart"/>
      <w:r w:rsidRPr="00817939">
        <w:rPr>
          <w:rStyle w:val="normaltextrun"/>
          <w:rFonts w:ascii="Arial" w:hAnsi="Arial" w:cs="Arial"/>
        </w:rPr>
        <w:t>come into contact with</w:t>
      </w:r>
      <w:proofErr w:type="gramEnd"/>
      <w:r w:rsidRPr="00817939">
        <w:rPr>
          <w:rStyle w:val="normaltextrun"/>
          <w:rFonts w:ascii="Arial" w:hAnsi="Arial" w:cs="Arial"/>
        </w:rPr>
        <w:t xml:space="preserve"> offenders who might recruit them for criminal activity, making them victims of criminal exploitation. In addition, multi-occupancy housing or social housing systems are linked with higher patterns of victimization, according to Grove et al, 2012 (cited in Newman). </w:t>
      </w:r>
      <w:proofErr w:type="spellStart"/>
      <w:r w:rsidRPr="00817939">
        <w:rPr>
          <w:rStyle w:val="normaltextrun"/>
          <w:rFonts w:ascii="Arial" w:hAnsi="Arial" w:cs="Arial"/>
        </w:rPr>
        <w:t>Lauristen</w:t>
      </w:r>
      <w:proofErr w:type="spellEnd"/>
      <w:r w:rsidRPr="00817939">
        <w:rPr>
          <w:rStyle w:val="normaltextrun"/>
          <w:rFonts w:ascii="Arial" w:hAnsi="Arial" w:cs="Arial"/>
        </w:rPr>
        <w:t xml:space="preserve"> et al (1991) found that “certain activities and lifestyle choices organised around leisure, domestic priorities, material need, and productivity significantly enhance a person’s vulnerability and attractiveness as a target for violence”. This research supports the idea of lifestyle theory as a reflection of what makes certain people more likely to become victims of serious crime. </w:t>
      </w:r>
      <w:r w:rsidRPr="00817939">
        <w:rPr>
          <w:rStyle w:val="eop"/>
          <w:rFonts w:ascii="Arial" w:hAnsi="Arial" w:cs="Arial"/>
        </w:rPr>
        <w:t> </w:t>
      </w:r>
    </w:p>
    <w:p w14:paraId="2F0C9D0E"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The Home Office identifies several lifestyle factors which make certain individuals more vulnerable to victimization by criminal groups. These are: “having specialist skills/knowledge; addiction; greed; financial hardship; mental health issues; transitional periods and / or a troubled family life.” </w:t>
      </w:r>
      <w:r w:rsidRPr="00817939">
        <w:rPr>
          <w:rStyle w:val="eop"/>
          <w:rFonts w:ascii="Arial" w:hAnsi="Arial" w:cs="Arial"/>
        </w:rPr>
        <w:t> </w:t>
      </w:r>
    </w:p>
    <w:p w14:paraId="11F1E394"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According to the National Crime Agency, “the most significant adult vulnerability exploited by offenders is drug addiction.” Organised crime groups exploit drug users who allow them use of their property in exchange for drugs. These drug users may think that the arrangements are beneficial but will then be vulnerable to “debt bondage”, in which debts are “inflated through the supply of drugs, and in some cases the use of staged robberies against victims, where the offenders then claim to hold the victims responsible.” (NCA) This kind of crime is clearly supported by lifestyle theory, because if the individual had not been buying drugs, they would not have been exposed to the offenders who then exploit and victimize them. In addition, the NCA finds that “within supply areas, both vulnerable drug users and runners are at the greatest risk of violence.” (NCA), clearly supporting the idea that a person’s lifestyle choices </w:t>
      </w:r>
      <w:proofErr w:type="gramStart"/>
      <w:r w:rsidRPr="00817939">
        <w:rPr>
          <w:rStyle w:val="normaltextrun"/>
          <w:rFonts w:ascii="Arial" w:hAnsi="Arial" w:cs="Arial"/>
        </w:rPr>
        <w:t>i.e.</w:t>
      </w:r>
      <w:proofErr w:type="gramEnd"/>
      <w:r w:rsidRPr="00817939">
        <w:rPr>
          <w:rStyle w:val="normaltextrun"/>
          <w:rFonts w:ascii="Arial" w:hAnsi="Arial" w:cs="Arial"/>
        </w:rPr>
        <w:t xml:space="preserve"> drug dependence makes them more likely to become victims of serious and organised crime.</w:t>
      </w:r>
      <w:r w:rsidRPr="00817939">
        <w:rPr>
          <w:rStyle w:val="eop"/>
          <w:rFonts w:ascii="Arial" w:hAnsi="Arial" w:cs="Arial"/>
        </w:rPr>
        <w:t> </w:t>
      </w:r>
    </w:p>
    <w:p w14:paraId="07B44ECE"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Lifestyle theory can also be applied to young people who truant or are excluded from school and targeted by county lines offenders. According to the Timpson Review of School Exclusion 2019, “Exclusion is a marker for being at higher risk of becoming a victim or perpetrator of crime”. Juveniles are often recruited as runners by dealers, receiving gifts of clothing, money and drugs which means they do not identify themselves as victims. The National Crime Agency states that “it is likely that children displaying … vulnerabilities are attracted by the sense of belonging, inclusion and structure offered by participation in an offending group.” (NCA). Once involved in county lines activities, the person is often effectively trapped and unable to leave. This again seems to support lifestyle theory as a reflection of what makes certain people vulnerable to exploitation, as if the child was in school </w:t>
      </w:r>
      <w:proofErr w:type="gramStart"/>
      <w:r w:rsidRPr="00817939">
        <w:rPr>
          <w:rStyle w:val="normaltextrun"/>
          <w:rFonts w:ascii="Arial" w:hAnsi="Arial" w:cs="Arial"/>
        </w:rPr>
        <w:t>full-time</w:t>
      </w:r>
      <w:proofErr w:type="gramEnd"/>
      <w:r w:rsidRPr="00817939">
        <w:rPr>
          <w:rStyle w:val="normaltextrun"/>
          <w:rFonts w:ascii="Arial" w:hAnsi="Arial" w:cs="Arial"/>
        </w:rPr>
        <w:t xml:space="preserve"> they would not be such an attractive target for organised crime groups. However, it is important to recognise that such children remain victims of crime at the same time as they may be committing offences. </w:t>
      </w:r>
      <w:r w:rsidRPr="00817939">
        <w:rPr>
          <w:rStyle w:val="eop"/>
          <w:rFonts w:ascii="Arial" w:hAnsi="Arial" w:cs="Arial"/>
        </w:rPr>
        <w:t> </w:t>
      </w:r>
    </w:p>
    <w:p w14:paraId="2B3FE47E"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Similarly, vulnerable people who may have a drug or alcohol dependency, mental health issues or learning difficulties are more likely to become victims of cuckooing, in which or take organised crime groups take over the person’s accommodation and use it for illicit activity such as storing and selling drugs and weapons. People with financial difficulties may become more vulnerable to being used as money mules by </w:t>
      </w:r>
      <w:r w:rsidRPr="00817939">
        <w:rPr>
          <w:rStyle w:val="normaltextrun"/>
          <w:rFonts w:ascii="Arial" w:hAnsi="Arial" w:cs="Arial"/>
        </w:rPr>
        <w:lastRenderedPageBreak/>
        <w:t>organised crime gangs, thus reflecting the link between people’s socio-economic backgrounds and their vulnerability to being exploited for criminal means. These examples again seem to support the lifestyle theory of victimisation.</w:t>
      </w:r>
      <w:r w:rsidRPr="00817939">
        <w:rPr>
          <w:rStyle w:val="eop"/>
          <w:rFonts w:ascii="Arial" w:hAnsi="Arial" w:cs="Arial"/>
        </w:rPr>
        <w:t> </w:t>
      </w:r>
    </w:p>
    <w:p w14:paraId="4D2D7D54"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 xml:space="preserve">In the nineties, some studies found that in addition to lifestyle theory as an explanation of victimization, “it was becoming clear that offenders and victims shared  many qualities.” (Berg and Schrek, 2001). These qualities “included a preference for activities that allowed the actor the freedom to perpetrate criminal acts but also activities that heightened their vulnerability to victimization” (Berg, Schrek, 2021). For example, Wolfgang’s study of homicide in Philadelphia (1958) found that “most murder victims had arrest records, often for violent crimes, and many of the victims engaged in behaviours that precipitated the homicide events.” (Annual Review of Criminology, 2021). This area of study was an important step for criminologists because it meant offenders and victims could not always be looked at as separate entities. The National Crime Agency found that “adult victims of exploitation within county lines offending often have extensive criminal histories, generally in low-level offending such as </w:t>
      </w:r>
      <w:proofErr w:type="gramStart"/>
      <w:r w:rsidRPr="00817939">
        <w:rPr>
          <w:rStyle w:val="normaltextrun"/>
          <w:rFonts w:ascii="Arial" w:hAnsi="Arial" w:cs="Arial"/>
        </w:rPr>
        <w:t>shop-lifting</w:t>
      </w:r>
      <w:proofErr w:type="gramEnd"/>
      <w:r w:rsidRPr="00817939">
        <w:rPr>
          <w:rStyle w:val="normaltextrun"/>
          <w:rFonts w:ascii="Arial" w:hAnsi="Arial" w:cs="Arial"/>
        </w:rPr>
        <w:t>…these offences are often associated with drug addiction.” (National Crime Agency). This further supports the idea that lifestyle theory is an accurate reflection of what makes people vulnerable to becoming a victim of serious and organised crime. </w:t>
      </w:r>
      <w:r w:rsidRPr="00817939">
        <w:rPr>
          <w:rStyle w:val="eop"/>
          <w:rFonts w:ascii="Arial" w:hAnsi="Arial" w:cs="Arial"/>
        </w:rPr>
        <w:t> </w:t>
      </w:r>
    </w:p>
    <w:p w14:paraId="652DEB43" w14:textId="77777777" w:rsidR="00817939" w:rsidRPr="00817939" w:rsidRDefault="00817939" w:rsidP="00817939">
      <w:pPr>
        <w:pStyle w:val="paragraph"/>
        <w:spacing w:before="0" w:beforeAutospacing="0" w:after="0" w:afterAutospacing="0"/>
        <w:textAlignment w:val="baseline"/>
        <w:rPr>
          <w:rFonts w:ascii="Segoe UI" w:hAnsi="Segoe UI" w:cs="Segoe UI"/>
          <w:sz w:val="18"/>
          <w:szCs w:val="18"/>
        </w:rPr>
      </w:pPr>
      <w:r w:rsidRPr="00817939">
        <w:rPr>
          <w:rStyle w:val="normaltextrun"/>
          <w:rFonts w:ascii="Arial" w:hAnsi="Arial" w:cs="Arial"/>
        </w:rPr>
        <w:t>In conclusion, “evidence for the victim-offender overlap extends as far back as there is reliable data on victimization and offending. More than sixty years of study of this overlap has revealed an impressive consistency of results.” (Berg, Schrek). It can therefore be concluded that lifestyle theory is an accurate reflection of what makes certain people more vulnerable to becoming a victim of serious and organised crime. However, while “great strides have been made in untangling the complex relationship between social disadvantage and crime…there remains much to be done.” (Newburn, 2021).</w:t>
      </w:r>
      <w:r w:rsidRPr="00817939">
        <w:rPr>
          <w:rStyle w:val="eop"/>
          <w:rFonts w:ascii="Arial" w:hAnsi="Arial" w:cs="Arial"/>
        </w:rPr>
        <w:t> </w:t>
      </w:r>
    </w:p>
    <w:p w14:paraId="2DA74AD3" w14:textId="77777777" w:rsidR="00817939" w:rsidRDefault="00817939" w:rsidP="0081793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282828"/>
        </w:rPr>
        <w:t> </w:t>
      </w:r>
    </w:p>
    <w:p w14:paraId="1200AE5C" w14:textId="77777777" w:rsidR="00817939" w:rsidRPr="00817939" w:rsidRDefault="00817939" w:rsidP="00817939">
      <w:pPr>
        <w:ind w:left="0" w:firstLine="0"/>
      </w:pPr>
    </w:p>
    <w:sectPr w:rsidR="00817939" w:rsidRPr="00817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939"/>
    <w:rsid w:val="00110740"/>
    <w:rsid w:val="005663ED"/>
    <w:rsid w:val="00817939"/>
    <w:rsid w:val="008A5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E277"/>
  <w15:chartTrackingRefBased/>
  <w15:docId w15:val="{E9F54B75-CC26-4A13-B154-BEDBDAFED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939"/>
    <w:pPr>
      <w:spacing w:after="1" w:line="276" w:lineRule="auto"/>
      <w:ind w:left="576" w:right="529" w:hanging="10"/>
      <w:jc w:val="both"/>
    </w:pPr>
    <w:rPr>
      <w:rFonts w:ascii="Arial" w:eastAsia="Arial" w:hAnsi="Arial" w:cs="Arial"/>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17939"/>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character" w:customStyle="1" w:styleId="normaltextrun">
    <w:name w:val="normaltextrun"/>
    <w:basedOn w:val="DefaultParagraphFont"/>
    <w:rsid w:val="00817939"/>
  </w:style>
  <w:style w:type="character" w:customStyle="1" w:styleId="eop">
    <w:name w:val="eop"/>
    <w:basedOn w:val="DefaultParagraphFont"/>
    <w:rsid w:val="00817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uk/government/publications/serious-and-organised-crime-strategy-2018/serious-and-organised-crime-strategy-accessible-version" TargetMode="External"/><Relationship Id="rId4" Type="http://schemas.openxmlformats.org/officeDocument/2006/relationships/hyperlink" Target="http://www.aru.ac.uk/policing-institute/research/mappa/national-mappa-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3176</Words>
  <Characters>18106</Characters>
  <Application>Microsoft Office Word</Application>
  <DocSecurity>0</DocSecurity>
  <Lines>150</Lines>
  <Paragraphs>42</Paragraphs>
  <ScaleCrop>false</ScaleCrop>
  <Company>South Wales Police</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Markey,Joseph swp8318</dc:creator>
  <cp:keywords/>
  <dc:description/>
  <cp:lastModifiedBy>Markey,Joseph swp8318</cp:lastModifiedBy>
  <cp:revision>1</cp:revision>
  <dcterms:created xsi:type="dcterms:W3CDTF">2023-10-22T22:39:00Z</dcterms:created>
  <dcterms:modified xsi:type="dcterms:W3CDTF">2023-10-22T22:42:00Z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2023-10-22T22:42:42Z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d27f1260-d8dc-4c39-a3ef-f7225fb764c2</vt:lpwstr>
  </property>
  <property fmtid="{D5CDD505-2E9C-101B-9397-08002B2CF9AE}" pid="8" name="MSIP_Label_66cf8fe5-b7b7-4df7-b38d-1c61ac2f6639_ContentBits">
    <vt:lpwstr>0</vt:lpwstr>
  </property>
</Properties>
</file>