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6C253" w14:textId="669B75B6" w:rsidR="00BC687C" w:rsidRDefault="00094BDD" w:rsidP="00094BDD">
      <w:pPr>
        <w:pStyle w:val="NoSpacing"/>
        <w:spacing w:after="240"/>
        <w:rPr>
          <w:color w:val="4472C4"/>
        </w:rPr>
      </w:pPr>
      <w:bookmarkStart w:id="0" w:name="_Toc225431302"/>
      <w:r w:rsidRPr="00D52570">
        <w:rPr>
          <w:noProof/>
        </w:rPr>
        <w:drawing>
          <wp:anchor distT="0" distB="0" distL="114300" distR="114300" simplePos="0" relativeHeight="251658240" behindDoc="0" locked="0" layoutInCell="1" allowOverlap="1" wp14:anchorId="1658204E" wp14:editId="0E8DAC3A">
            <wp:simplePos x="0" y="0"/>
            <wp:positionH relativeFrom="column">
              <wp:posOffset>2343150</wp:posOffset>
            </wp:positionH>
            <wp:positionV relativeFrom="paragraph">
              <wp:posOffset>152400</wp:posOffset>
            </wp:positionV>
            <wp:extent cx="1933845" cy="638264"/>
            <wp:effectExtent l="0" t="0" r="9525" b="9525"/>
            <wp:wrapTopAndBottom/>
            <wp:docPr id="1542458653" name="Picture 1542458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933845" cy="638264"/>
                    </a:xfrm>
                    <a:prstGeom prst="rect">
                      <a:avLst/>
                    </a:prstGeom>
                  </pic:spPr>
                </pic:pic>
              </a:graphicData>
            </a:graphic>
          </wp:anchor>
        </w:drawing>
      </w:r>
    </w:p>
    <w:p w14:paraId="0A5C9089" w14:textId="1CB4180F" w:rsidR="00094BDD" w:rsidRDefault="00094BDD">
      <w:pPr>
        <w:pStyle w:val="NoSpacing"/>
        <w:jc w:val="center"/>
        <w:rPr>
          <w:rFonts w:ascii="Calibri Light" w:hAnsi="Calibri Light"/>
          <w:b/>
          <w:bCs/>
          <w:caps/>
          <w:sz w:val="40"/>
          <w:szCs w:val="72"/>
        </w:rPr>
      </w:pPr>
      <w:r w:rsidRPr="00094BDD">
        <w:rPr>
          <w:rFonts w:ascii="Calibri Light" w:hAnsi="Calibri Light"/>
          <w:b/>
          <w:bCs/>
          <w:caps/>
          <w:sz w:val="40"/>
          <w:szCs w:val="72"/>
        </w:rPr>
        <w:t>Master of Business Administration</w:t>
      </w:r>
    </w:p>
    <w:p w14:paraId="1848C2A2" w14:textId="77777777" w:rsidR="00094BDD" w:rsidRDefault="00094BDD">
      <w:pPr>
        <w:pStyle w:val="NoSpacing"/>
        <w:jc w:val="center"/>
        <w:rPr>
          <w:rFonts w:ascii="Calibri Light" w:hAnsi="Calibri Light"/>
          <w:b/>
          <w:bCs/>
          <w:caps/>
          <w:sz w:val="40"/>
          <w:szCs w:val="72"/>
        </w:rPr>
      </w:pPr>
    </w:p>
    <w:p w14:paraId="7A64263D" w14:textId="77777777" w:rsidR="00094BDD" w:rsidRDefault="00094BDD" w:rsidP="00094BDD"/>
    <w:p w14:paraId="2A6DA808" w14:textId="77777777" w:rsidR="00094BDD" w:rsidRDefault="00094BDD" w:rsidP="00094BDD"/>
    <w:p w14:paraId="2459CE2F" w14:textId="12B6D02A" w:rsidR="00BC687C" w:rsidRDefault="00E745B3">
      <w:pPr>
        <w:pStyle w:val="NoSpacing"/>
        <w:jc w:val="center"/>
        <w:rPr>
          <w:rFonts w:ascii="Calibri Light" w:hAnsi="Calibri Light"/>
          <w:caps/>
          <w:sz w:val="52"/>
          <w:szCs w:val="52"/>
        </w:rPr>
      </w:pPr>
      <w:r w:rsidRPr="00094BDD">
        <w:rPr>
          <w:rFonts w:ascii="Calibri Light" w:hAnsi="Calibri Light"/>
          <w:caps/>
          <w:sz w:val="32"/>
          <w:szCs w:val="52"/>
        </w:rPr>
        <w:t>Strategic CFO Challenge: Financial Analysis and Investment Appraisal of Tesla, Inc</w:t>
      </w:r>
      <w:r w:rsidRPr="00094BDD">
        <w:rPr>
          <w:rFonts w:ascii="Calibri Light" w:hAnsi="Calibri Light"/>
          <w:caps/>
          <w:sz w:val="52"/>
          <w:szCs w:val="52"/>
        </w:rPr>
        <w:t>.</w:t>
      </w:r>
    </w:p>
    <w:p w14:paraId="2606EE79" w14:textId="77777777" w:rsidR="00094BDD" w:rsidRPr="00094BDD" w:rsidRDefault="00094BDD">
      <w:pPr>
        <w:pStyle w:val="NoSpacing"/>
        <w:jc w:val="center"/>
        <w:rPr>
          <w:rFonts w:ascii="Calibri Light" w:hAnsi="Calibri Light"/>
          <w:caps/>
          <w:sz w:val="52"/>
          <w:szCs w:val="52"/>
        </w:rPr>
      </w:pPr>
    </w:p>
    <w:p w14:paraId="2447A75C" w14:textId="1778D581" w:rsidR="00BC687C" w:rsidRPr="00094BDD" w:rsidRDefault="00094BDD">
      <w:pPr>
        <w:pStyle w:val="NoSpacing"/>
        <w:spacing w:before="480"/>
        <w:jc w:val="center"/>
        <w:rPr>
          <w:sz w:val="28"/>
          <w:szCs w:val="28"/>
        </w:rPr>
      </w:pPr>
      <w:r w:rsidRPr="00094BDD">
        <w:rPr>
          <w:sz w:val="28"/>
          <w:szCs w:val="28"/>
        </w:rPr>
        <w:t>Module</w:t>
      </w:r>
      <w:r w:rsidR="00E745B3" w:rsidRPr="00094BDD">
        <w:rPr>
          <w:sz w:val="28"/>
          <w:szCs w:val="28"/>
        </w:rPr>
        <w:t xml:space="preserve"> Name: </w:t>
      </w:r>
      <w:r w:rsidRPr="00094BDD">
        <w:rPr>
          <w:sz w:val="28"/>
          <w:szCs w:val="28"/>
        </w:rPr>
        <w:t>Financial Management</w:t>
      </w:r>
    </w:p>
    <w:p w14:paraId="6BEC366E" w14:textId="37B62A7B" w:rsidR="00BC687C" w:rsidRDefault="00E745B3">
      <w:pPr>
        <w:pStyle w:val="NoSpacing"/>
        <w:spacing w:before="480"/>
        <w:jc w:val="center"/>
        <w:rPr>
          <w:sz w:val="28"/>
          <w:szCs w:val="28"/>
        </w:rPr>
      </w:pPr>
      <w:r w:rsidRPr="00094BDD">
        <w:rPr>
          <w:sz w:val="28"/>
          <w:szCs w:val="28"/>
        </w:rPr>
        <w:t xml:space="preserve">Module Code: </w:t>
      </w:r>
      <w:r w:rsidR="00094BDD" w:rsidRPr="00094BDD">
        <w:rPr>
          <w:sz w:val="28"/>
          <w:szCs w:val="28"/>
        </w:rPr>
        <w:t>LCMB7002</w:t>
      </w:r>
    </w:p>
    <w:p w14:paraId="2D995664" w14:textId="77777777" w:rsidR="00094BDD" w:rsidRDefault="00094BDD">
      <w:pPr>
        <w:pStyle w:val="NoSpacing"/>
        <w:spacing w:before="480"/>
        <w:jc w:val="center"/>
        <w:rPr>
          <w:sz w:val="28"/>
          <w:szCs w:val="28"/>
        </w:rPr>
      </w:pPr>
    </w:p>
    <w:p w14:paraId="40F091A4" w14:textId="77777777" w:rsidR="00094BDD" w:rsidRPr="00094BDD" w:rsidRDefault="00094BDD">
      <w:pPr>
        <w:pStyle w:val="NoSpacing"/>
        <w:spacing w:before="480"/>
        <w:jc w:val="center"/>
        <w:rPr>
          <w:sz w:val="28"/>
          <w:szCs w:val="28"/>
        </w:rPr>
      </w:pPr>
    </w:p>
    <w:p w14:paraId="5FF11B23" w14:textId="77777777" w:rsidR="00BC687C" w:rsidRPr="00094BDD" w:rsidRDefault="00E745B3">
      <w:pPr>
        <w:pStyle w:val="NoSpacing"/>
        <w:spacing w:before="480"/>
        <w:jc w:val="center"/>
        <w:rPr>
          <w:sz w:val="28"/>
          <w:szCs w:val="28"/>
        </w:rPr>
      </w:pPr>
      <w:r w:rsidRPr="00094BDD">
        <w:rPr>
          <w:sz w:val="28"/>
          <w:szCs w:val="28"/>
        </w:rPr>
        <w:t xml:space="preserve">Student Name: </w:t>
      </w:r>
      <w:r w:rsidR="009765C4" w:rsidRPr="00094BDD">
        <w:rPr>
          <w:sz w:val="28"/>
          <w:szCs w:val="28"/>
        </w:rPr>
        <w:t>Rambhai Vejhabhai Modhavadiya</w:t>
      </w:r>
    </w:p>
    <w:p w14:paraId="3FAAED40" w14:textId="77777777" w:rsidR="00BC687C" w:rsidRPr="00094BDD" w:rsidRDefault="00E745B3">
      <w:pPr>
        <w:pStyle w:val="NoSpacing"/>
        <w:spacing w:before="480"/>
        <w:jc w:val="center"/>
        <w:rPr>
          <w:sz w:val="28"/>
          <w:szCs w:val="28"/>
        </w:rPr>
      </w:pPr>
      <w:r w:rsidRPr="00094BDD">
        <w:rPr>
          <w:sz w:val="28"/>
          <w:szCs w:val="28"/>
        </w:rPr>
        <w:t xml:space="preserve">Student ID: </w:t>
      </w:r>
      <w:r w:rsidR="00D52570" w:rsidRPr="00094BDD">
        <w:rPr>
          <w:sz w:val="28"/>
          <w:szCs w:val="28"/>
        </w:rPr>
        <w:t>2516705</w:t>
      </w:r>
    </w:p>
    <w:p w14:paraId="1B5C7A6E" w14:textId="316F13D7" w:rsidR="00BC687C" w:rsidRDefault="00E745B3">
      <w:pPr>
        <w:pStyle w:val="NoSpacing"/>
        <w:spacing w:before="480"/>
        <w:jc w:val="center"/>
        <w:rPr>
          <w:sz w:val="28"/>
          <w:szCs w:val="28"/>
        </w:rPr>
      </w:pPr>
      <w:r w:rsidRPr="00094BDD">
        <w:rPr>
          <w:sz w:val="28"/>
          <w:szCs w:val="28"/>
        </w:rPr>
        <w:t xml:space="preserve">Lecturer Name: </w:t>
      </w:r>
      <w:r w:rsidR="00094BDD" w:rsidRPr="00094BDD">
        <w:rPr>
          <w:sz w:val="28"/>
          <w:szCs w:val="28"/>
        </w:rPr>
        <w:t>Shengfeng Mei Patrick Yeboah</w:t>
      </w:r>
    </w:p>
    <w:p w14:paraId="457B38BC" w14:textId="77777777" w:rsidR="00094BDD" w:rsidRPr="00094BDD" w:rsidRDefault="00094BDD">
      <w:pPr>
        <w:pStyle w:val="NoSpacing"/>
        <w:spacing w:before="480"/>
        <w:jc w:val="center"/>
        <w:rPr>
          <w:sz w:val="28"/>
          <w:szCs w:val="28"/>
        </w:rPr>
      </w:pPr>
    </w:p>
    <w:p w14:paraId="45D1A10E" w14:textId="77777777" w:rsidR="00BC687C" w:rsidRPr="00094BDD" w:rsidRDefault="00E745B3">
      <w:pPr>
        <w:pStyle w:val="NoSpacing"/>
        <w:spacing w:before="480"/>
        <w:jc w:val="center"/>
        <w:rPr>
          <w:sz w:val="28"/>
          <w:szCs w:val="28"/>
        </w:rPr>
      </w:pPr>
      <w:r w:rsidRPr="00094BDD">
        <w:rPr>
          <w:sz w:val="28"/>
          <w:szCs w:val="28"/>
        </w:rPr>
        <w:t xml:space="preserve">Submission Date: </w:t>
      </w:r>
    </w:p>
    <w:sdt>
      <w:sdtPr>
        <w:rPr>
          <w:rFonts w:ascii="Calibri" w:eastAsia="Calibri" w:hAnsi="Calibri"/>
          <w:color w:val="auto"/>
          <w:sz w:val="22"/>
          <w:szCs w:val="22"/>
        </w:rPr>
        <w:id w:val="-1554616979"/>
        <w:docPartObj>
          <w:docPartGallery w:val="Table of Contents"/>
          <w:docPartUnique/>
        </w:docPartObj>
      </w:sdtPr>
      <w:sdtEndPr>
        <w:rPr>
          <w:b/>
          <w:bCs/>
          <w:noProof/>
        </w:rPr>
      </w:sdtEndPr>
      <w:sdtContent>
        <w:p w14:paraId="3F80785B" w14:textId="77777777" w:rsidR="00E745B3" w:rsidRDefault="00E745B3">
          <w:pPr>
            <w:pStyle w:val="TOCHeading"/>
          </w:pPr>
          <w:r>
            <w:t>Contents</w:t>
          </w:r>
        </w:p>
        <w:p w14:paraId="3CBC51AE" w14:textId="235AF592" w:rsidR="00C56FE3" w:rsidRDefault="00E745B3">
          <w:pPr>
            <w:pStyle w:val="TOC1"/>
            <w:tabs>
              <w:tab w:val="right" w:leader="dot" w:pos="10070"/>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5448344" w:history="1">
            <w:r w:rsidR="00C56FE3" w:rsidRPr="00FD6772">
              <w:rPr>
                <w:rStyle w:val="Hyperlink"/>
                <w:rFonts w:ascii="Times New Roman" w:eastAsia="Times New Roman" w:hAnsi="Times New Roman" w:cs="Times New Roman"/>
                <w:noProof/>
              </w:rPr>
              <w:t>1. Introduction</w:t>
            </w:r>
            <w:r w:rsidR="00C56FE3">
              <w:rPr>
                <w:noProof/>
                <w:webHidden/>
              </w:rPr>
              <w:tab/>
            </w:r>
            <w:r w:rsidR="00C56FE3">
              <w:rPr>
                <w:noProof/>
                <w:webHidden/>
              </w:rPr>
              <w:fldChar w:fldCharType="begin"/>
            </w:r>
            <w:r w:rsidR="00C56FE3">
              <w:rPr>
                <w:noProof/>
                <w:webHidden/>
              </w:rPr>
              <w:instrText xml:space="preserve"> PAGEREF _Toc225448344 \h </w:instrText>
            </w:r>
            <w:r w:rsidR="00C56FE3">
              <w:rPr>
                <w:noProof/>
                <w:webHidden/>
              </w:rPr>
            </w:r>
            <w:r w:rsidR="00C56FE3">
              <w:rPr>
                <w:noProof/>
                <w:webHidden/>
              </w:rPr>
              <w:fldChar w:fldCharType="separate"/>
            </w:r>
            <w:r w:rsidR="00C56FE3">
              <w:rPr>
                <w:noProof/>
                <w:webHidden/>
              </w:rPr>
              <w:t>2</w:t>
            </w:r>
            <w:r w:rsidR="00C56FE3">
              <w:rPr>
                <w:noProof/>
                <w:webHidden/>
              </w:rPr>
              <w:fldChar w:fldCharType="end"/>
            </w:r>
          </w:hyperlink>
        </w:p>
        <w:p w14:paraId="1F965D59" w14:textId="4F216189" w:rsidR="00C56FE3" w:rsidRDefault="00C56FE3">
          <w:pPr>
            <w:pStyle w:val="TOC1"/>
            <w:tabs>
              <w:tab w:val="right" w:leader="dot" w:pos="10070"/>
            </w:tabs>
            <w:rPr>
              <w:rFonts w:asciiTheme="minorHAnsi" w:eastAsiaTheme="minorEastAsia" w:hAnsiTheme="minorHAnsi" w:cstheme="minorBidi"/>
              <w:noProof/>
              <w:kern w:val="2"/>
              <w:sz w:val="24"/>
              <w:szCs w:val="24"/>
              <w14:ligatures w14:val="standardContextual"/>
            </w:rPr>
          </w:pPr>
          <w:hyperlink w:anchor="_Toc225448345" w:history="1">
            <w:r w:rsidRPr="00FD6772">
              <w:rPr>
                <w:rStyle w:val="Hyperlink"/>
                <w:rFonts w:ascii="Times New Roman" w:eastAsia="SimSun" w:hAnsi="Times New Roman" w:cs="Times New Roman"/>
                <w:noProof/>
              </w:rPr>
              <w:t>2. Financial Health Check</w:t>
            </w:r>
            <w:r>
              <w:rPr>
                <w:noProof/>
                <w:webHidden/>
              </w:rPr>
              <w:tab/>
            </w:r>
            <w:r>
              <w:rPr>
                <w:noProof/>
                <w:webHidden/>
              </w:rPr>
              <w:fldChar w:fldCharType="begin"/>
            </w:r>
            <w:r>
              <w:rPr>
                <w:noProof/>
                <w:webHidden/>
              </w:rPr>
              <w:instrText xml:space="preserve"> PAGEREF _Toc225448345 \h </w:instrText>
            </w:r>
            <w:r>
              <w:rPr>
                <w:noProof/>
                <w:webHidden/>
              </w:rPr>
            </w:r>
            <w:r>
              <w:rPr>
                <w:noProof/>
                <w:webHidden/>
              </w:rPr>
              <w:fldChar w:fldCharType="separate"/>
            </w:r>
            <w:r>
              <w:rPr>
                <w:noProof/>
                <w:webHidden/>
              </w:rPr>
              <w:t>3</w:t>
            </w:r>
            <w:r>
              <w:rPr>
                <w:noProof/>
                <w:webHidden/>
              </w:rPr>
              <w:fldChar w:fldCharType="end"/>
            </w:r>
          </w:hyperlink>
        </w:p>
        <w:p w14:paraId="6687F0B4" w14:textId="10570E85"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46" w:history="1">
            <w:r w:rsidRPr="00FD6772">
              <w:rPr>
                <w:rStyle w:val="Hyperlink"/>
                <w:rFonts w:ascii="Times New Roman" w:eastAsia="Times New Roman" w:hAnsi="Times New Roman" w:cs="Times New Roman"/>
                <w:b/>
                <w:bCs/>
                <w:noProof/>
              </w:rPr>
              <w:t>2.1 Overview of Financial Performance</w:t>
            </w:r>
            <w:r>
              <w:rPr>
                <w:noProof/>
                <w:webHidden/>
              </w:rPr>
              <w:tab/>
            </w:r>
            <w:r>
              <w:rPr>
                <w:noProof/>
                <w:webHidden/>
              </w:rPr>
              <w:fldChar w:fldCharType="begin"/>
            </w:r>
            <w:r>
              <w:rPr>
                <w:noProof/>
                <w:webHidden/>
              </w:rPr>
              <w:instrText xml:space="preserve"> PAGEREF _Toc225448346 \h </w:instrText>
            </w:r>
            <w:r>
              <w:rPr>
                <w:noProof/>
                <w:webHidden/>
              </w:rPr>
            </w:r>
            <w:r>
              <w:rPr>
                <w:noProof/>
                <w:webHidden/>
              </w:rPr>
              <w:fldChar w:fldCharType="separate"/>
            </w:r>
            <w:r>
              <w:rPr>
                <w:noProof/>
                <w:webHidden/>
              </w:rPr>
              <w:t>3</w:t>
            </w:r>
            <w:r>
              <w:rPr>
                <w:noProof/>
                <w:webHidden/>
              </w:rPr>
              <w:fldChar w:fldCharType="end"/>
            </w:r>
          </w:hyperlink>
        </w:p>
        <w:p w14:paraId="082A0D46" w14:textId="5899040E"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47" w:history="1">
            <w:r w:rsidRPr="00FD6772">
              <w:rPr>
                <w:rStyle w:val="Hyperlink"/>
                <w:rFonts w:ascii="Times New Roman" w:eastAsia="Times New Roman" w:hAnsi="Times New Roman" w:cs="Times New Roman"/>
                <w:b/>
                <w:bCs/>
                <w:noProof/>
              </w:rPr>
              <w:t>2.2 Profitability Analysis</w:t>
            </w:r>
            <w:r>
              <w:rPr>
                <w:noProof/>
                <w:webHidden/>
              </w:rPr>
              <w:tab/>
            </w:r>
            <w:r>
              <w:rPr>
                <w:noProof/>
                <w:webHidden/>
              </w:rPr>
              <w:fldChar w:fldCharType="begin"/>
            </w:r>
            <w:r>
              <w:rPr>
                <w:noProof/>
                <w:webHidden/>
              </w:rPr>
              <w:instrText xml:space="preserve"> PAGEREF _Toc225448347 \h </w:instrText>
            </w:r>
            <w:r>
              <w:rPr>
                <w:noProof/>
                <w:webHidden/>
              </w:rPr>
            </w:r>
            <w:r>
              <w:rPr>
                <w:noProof/>
                <w:webHidden/>
              </w:rPr>
              <w:fldChar w:fldCharType="separate"/>
            </w:r>
            <w:r>
              <w:rPr>
                <w:noProof/>
                <w:webHidden/>
              </w:rPr>
              <w:t>4</w:t>
            </w:r>
            <w:r>
              <w:rPr>
                <w:noProof/>
                <w:webHidden/>
              </w:rPr>
              <w:fldChar w:fldCharType="end"/>
            </w:r>
          </w:hyperlink>
        </w:p>
        <w:p w14:paraId="504BEEC6" w14:textId="2F683851"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48" w:history="1">
            <w:r w:rsidRPr="00FD6772">
              <w:rPr>
                <w:rStyle w:val="Hyperlink"/>
                <w:rFonts w:ascii="Times New Roman" w:eastAsia="Times New Roman" w:hAnsi="Times New Roman" w:cs="Times New Roman"/>
                <w:b/>
                <w:bCs/>
                <w:noProof/>
              </w:rPr>
              <w:t>2.3 Liquidity Analysis</w:t>
            </w:r>
            <w:r>
              <w:rPr>
                <w:noProof/>
                <w:webHidden/>
              </w:rPr>
              <w:tab/>
            </w:r>
            <w:r>
              <w:rPr>
                <w:noProof/>
                <w:webHidden/>
              </w:rPr>
              <w:fldChar w:fldCharType="begin"/>
            </w:r>
            <w:r>
              <w:rPr>
                <w:noProof/>
                <w:webHidden/>
              </w:rPr>
              <w:instrText xml:space="preserve"> PAGEREF _Toc225448348 \h </w:instrText>
            </w:r>
            <w:r>
              <w:rPr>
                <w:noProof/>
                <w:webHidden/>
              </w:rPr>
            </w:r>
            <w:r>
              <w:rPr>
                <w:noProof/>
                <w:webHidden/>
              </w:rPr>
              <w:fldChar w:fldCharType="separate"/>
            </w:r>
            <w:r>
              <w:rPr>
                <w:noProof/>
                <w:webHidden/>
              </w:rPr>
              <w:t>5</w:t>
            </w:r>
            <w:r>
              <w:rPr>
                <w:noProof/>
                <w:webHidden/>
              </w:rPr>
              <w:fldChar w:fldCharType="end"/>
            </w:r>
          </w:hyperlink>
        </w:p>
        <w:p w14:paraId="0C14128D" w14:textId="1A49B5DD"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49" w:history="1">
            <w:r w:rsidRPr="00FD6772">
              <w:rPr>
                <w:rStyle w:val="Hyperlink"/>
                <w:rFonts w:ascii="Times New Roman" w:eastAsia="Times New Roman" w:hAnsi="Times New Roman" w:cs="Times New Roman"/>
                <w:b/>
                <w:bCs/>
                <w:noProof/>
              </w:rPr>
              <w:t>2.4 Efficiency Analysis</w:t>
            </w:r>
            <w:r>
              <w:rPr>
                <w:noProof/>
                <w:webHidden/>
              </w:rPr>
              <w:tab/>
            </w:r>
            <w:r>
              <w:rPr>
                <w:noProof/>
                <w:webHidden/>
              </w:rPr>
              <w:fldChar w:fldCharType="begin"/>
            </w:r>
            <w:r>
              <w:rPr>
                <w:noProof/>
                <w:webHidden/>
              </w:rPr>
              <w:instrText xml:space="preserve"> PAGEREF _Toc225448349 \h </w:instrText>
            </w:r>
            <w:r>
              <w:rPr>
                <w:noProof/>
                <w:webHidden/>
              </w:rPr>
            </w:r>
            <w:r>
              <w:rPr>
                <w:noProof/>
                <w:webHidden/>
              </w:rPr>
              <w:fldChar w:fldCharType="separate"/>
            </w:r>
            <w:r>
              <w:rPr>
                <w:noProof/>
                <w:webHidden/>
              </w:rPr>
              <w:t>6</w:t>
            </w:r>
            <w:r>
              <w:rPr>
                <w:noProof/>
                <w:webHidden/>
              </w:rPr>
              <w:fldChar w:fldCharType="end"/>
            </w:r>
          </w:hyperlink>
        </w:p>
        <w:p w14:paraId="79185EEC" w14:textId="624F2942"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50" w:history="1">
            <w:r w:rsidRPr="00FD6772">
              <w:rPr>
                <w:rStyle w:val="Hyperlink"/>
                <w:rFonts w:ascii="Times New Roman" w:eastAsia="Times New Roman" w:hAnsi="Times New Roman" w:cs="Times New Roman"/>
                <w:b/>
                <w:bCs/>
                <w:noProof/>
              </w:rPr>
              <w:t>2.5 Capital Structure and Gearing Analysis</w:t>
            </w:r>
            <w:r>
              <w:rPr>
                <w:noProof/>
                <w:webHidden/>
              </w:rPr>
              <w:tab/>
            </w:r>
            <w:r>
              <w:rPr>
                <w:noProof/>
                <w:webHidden/>
              </w:rPr>
              <w:fldChar w:fldCharType="begin"/>
            </w:r>
            <w:r>
              <w:rPr>
                <w:noProof/>
                <w:webHidden/>
              </w:rPr>
              <w:instrText xml:space="preserve"> PAGEREF _Toc225448350 \h </w:instrText>
            </w:r>
            <w:r>
              <w:rPr>
                <w:noProof/>
                <w:webHidden/>
              </w:rPr>
            </w:r>
            <w:r>
              <w:rPr>
                <w:noProof/>
                <w:webHidden/>
              </w:rPr>
              <w:fldChar w:fldCharType="separate"/>
            </w:r>
            <w:r>
              <w:rPr>
                <w:noProof/>
                <w:webHidden/>
              </w:rPr>
              <w:t>7</w:t>
            </w:r>
            <w:r>
              <w:rPr>
                <w:noProof/>
                <w:webHidden/>
              </w:rPr>
              <w:fldChar w:fldCharType="end"/>
            </w:r>
          </w:hyperlink>
        </w:p>
        <w:p w14:paraId="36FE6A50" w14:textId="0E9AB30E"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51" w:history="1">
            <w:r w:rsidRPr="00FD6772">
              <w:rPr>
                <w:rStyle w:val="Hyperlink"/>
                <w:rFonts w:ascii="Times New Roman" w:eastAsia="Times New Roman" w:hAnsi="Times New Roman" w:cs="Times New Roman"/>
                <w:b/>
                <w:bCs/>
                <w:noProof/>
              </w:rPr>
              <w:t>2.6 Cash Flow Analysis</w:t>
            </w:r>
            <w:r>
              <w:rPr>
                <w:noProof/>
                <w:webHidden/>
              </w:rPr>
              <w:tab/>
            </w:r>
            <w:r>
              <w:rPr>
                <w:noProof/>
                <w:webHidden/>
              </w:rPr>
              <w:fldChar w:fldCharType="begin"/>
            </w:r>
            <w:r>
              <w:rPr>
                <w:noProof/>
                <w:webHidden/>
              </w:rPr>
              <w:instrText xml:space="preserve"> PAGEREF _Toc225448351 \h </w:instrText>
            </w:r>
            <w:r>
              <w:rPr>
                <w:noProof/>
                <w:webHidden/>
              </w:rPr>
            </w:r>
            <w:r>
              <w:rPr>
                <w:noProof/>
                <w:webHidden/>
              </w:rPr>
              <w:fldChar w:fldCharType="separate"/>
            </w:r>
            <w:r>
              <w:rPr>
                <w:noProof/>
                <w:webHidden/>
              </w:rPr>
              <w:t>8</w:t>
            </w:r>
            <w:r>
              <w:rPr>
                <w:noProof/>
                <w:webHidden/>
              </w:rPr>
              <w:fldChar w:fldCharType="end"/>
            </w:r>
          </w:hyperlink>
        </w:p>
        <w:p w14:paraId="59414C2A" w14:textId="5A5FC464" w:rsidR="00C56FE3" w:rsidRDefault="00C56FE3">
          <w:pPr>
            <w:pStyle w:val="TOC1"/>
            <w:tabs>
              <w:tab w:val="right" w:leader="dot" w:pos="10070"/>
            </w:tabs>
            <w:rPr>
              <w:rFonts w:asciiTheme="minorHAnsi" w:eastAsiaTheme="minorEastAsia" w:hAnsiTheme="minorHAnsi" w:cstheme="minorBidi"/>
              <w:noProof/>
              <w:kern w:val="2"/>
              <w:sz w:val="24"/>
              <w:szCs w:val="24"/>
              <w14:ligatures w14:val="standardContextual"/>
            </w:rPr>
          </w:pPr>
          <w:hyperlink w:anchor="_Toc225448352" w:history="1">
            <w:r w:rsidRPr="00FD6772">
              <w:rPr>
                <w:rStyle w:val="Hyperlink"/>
                <w:rFonts w:ascii="Times New Roman" w:eastAsia="SimSun" w:hAnsi="Times New Roman" w:cs="Times New Roman"/>
                <w:noProof/>
              </w:rPr>
              <w:t>3. Working Capital Management</w:t>
            </w:r>
            <w:r>
              <w:rPr>
                <w:noProof/>
                <w:webHidden/>
              </w:rPr>
              <w:tab/>
            </w:r>
            <w:r>
              <w:rPr>
                <w:noProof/>
                <w:webHidden/>
              </w:rPr>
              <w:fldChar w:fldCharType="begin"/>
            </w:r>
            <w:r>
              <w:rPr>
                <w:noProof/>
                <w:webHidden/>
              </w:rPr>
              <w:instrText xml:space="preserve"> PAGEREF _Toc225448352 \h </w:instrText>
            </w:r>
            <w:r>
              <w:rPr>
                <w:noProof/>
                <w:webHidden/>
              </w:rPr>
            </w:r>
            <w:r>
              <w:rPr>
                <w:noProof/>
                <w:webHidden/>
              </w:rPr>
              <w:fldChar w:fldCharType="separate"/>
            </w:r>
            <w:r>
              <w:rPr>
                <w:noProof/>
                <w:webHidden/>
              </w:rPr>
              <w:t>10</w:t>
            </w:r>
            <w:r>
              <w:rPr>
                <w:noProof/>
                <w:webHidden/>
              </w:rPr>
              <w:fldChar w:fldCharType="end"/>
            </w:r>
          </w:hyperlink>
        </w:p>
        <w:p w14:paraId="3913BD93" w14:textId="7D5428B5"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53" w:history="1">
            <w:r w:rsidRPr="00FD6772">
              <w:rPr>
                <w:rStyle w:val="Hyperlink"/>
                <w:rFonts w:ascii="Times New Roman" w:eastAsia="Times New Roman" w:hAnsi="Times New Roman" w:cs="Times New Roman"/>
                <w:b/>
                <w:bCs/>
                <w:noProof/>
              </w:rPr>
              <w:t>3.1 Cash Conversion Cycle (CCC)</w:t>
            </w:r>
            <w:r>
              <w:rPr>
                <w:noProof/>
                <w:webHidden/>
              </w:rPr>
              <w:tab/>
            </w:r>
            <w:r>
              <w:rPr>
                <w:noProof/>
                <w:webHidden/>
              </w:rPr>
              <w:fldChar w:fldCharType="begin"/>
            </w:r>
            <w:r>
              <w:rPr>
                <w:noProof/>
                <w:webHidden/>
              </w:rPr>
              <w:instrText xml:space="preserve"> PAGEREF _Toc225448353 \h </w:instrText>
            </w:r>
            <w:r>
              <w:rPr>
                <w:noProof/>
                <w:webHidden/>
              </w:rPr>
            </w:r>
            <w:r>
              <w:rPr>
                <w:noProof/>
                <w:webHidden/>
              </w:rPr>
              <w:fldChar w:fldCharType="separate"/>
            </w:r>
            <w:r>
              <w:rPr>
                <w:noProof/>
                <w:webHidden/>
              </w:rPr>
              <w:t>10</w:t>
            </w:r>
            <w:r>
              <w:rPr>
                <w:noProof/>
                <w:webHidden/>
              </w:rPr>
              <w:fldChar w:fldCharType="end"/>
            </w:r>
          </w:hyperlink>
        </w:p>
        <w:p w14:paraId="455C93D5" w14:textId="4F674367"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54" w:history="1">
            <w:r w:rsidRPr="00FD6772">
              <w:rPr>
                <w:rStyle w:val="Hyperlink"/>
                <w:rFonts w:ascii="Times New Roman" w:eastAsia="Times New Roman" w:hAnsi="Times New Roman" w:cs="Times New Roman"/>
                <w:b/>
                <w:bCs/>
                <w:noProof/>
              </w:rPr>
              <w:t>3.2 Working Capital Challenges</w:t>
            </w:r>
            <w:r>
              <w:rPr>
                <w:noProof/>
                <w:webHidden/>
              </w:rPr>
              <w:tab/>
            </w:r>
            <w:r>
              <w:rPr>
                <w:noProof/>
                <w:webHidden/>
              </w:rPr>
              <w:fldChar w:fldCharType="begin"/>
            </w:r>
            <w:r>
              <w:rPr>
                <w:noProof/>
                <w:webHidden/>
              </w:rPr>
              <w:instrText xml:space="preserve"> PAGEREF _Toc225448354 \h </w:instrText>
            </w:r>
            <w:r>
              <w:rPr>
                <w:noProof/>
                <w:webHidden/>
              </w:rPr>
            </w:r>
            <w:r>
              <w:rPr>
                <w:noProof/>
                <w:webHidden/>
              </w:rPr>
              <w:fldChar w:fldCharType="separate"/>
            </w:r>
            <w:r>
              <w:rPr>
                <w:noProof/>
                <w:webHidden/>
              </w:rPr>
              <w:t>11</w:t>
            </w:r>
            <w:r>
              <w:rPr>
                <w:noProof/>
                <w:webHidden/>
              </w:rPr>
              <w:fldChar w:fldCharType="end"/>
            </w:r>
          </w:hyperlink>
        </w:p>
        <w:p w14:paraId="0BA02DA5" w14:textId="371188EB"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55" w:history="1">
            <w:r w:rsidRPr="00FD6772">
              <w:rPr>
                <w:rStyle w:val="Hyperlink"/>
                <w:rFonts w:ascii="Times New Roman" w:eastAsia="Times New Roman" w:hAnsi="Times New Roman" w:cs="Times New Roman"/>
                <w:b/>
                <w:bCs/>
                <w:noProof/>
              </w:rPr>
              <w:t>3.3 Recommendations</w:t>
            </w:r>
            <w:r>
              <w:rPr>
                <w:noProof/>
                <w:webHidden/>
              </w:rPr>
              <w:tab/>
            </w:r>
            <w:r>
              <w:rPr>
                <w:noProof/>
                <w:webHidden/>
              </w:rPr>
              <w:fldChar w:fldCharType="begin"/>
            </w:r>
            <w:r>
              <w:rPr>
                <w:noProof/>
                <w:webHidden/>
              </w:rPr>
              <w:instrText xml:space="preserve"> PAGEREF _Toc225448355 \h </w:instrText>
            </w:r>
            <w:r>
              <w:rPr>
                <w:noProof/>
                <w:webHidden/>
              </w:rPr>
            </w:r>
            <w:r>
              <w:rPr>
                <w:noProof/>
                <w:webHidden/>
              </w:rPr>
              <w:fldChar w:fldCharType="separate"/>
            </w:r>
            <w:r>
              <w:rPr>
                <w:noProof/>
                <w:webHidden/>
              </w:rPr>
              <w:t>11</w:t>
            </w:r>
            <w:r>
              <w:rPr>
                <w:noProof/>
                <w:webHidden/>
              </w:rPr>
              <w:fldChar w:fldCharType="end"/>
            </w:r>
          </w:hyperlink>
        </w:p>
        <w:p w14:paraId="1B03CF90" w14:textId="44343EAD"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56" w:history="1">
            <w:r w:rsidRPr="00FD6772">
              <w:rPr>
                <w:rStyle w:val="Hyperlink"/>
                <w:rFonts w:ascii="Times New Roman" w:eastAsia="Times New Roman" w:hAnsi="Times New Roman" w:cs="Times New Roman"/>
                <w:b/>
                <w:bCs/>
                <w:noProof/>
              </w:rPr>
              <w:t>3.4 Financing Working Capital</w:t>
            </w:r>
            <w:r>
              <w:rPr>
                <w:noProof/>
                <w:webHidden/>
              </w:rPr>
              <w:tab/>
            </w:r>
            <w:r>
              <w:rPr>
                <w:noProof/>
                <w:webHidden/>
              </w:rPr>
              <w:fldChar w:fldCharType="begin"/>
            </w:r>
            <w:r>
              <w:rPr>
                <w:noProof/>
                <w:webHidden/>
              </w:rPr>
              <w:instrText xml:space="preserve"> PAGEREF _Toc225448356 \h </w:instrText>
            </w:r>
            <w:r>
              <w:rPr>
                <w:noProof/>
                <w:webHidden/>
              </w:rPr>
            </w:r>
            <w:r>
              <w:rPr>
                <w:noProof/>
                <w:webHidden/>
              </w:rPr>
              <w:fldChar w:fldCharType="separate"/>
            </w:r>
            <w:r>
              <w:rPr>
                <w:noProof/>
                <w:webHidden/>
              </w:rPr>
              <w:t>12</w:t>
            </w:r>
            <w:r>
              <w:rPr>
                <w:noProof/>
                <w:webHidden/>
              </w:rPr>
              <w:fldChar w:fldCharType="end"/>
            </w:r>
          </w:hyperlink>
        </w:p>
        <w:p w14:paraId="7C3E78C3" w14:textId="1C34D90D" w:rsidR="00C56FE3" w:rsidRDefault="00C56FE3">
          <w:pPr>
            <w:pStyle w:val="TOC1"/>
            <w:tabs>
              <w:tab w:val="right" w:leader="dot" w:pos="10070"/>
            </w:tabs>
            <w:rPr>
              <w:rFonts w:asciiTheme="minorHAnsi" w:eastAsiaTheme="minorEastAsia" w:hAnsiTheme="minorHAnsi" w:cstheme="minorBidi"/>
              <w:noProof/>
              <w:kern w:val="2"/>
              <w:sz w:val="24"/>
              <w:szCs w:val="24"/>
              <w14:ligatures w14:val="standardContextual"/>
            </w:rPr>
          </w:pPr>
          <w:hyperlink w:anchor="_Toc225448357" w:history="1">
            <w:r w:rsidRPr="00FD6772">
              <w:rPr>
                <w:rStyle w:val="Hyperlink"/>
                <w:rFonts w:ascii="Times New Roman" w:eastAsia="SimSun" w:hAnsi="Times New Roman" w:cs="Times New Roman"/>
                <w:noProof/>
              </w:rPr>
              <w:t>4. Strategic Financial Restructuring</w:t>
            </w:r>
            <w:r>
              <w:rPr>
                <w:noProof/>
                <w:webHidden/>
              </w:rPr>
              <w:tab/>
            </w:r>
            <w:r>
              <w:rPr>
                <w:noProof/>
                <w:webHidden/>
              </w:rPr>
              <w:fldChar w:fldCharType="begin"/>
            </w:r>
            <w:r>
              <w:rPr>
                <w:noProof/>
                <w:webHidden/>
              </w:rPr>
              <w:instrText xml:space="preserve"> PAGEREF _Toc225448357 \h </w:instrText>
            </w:r>
            <w:r>
              <w:rPr>
                <w:noProof/>
                <w:webHidden/>
              </w:rPr>
            </w:r>
            <w:r>
              <w:rPr>
                <w:noProof/>
                <w:webHidden/>
              </w:rPr>
              <w:fldChar w:fldCharType="separate"/>
            </w:r>
            <w:r>
              <w:rPr>
                <w:noProof/>
                <w:webHidden/>
              </w:rPr>
              <w:t>13</w:t>
            </w:r>
            <w:r>
              <w:rPr>
                <w:noProof/>
                <w:webHidden/>
              </w:rPr>
              <w:fldChar w:fldCharType="end"/>
            </w:r>
          </w:hyperlink>
        </w:p>
        <w:p w14:paraId="03ABCC8D" w14:textId="2C370B47"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58" w:history="1">
            <w:r w:rsidRPr="00FD6772">
              <w:rPr>
                <w:rStyle w:val="Hyperlink"/>
                <w:noProof/>
              </w:rPr>
              <w:t>4.1 Identification of Key Financial Issues</w:t>
            </w:r>
            <w:r>
              <w:rPr>
                <w:noProof/>
                <w:webHidden/>
              </w:rPr>
              <w:tab/>
            </w:r>
            <w:r>
              <w:rPr>
                <w:noProof/>
                <w:webHidden/>
              </w:rPr>
              <w:fldChar w:fldCharType="begin"/>
            </w:r>
            <w:r>
              <w:rPr>
                <w:noProof/>
                <w:webHidden/>
              </w:rPr>
              <w:instrText xml:space="preserve"> PAGEREF _Toc225448358 \h </w:instrText>
            </w:r>
            <w:r>
              <w:rPr>
                <w:noProof/>
                <w:webHidden/>
              </w:rPr>
            </w:r>
            <w:r>
              <w:rPr>
                <w:noProof/>
                <w:webHidden/>
              </w:rPr>
              <w:fldChar w:fldCharType="separate"/>
            </w:r>
            <w:r>
              <w:rPr>
                <w:noProof/>
                <w:webHidden/>
              </w:rPr>
              <w:t>13</w:t>
            </w:r>
            <w:r>
              <w:rPr>
                <w:noProof/>
                <w:webHidden/>
              </w:rPr>
              <w:fldChar w:fldCharType="end"/>
            </w:r>
          </w:hyperlink>
        </w:p>
        <w:p w14:paraId="70D2EC80" w14:textId="7EC8C210"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59" w:history="1">
            <w:r w:rsidRPr="00FD6772">
              <w:rPr>
                <w:rStyle w:val="Hyperlink"/>
                <w:rFonts w:ascii="Times New Roman" w:eastAsia="Times New Roman" w:hAnsi="Times New Roman" w:cs="Times New Roman"/>
                <w:b/>
                <w:bCs/>
                <w:noProof/>
              </w:rPr>
              <w:t>4.2 Strategic Financial Restructuring Recommendations</w:t>
            </w:r>
            <w:r>
              <w:rPr>
                <w:noProof/>
                <w:webHidden/>
              </w:rPr>
              <w:tab/>
            </w:r>
            <w:r>
              <w:rPr>
                <w:noProof/>
                <w:webHidden/>
              </w:rPr>
              <w:fldChar w:fldCharType="begin"/>
            </w:r>
            <w:r>
              <w:rPr>
                <w:noProof/>
                <w:webHidden/>
              </w:rPr>
              <w:instrText xml:space="preserve"> PAGEREF _Toc225448359 \h </w:instrText>
            </w:r>
            <w:r>
              <w:rPr>
                <w:noProof/>
                <w:webHidden/>
              </w:rPr>
            </w:r>
            <w:r>
              <w:rPr>
                <w:noProof/>
                <w:webHidden/>
              </w:rPr>
              <w:fldChar w:fldCharType="separate"/>
            </w:r>
            <w:r>
              <w:rPr>
                <w:noProof/>
                <w:webHidden/>
              </w:rPr>
              <w:t>14</w:t>
            </w:r>
            <w:r>
              <w:rPr>
                <w:noProof/>
                <w:webHidden/>
              </w:rPr>
              <w:fldChar w:fldCharType="end"/>
            </w:r>
          </w:hyperlink>
        </w:p>
        <w:p w14:paraId="66C7DBF0" w14:textId="39562E9E"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60" w:history="1">
            <w:r w:rsidRPr="00FD6772">
              <w:rPr>
                <w:rStyle w:val="Hyperlink"/>
                <w:rFonts w:ascii="Times New Roman" w:eastAsia="Times New Roman" w:hAnsi="Times New Roman" w:cs="Times New Roman"/>
                <w:b/>
                <w:bCs/>
                <w:noProof/>
              </w:rPr>
              <w:t>4.3 Evaluation of Strategic Impact</w:t>
            </w:r>
            <w:r>
              <w:rPr>
                <w:noProof/>
                <w:webHidden/>
              </w:rPr>
              <w:tab/>
            </w:r>
            <w:r>
              <w:rPr>
                <w:noProof/>
                <w:webHidden/>
              </w:rPr>
              <w:fldChar w:fldCharType="begin"/>
            </w:r>
            <w:r>
              <w:rPr>
                <w:noProof/>
                <w:webHidden/>
              </w:rPr>
              <w:instrText xml:space="preserve"> PAGEREF _Toc225448360 \h </w:instrText>
            </w:r>
            <w:r>
              <w:rPr>
                <w:noProof/>
                <w:webHidden/>
              </w:rPr>
            </w:r>
            <w:r>
              <w:rPr>
                <w:noProof/>
                <w:webHidden/>
              </w:rPr>
              <w:fldChar w:fldCharType="separate"/>
            </w:r>
            <w:r>
              <w:rPr>
                <w:noProof/>
                <w:webHidden/>
              </w:rPr>
              <w:t>16</w:t>
            </w:r>
            <w:r>
              <w:rPr>
                <w:noProof/>
                <w:webHidden/>
              </w:rPr>
              <w:fldChar w:fldCharType="end"/>
            </w:r>
          </w:hyperlink>
        </w:p>
        <w:p w14:paraId="1C4D86B1" w14:textId="59642613"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61" w:history="1">
            <w:r w:rsidRPr="00FD6772">
              <w:rPr>
                <w:rStyle w:val="Hyperlink"/>
                <w:rFonts w:ascii="Times New Roman" w:eastAsia="Times New Roman" w:hAnsi="Times New Roman" w:cs="Times New Roman"/>
                <w:b/>
                <w:bCs/>
                <w:noProof/>
              </w:rPr>
              <w:t>4.4 Global and Ethical Considerations</w:t>
            </w:r>
            <w:r>
              <w:rPr>
                <w:noProof/>
                <w:webHidden/>
              </w:rPr>
              <w:tab/>
            </w:r>
            <w:r>
              <w:rPr>
                <w:noProof/>
                <w:webHidden/>
              </w:rPr>
              <w:fldChar w:fldCharType="begin"/>
            </w:r>
            <w:r>
              <w:rPr>
                <w:noProof/>
                <w:webHidden/>
              </w:rPr>
              <w:instrText xml:space="preserve"> PAGEREF _Toc225448361 \h </w:instrText>
            </w:r>
            <w:r>
              <w:rPr>
                <w:noProof/>
                <w:webHidden/>
              </w:rPr>
            </w:r>
            <w:r>
              <w:rPr>
                <w:noProof/>
                <w:webHidden/>
              </w:rPr>
              <w:fldChar w:fldCharType="separate"/>
            </w:r>
            <w:r>
              <w:rPr>
                <w:noProof/>
                <w:webHidden/>
              </w:rPr>
              <w:t>17</w:t>
            </w:r>
            <w:r>
              <w:rPr>
                <w:noProof/>
                <w:webHidden/>
              </w:rPr>
              <w:fldChar w:fldCharType="end"/>
            </w:r>
          </w:hyperlink>
        </w:p>
        <w:p w14:paraId="6534FB7B" w14:textId="3DFE8A70" w:rsidR="00C56FE3" w:rsidRDefault="00C56FE3">
          <w:pPr>
            <w:pStyle w:val="TOC1"/>
            <w:tabs>
              <w:tab w:val="right" w:leader="dot" w:pos="10070"/>
            </w:tabs>
            <w:rPr>
              <w:rFonts w:asciiTheme="minorHAnsi" w:eastAsiaTheme="minorEastAsia" w:hAnsiTheme="minorHAnsi" w:cstheme="minorBidi"/>
              <w:noProof/>
              <w:kern w:val="2"/>
              <w:sz w:val="24"/>
              <w:szCs w:val="24"/>
              <w14:ligatures w14:val="standardContextual"/>
            </w:rPr>
          </w:pPr>
          <w:hyperlink w:anchor="_Toc225448362" w:history="1">
            <w:r w:rsidRPr="00FD6772">
              <w:rPr>
                <w:rStyle w:val="Hyperlink"/>
                <w:rFonts w:ascii="Times New Roman" w:hAnsi="Times New Roman" w:cs="Times New Roman"/>
                <w:noProof/>
              </w:rPr>
              <w:t>5. Investment Appraisal and Capital Budgeting</w:t>
            </w:r>
            <w:r>
              <w:rPr>
                <w:noProof/>
                <w:webHidden/>
              </w:rPr>
              <w:tab/>
            </w:r>
            <w:r>
              <w:rPr>
                <w:noProof/>
                <w:webHidden/>
              </w:rPr>
              <w:fldChar w:fldCharType="begin"/>
            </w:r>
            <w:r>
              <w:rPr>
                <w:noProof/>
                <w:webHidden/>
              </w:rPr>
              <w:instrText xml:space="preserve"> PAGEREF _Toc225448362 \h </w:instrText>
            </w:r>
            <w:r>
              <w:rPr>
                <w:noProof/>
                <w:webHidden/>
              </w:rPr>
            </w:r>
            <w:r>
              <w:rPr>
                <w:noProof/>
                <w:webHidden/>
              </w:rPr>
              <w:fldChar w:fldCharType="separate"/>
            </w:r>
            <w:r>
              <w:rPr>
                <w:noProof/>
                <w:webHidden/>
              </w:rPr>
              <w:t>19</w:t>
            </w:r>
            <w:r>
              <w:rPr>
                <w:noProof/>
                <w:webHidden/>
              </w:rPr>
              <w:fldChar w:fldCharType="end"/>
            </w:r>
          </w:hyperlink>
        </w:p>
        <w:p w14:paraId="3CA08CF4" w14:textId="685FCFB7"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63" w:history="1">
            <w:r w:rsidRPr="00FD6772">
              <w:rPr>
                <w:rStyle w:val="Hyperlink"/>
                <w:rFonts w:ascii="Times New Roman" w:eastAsia="Times New Roman" w:hAnsi="Times New Roman" w:cs="Times New Roman"/>
                <w:b/>
                <w:bCs/>
                <w:noProof/>
              </w:rPr>
              <w:t>5.1 Project Overview and Assumptions</w:t>
            </w:r>
            <w:r>
              <w:rPr>
                <w:noProof/>
                <w:webHidden/>
              </w:rPr>
              <w:tab/>
            </w:r>
            <w:r>
              <w:rPr>
                <w:noProof/>
                <w:webHidden/>
              </w:rPr>
              <w:fldChar w:fldCharType="begin"/>
            </w:r>
            <w:r>
              <w:rPr>
                <w:noProof/>
                <w:webHidden/>
              </w:rPr>
              <w:instrText xml:space="preserve"> PAGEREF _Toc225448363 \h </w:instrText>
            </w:r>
            <w:r>
              <w:rPr>
                <w:noProof/>
                <w:webHidden/>
              </w:rPr>
            </w:r>
            <w:r>
              <w:rPr>
                <w:noProof/>
                <w:webHidden/>
              </w:rPr>
              <w:fldChar w:fldCharType="separate"/>
            </w:r>
            <w:r>
              <w:rPr>
                <w:noProof/>
                <w:webHidden/>
              </w:rPr>
              <w:t>19</w:t>
            </w:r>
            <w:r>
              <w:rPr>
                <w:noProof/>
                <w:webHidden/>
              </w:rPr>
              <w:fldChar w:fldCharType="end"/>
            </w:r>
          </w:hyperlink>
        </w:p>
        <w:p w14:paraId="764C3C5D" w14:textId="15C032B8"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64" w:history="1">
            <w:r w:rsidRPr="00FD6772">
              <w:rPr>
                <w:rStyle w:val="Hyperlink"/>
                <w:rFonts w:ascii="Times New Roman" w:eastAsia="Times New Roman" w:hAnsi="Times New Roman" w:cs="Times New Roman"/>
                <w:b/>
                <w:bCs/>
                <w:noProof/>
              </w:rPr>
              <w:t>5.2 Payback Period (PBP)</w:t>
            </w:r>
            <w:r>
              <w:rPr>
                <w:noProof/>
                <w:webHidden/>
              </w:rPr>
              <w:tab/>
            </w:r>
            <w:r>
              <w:rPr>
                <w:noProof/>
                <w:webHidden/>
              </w:rPr>
              <w:fldChar w:fldCharType="begin"/>
            </w:r>
            <w:r>
              <w:rPr>
                <w:noProof/>
                <w:webHidden/>
              </w:rPr>
              <w:instrText xml:space="preserve"> PAGEREF _Toc225448364 \h </w:instrText>
            </w:r>
            <w:r>
              <w:rPr>
                <w:noProof/>
                <w:webHidden/>
              </w:rPr>
            </w:r>
            <w:r>
              <w:rPr>
                <w:noProof/>
                <w:webHidden/>
              </w:rPr>
              <w:fldChar w:fldCharType="separate"/>
            </w:r>
            <w:r>
              <w:rPr>
                <w:noProof/>
                <w:webHidden/>
              </w:rPr>
              <w:t>19</w:t>
            </w:r>
            <w:r>
              <w:rPr>
                <w:noProof/>
                <w:webHidden/>
              </w:rPr>
              <w:fldChar w:fldCharType="end"/>
            </w:r>
          </w:hyperlink>
        </w:p>
        <w:p w14:paraId="65B49FD0" w14:textId="3B8DB8D7"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65" w:history="1">
            <w:r w:rsidRPr="00FD6772">
              <w:rPr>
                <w:rStyle w:val="Hyperlink"/>
                <w:rFonts w:ascii="Times New Roman" w:eastAsia="Times New Roman" w:hAnsi="Times New Roman" w:cs="Times New Roman"/>
                <w:b/>
                <w:bCs/>
                <w:noProof/>
              </w:rPr>
              <w:t>5.3 Accounting Rate of Return (ARR)</w:t>
            </w:r>
            <w:r>
              <w:rPr>
                <w:noProof/>
                <w:webHidden/>
              </w:rPr>
              <w:tab/>
            </w:r>
            <w:r>
              <w:rPr>
                <w:noProof/>
                <w:webHidden/>
              </w:rPr>
              <w:fldChar w:fldCharType="begin"/>
            </w:r>
            <w:r>
              <w:rPr>
                <w:noProof/>
                <w:webHidden/>
              </w:rPr>
              <w:instrText xml:space="preserve"> PAGEREF _Toc225448365 \h </w:instrText>
            </w:r>
            <w:r>
              <w:rPr>
                <w:noProof/>
                <w:webHidden/>
              </w:rPr>
            </w:r>
            <w:r>
              <w:rPr>
                <w:noProof/>
                <w:webHidden/>
              </w:rPr>
              <w:fldChar w:fldCharType="separate"/>
            </w:r>
            <w:r>
              <w:rPr>
                <w:noProof/>
                <w:webHidden/>
              </w:rPr>
              <w:t>20</w:t>
            </w:r>
            <w:r>
              <w:rPr>
                <w:noProof/>
                <w:webHidden/>
              </w:rPr>
              <w:fldChar w:fldCharType="end"/>
            </w:r>
          </w:hyperlink>
        </w:p>
        <w:p w14:paraId="5D63DB48" w14:textId="53709A66"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66" w:history="1">
            <w:r w:rsidRPr="00FD6772">
              <w:rPr>
                <w:rStyle w:val="Hyperlink"/>
                <w:rFonts w:ascii="Times New Roman" w:eastAsia="Times New Roman" w:hAnsi="Times New Roman" w:cs="Times New Roman"/>
                <w:b/>
                <w:bCs/>
                <w:noProof/>
              </w:rPr>
              <w:t>5.4 Net Present Value (NPV)</w:t>
            </w:r>
            <w:r>
              <w:rPr>
                <w:noProof/>
                <w:webHidden/>
              </w:rPr>
              <w:tab/>
            </w:r>
            <w:r>
              <w:rPr>
                <w:noProof/>
                <w:webHidden/>
              </w:rPr>
              <w:fldChar w:fldCharType="begin"/>
            </w:r>
            <w:r>
              <w:rPr>
                <w:noProof/>
                <w:webHidden/>
              </w:rPr>
              <w:instrText xml:space="preserve"> PAGEREF _Toc225448366 \h </w:instrText>
            </w:r>
            <w:r>
              <w:rPr>
                <w:noProof/>
                <w:webHidden/>
              </w:rPr>
            </w:r>
            <w:r>
              <w:rPr>
                <w:noProof/>
                <w:webHidden/>
              </w:rPr>
              <w:fldChar w:fldCharType="separate"/>
            </w:r>
            <w:r>
              <w:rPr>
                <w:noProof/>
                <w:webHidden/>
              </w:rPr>
              <w:t>21</w:t>
            </w:r>
            <w:r>
              <w:rPr>
                <w:noProof/>
                <w:webHidden/>
              </w:rPr>
              <w:fldChar w:fldCharType="end"/>
            </w:r>
          </w:hyperlink>
        </w:p>
        <w:p w14:paraId="5AE04880" w14:textId="2EEFCB73"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67" w:history="1">
            <w:r w:rsidRPr="00FD6772">
              <w:rPr>
                <w:rStyle w:val="Hyperlink"/>
                <w:rFonts w:ascii="Times New Roman" w:eastAsia="Times New Roman" w:hAnsi="Times New Roman" w:cs="Times New Roman"/>
                <w:b/>
                <w:bCs/>
                <w:noProof/>
              </w:rPr>
              <w:t>5.5 Internal Rate of Return (IRR)</w:t>
            </w:r>
            <w:r>
              <w:rPr>
                <w:noProof/>
                <w:webHidden/>
              </w:rPr>
              <w:tab/>
            </w:r>
            <w:r>
              <w:rPr>
                <w:noProof/>
                <w:webHidden/>
              </w:rPr>
              <w:fldChar w:fldCharType="begin"/>
            </w:r>
            <w:r>
              <w:rPr>
                <w:noProof/>
                <w:webHidden/>
              </w:rPr>
              <w:instrText xml:space="preserve"> PAGEREF _Toc225448367 \h </w:instrText>
            </w:r>
            <w:r>
              <w:rPr>
                <w:noProof/>
                <w:webHidden/>
              </w:rPr>
            </w:r>
            <w:r>
              <w:rPr>
                <w:noProof/>
                <w:webHidden/>
              </w:rPr>
              <w:fldChar w:fldCharType="separate"/>
            </w:r>
            <w:r>
              <w:rPr>
                <w:noProof/>
                <w:webHidden/>
              </w:rPr>
              <w:t>21</w:t>
            </w:r>
            <w:r>
              <w:rPr>
                <w:noProof/>
                <w:webHidden/>
              </w:rPr>
              <w:fldChar w:fldCharType="end"/>
            </w:r>
          </w:hyperlink>
        </w:p>
        <w:p w14:paraId="694A2D31" w14:textId="3FD1F70F"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68" w:history="1">
            <w:r w:rsidRPr="00FD6772">
              <w:rPr>
                <w:rStyle w:val="Hyperlink"/>
                <w:rFonts w:ascii="Times New Roman" w:eastAsia="Times New Roman" w:hAnsi="Times New Roman" w:cs="Times New Roman"/>
                <w:b/>
                <w:bCs/>
                <w:noProof/>
              </w:rPr>
              <w:t>5.6 Profitability Index (PI)</w:t>
            </w:r>
            <w:r>
              <w:rPr>
                <w:noProof/>
                <w:webHidden/>
              </w:rPr>
              <w:tab/>
            </w:r>
            <w:r>
              <w:rPr>
                <w:noProof/>
                <w:webHidden/>
              </w:rPr>
              <w:fldChar w:fldCharType="begin"/>
            </w:r>
            <w:r>
              <w:rPr>
                <w:noProof/>
                <w:webHidden/>
              </w:rPr>
              <w:instrText xml:space="preserve"> PAGEREF _Toc225448368 \h </w:instrText>
            </w:r>
            <w:r>
              <w:rPr>
                <w:noProof/>
                <w:webHidden/>
              </w:rPr>
            </w:r>
            <w:r>
              <w:rPr>
                <w:noProof/>
                <w:webHidden/>
              </w:rPr>
              <w:fldChar w:fldCharType="separate"/>
            </w:r>
            <w:r>
              <w:rPr>
                <w:noProof/>
                <w:webHidden/>
              </w:rPr>
              <w:t>22</w:t>
            </w:r>
            <w:r>
              <w:rPr>
                <w:noProof/>
                <w:webHidden/>
              </w:rPr>
              <w:fldChar w:fldCharType="end"/>
            </w:r>
          </w:hyperlink>
        </w:p>
        <w:p w14:paraId="5DB490B5" w14:textId="167CE12D"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69" w:history="1">
            <w:r w:rsidRPr="00FD6772">
              <w:rPr>
                <w:rStyle w:val="Hyperlink"/>
                <w:rFonts w:ascii="Times New Roman" w:eastAsia="Times New Roman" w:hAnsi="Times New Roman" w:cs="Times New Roman"/>
                <w:b/>
                <w:bCs/>
                <w:noProof/>
              </w:rPr>
              <w:t>5.7 Capital Rationing Decision</w:t>
            </w:r>
            <w:r>
              <w:rPr>
                <w:noProof/>
                <w:webHidden/>
              </w:rPr>
              <w:tab/>
            </w:r>
            <w:r>
              <w:rPr>
                <w:noProof/>
                <w:webHidden/>
              </w:rPr>
              <w:fldChar w:fldCharType="begin"/>
            </w:r>
            <w:r>
              <w:rPr>
                <w:noProof/>
                <w:webHidden/>
              </w:rPr>
              <w:instrText xml:space="preserve"> PAGEREF _Toc225448369 \h </w:instrText>
            </w:r>
            <w:r>
              <w:rPr>
                <w:noProof/>
                <w:webHidden/>
              </w:rPr>
            </w:r>
            <w:r>
              <w:rPr>
                <w:noProof/>
                <w:webHidden/>
              </w:rPr>
              <w:fldChar w:fldCharType="separate"/>
            </w:r>
            <w:r>
              <w:rPr>
                <w:noProof/>
                <w:webHidden/>
              </w:rPr>
              <w:t>22</w:t>
            </w:r>
            <w:r>
              <w:rPr>
                <w:noProof/>
                <w:webHidden/>
              </w:rPr>
              <w:fldChar w:fldCharType="end"/>
            </w:r>
          </w:hyperlink>
        </w:p>
        <w:p w14:paraId="73205CC6" w14:textId="104582A2"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70" w:history="1">
            <w:r w:rsidRPr="00FD6772">
              <w:rPr>
                <w:rStyle w:val="Hyperlink"/>
                <w:rFonts w:ascii="Times New Roman" w:eastAsia="Times New Roman" w:hAnsi="Times New Roman" w:cs="Times New Roman"/>
                <w:b/>
                <w:bCs/>
                <w:noProof/>
              </w:rPr>
              <w:t>5.8 Strategic Alignment with Tesla’s Financial Position</w:t>
            </w:r>
            <w:r>
              <w:rPr>
                <w:noProof/>
                <w:webHidden/>
              </w:rPr>
              <w:tab/>
            </w:r>
            <w:r>
              <w:rPr>
                <w:noProof/>
                <w:webHidden/>
              </w:rPr>
              <w:fldChar w:fldCharType="begin"/>
            </w:r>
            <w:r>
              <w:rPr>
                <w:noProof/>
                <w:webHidden/>
              </w:rPr>
              <w:instrText xml:space="preserve"> PAGEREF _Toc225448370 \h </w:instrText>
            </w:r>
            <w:r>
              <w:rPr>
                <w:noProof/>
                <w:webHidden/>
              </w:rPr>
            </w:r>
            <w:r>
              <w:rPr>
                <w:noProof/>
                <w:webHidden/>
              </w:rPr>
              <w:fldChar w:fldCharType="separate"/>
            </w:r>
            <w:r>
              <w:rPr>
                <w:noProof/>
                <w:webHidden/>
              </w:rPr>
              <w:t>23</w:t>
            </w:r>
            <w:r>
              <w:rPr>
                <w:noProof/>
                <w:webHidden/>
              </w:rPr>
              <w:fldChar w:fldCharType="end"/>
            </w:r>
          </w:hyperlink>
        </w:p>
        <w:p w14:paraId="3B93FCC9" w14:textId="0C2575B0"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71" w:history="1">
            <w:r w:rsidRPr="00FD6772">
              <w:rPr>
                <w:rStyle w:val="Hyperlink"/>
                <w:rFonts w:ascii="Times New Roman" w:eastAsia="Times New Roman" w:hAnsi="Times New Roman" w:cs="Times New Roman"/>
                <w:b/>
                <w:bCs/>
                <w:noProof/>
              </w:rPr>
              <w:t>5.9 Non-Financial Considerations</w:t>
            </w:r>
            <w:r>
              <w:rPr>
                <w:noProof/>
                <w:webHidden/>
              </w:rPr>
              <w:tab/>
            </w:r>
            <w:r>
              <w:rPr>
                <w:noProof/>
                <w:webHidden/>
              </w:rPr>
              <w:fldChar w:fldCharType="begin"/>
            </w:r>
            <w:r>
              <w:rPr>
                <w:noProof/>
                <w:webHidden/>
              </w:rPr>
              <w:instrText xml:space="preserve"> PAGEREF _Toc225448371 \h </w:instrText>
            </w:r>
            <w:r>
              <w:rPr>
                <w:noProof/>
                <w:webHidden/>
              </w:rPr>
            </w:r>
            <w:r>
              <w:rPr>
                <w:noProof/>
                <w:webHidden/>
              </w:rPr>
              <w:fldChar w:fldCharType="separate"/>
            </w:r>
            <w:r>
              <w:rPr>
                <w:noProof/>
                <w:webHidden/>
              </w:rPr>
              <w:t>23</w:t>
            </w:r>
            <w:r>
              <w:rPr>
                <w:noProof/>
                <w:webHidden/>
              </w:rPr>
              <w:fldChar w:fldCharType="end"/>
            </w:r>
          </w:hyperlink>
        </w:p>
        <w:p w14:paraId="37557161" w14:textId="429F6486" w:rsidR="00C56FE3" w:rsidRDefault="00C56FE3">
          <w:pPr>
            <w:pStyle w:val="TOC2"/>
            <w:tabs>
              <w:tab w:val="right" w:leader="dot" w:pos="10070"/>
            </w:tabs>
            <w:rPr>
              <w:rFonts w:asciiTheme="minorHAnsi" w:eastAsiaTheme="minorEastAsia" w:hAnsiTheme="minorHAnsi" w:cstheme="minorBidi"/>
              <w:noProof/>
              <w:kern w:val="2"/>
              <w:sz w:val="24"/>
              <w:szCs w:val="24"/>
              <w14:ligatures w14:val="standardContextual"/>
            </w:rPr>
          </w:pPr>
          <w:hyperlink w:anchor="_Toc225448372" w:history="1">
            <w:r w:rsidRPr="00FD6772">
              <w:rPr>
                <w:rStyle w:val="Hyperlink"/>
                <w:rFonts w:ascii="Times New Roman" w:eastAsia="Times New Roman" w:hAnsi="Times New Roman" w:cs="Times New Roman"/>
                <w:b/>
                <w:bCs/>
                <w:noProof/>
              </w:rPr>
              <w:t>5.10 Final Recommendation</w:t>
            </w:r>
            <w:r>
              <w:rPr>
                <w:noProof/>
                <w:webHidden/>
              </w:rPr>
              <w:tab/>
            </w:r>
            <w:r>
              <w:rPr>
                <w:noProof/>
                <w:webHidden/>
              </w:rPr>
              <w:fldChar w:fldCharType="begin"/>
            </w:r>
            <w:r>
              <w:rPr>
                <w:noProof/>
                <w:webHidden/>
              </w:rPr>
              <w:instrText xml:space="preserve"> PAGEREF _Toc225448372 \h </w:instrText>
            </w:r>
            <w:r>
              <w:rPr>
                <w:noProof/>
                <w:webHidden/>
              </w:rPr>
            </w:r>
            <w:r>
              <w:rPr>
                <w:noProof/>
                <w:webHidden/>
              </w:rPr>
              <w:fldChar w:fldCharType="separate"/>
            </w:r>
            <w:r>
              <w:rPr>
                <w:noProof/>
                <w:webHidden/>
              </w:rPr>
              <w:t>24</w:t>
            </w:r>
            <w:r>
              <w:rPr>
                <w:noProof/>
                <w:webHidden/>
              </w:rPr>
              <w:fldChar w:fldCharType="end"/>
            </w:r>
          </w:hyperlink>
        </w:p>
        <w:p w14:paraId="63EB5F37" w14:textId="6F70907D" w:rsidR="00C56FE3" w:rsidRDefault="00C56FE3">
          <w:pPr>
            <w:pStyle w:val="TOC1"/>
            <w:tabs>
              <w:tab w:val="right" w:leader="dot" w:pos="10070"/>
            </w:tabs>
            <w:rPr>
              <w:rFonts w:asciiTheme="minorHAnsi" w:eastAsiaTheme="minorEastAsia" w:hAnsiTheme="minorHAnsi" w:cstheme="minorBidi"/>
              <w:noProof/>
              <w:kern w:val="2"/>
              <w:sz w:val="24"/>
              <w:szCs w:val="24"/>
              <w14:ligatures w14:val="standardContextual"/>
            </w:rPr>
          </w:pPr>
          <w:hyperlink w:anchor="_Toc225448373" w:history="1">
            <w:r w:rsidRPr="00FD6772">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_Toc225448373 \h </w:instrText>
            </w:r>
            <w:r>
              <w:rPr>
                <w:noProof/>
                <w:webHidden/>
              </w:rPr>
            </w:r>
            <w:r>
              <w:rPr>
                <w:noProof/>
                <w:webHidden/>
              </w:rPr>
              <w:fldChar w:fldCharType="separate"/>
            </w:r>
            <w:r>
              <w:rPr>
                <w:noProof/>
                <w:webHidden/>
              </w:rPr>
              <w:t>25</w:t>
            </w:r>
            <w:r>
              <w:rPr>
                <w:noProof/>
                <w:webHidden/>
              </w:rPr>
              <w:fldChar w:fldCharType="end"/>
            </w:r>
          </w:hyperlink>
        </w:p>
        <w:p w14:paraId="57B0BE09" w14:textId="3346ECFE" w:rsidR="00C56FE3" w:rsidRDefault="00C56FE3">
          <w:pPr>
            <w:pStyle w:val="TOC1"/>
            <w:tabs>
              <w:tab w:val="right" w:leader="dot" w:pos="10070"/>
            </w:tabs>
            <w:rPr>
              <w:rFonts w:asciiTheme="minorHAnsi" w:eastAsiaTheme="minorEastAsia" w:hAnsiTheme="minorHAnsi" w:cstheme="minorBidi"/>
              <w:noProof/>
              <w:kern w:val="2"/>
              <w:sz w:val="24"/>
              <w:szCs w:val="24"/>
              <w14:ligatures w14:val="standardContextual"/>
            </w:rPr>
          </w:pPr>
          <w:hyperlink w:anchor="_Toc225448374" w:history="1">
            <w:r w:rsidRPr="00FD6772">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_Toc225448374 \h </w:instrText>
            </w:r>
            <w:r>
              <w:rPr>
                <w:noProof/>
                <w:webHidden/>
              </w:rPr>
            </w:r>
            <w:r>
              <w:rPr>
                <w:noProof/>
                <w:webHidden/>
              </w:rPr>
              <w:fldChar w:fldCharType="separate"/>
            </w:r>
            <w:r>
              <w:rPr>
                <w:noProof/>
                <w:webHidden/>
              </w:rPr>
              <w:t>26</w:t>
            </w:r>
            <w:r>
              <w:rPr>
                <w:noProof/>
                <w:webHidden/>
              </w:rPr>
              <w:fldChar w:fldCharType="end"/>
            </w:r>
          </w:hyperlink>
        </w:p>
        <w:p w14:paraId="364C5197" w14:textId="32773F2E" w:rsidR="00E745B3" w:rsidRDefault="00E745B3">
          <w:r>
            <w:rPr>
              <w:b/>
              <w:bCs/>
              <w:noProof/>
            </w:rPr>
            <w:fldChar w:fldCharType="end"/>
          </w:r>
        </w:p>
      </w:sdtContent>
    </w:sdt>
    <w:p w14:paraId="28E2D3EA" w14:textId="77777777" w:rsidR="00BC687C" w:rsidRPr="00E745B3" w:rsidRDefault="00E745B3" w:rsidP="00E745B3">
      <w:pPr>
        <w:pStyle w:val="Heading1"/>
        <w:spacing w:line="360" w:lineRule="auto"/>
        <w:rPr>
          <w:rFonts w:ascii="Times New Roman" w:eastAsia="Calibri" w:hAnsi="Times New Roman" w:cs="Times New Roman"/>
          <w:sz w:val="24"/>
          <w:szCs w:val="24"/>
        </w:rPr>
      </w:pPr>
      <w:bookmarkStart w:id="1" w:name="_Toc225448344"/>
      <w:r w:rsidRPr="00E745B3">
        <w:rPr>
          <w:rFonts w:ascii="Times New Roman" w:eastAsia="Times New Roman" w:hAnsi="Times New Roman" w:cs="Times New Roman"/>
          <w:sz w:val="24"/>
          <w:szCs w:val="24"/>
        </w:rPr>
        <w:t>1. Introduction</w:t>
      </w:r>
      <w:bookmarkEnd w:id="0"/>
      <w:bookmarkEnd w:id="1"/>
      <w:r w:rsidRPr="00E745B3">
        <w:rPr>
          <w:rFonts w:ascii="Times New Roman" w:eastAsia="Times New Roman" w:hAnsi="Times New Roman" w:cs="Times New Roman"/>
          <w:sz w:val="24"/>
          <w:szCs w:val="24"/>
        </w:rPr>
        <w:t xml:space="preserve"> </w:t>
      </w:r>
    </w:p>
    <w:p w14:paraId="20E88B7B" w14:textId="77777777" w:rsidR="00BC687C" w:rsidRPr="00E745B3" w:rsidRDefault="00E745B3" w:rsidP="00E745B3">
      <w:pPr>
        <w:spacing w:before="100" w:beforeAutospacing="1" w:after="100" w:afterAutospacing="1" w:line="360" w:lineRule="auto"/>
        <w:jc w:val="both"/>
        <w:rPr>
          <w:rFonts w:ascii="Times New Roman" w:eastAsia="Times New Roman" w:hAnsi="Times New Roman" w:cs="Times New Roman"/>
          <w:sz w:val="24"/>
          <w:szCs w:val="24"/>
        </w:rPr>
      </w:pPr>
      <w:r w:rsidRPr="00E745B3">
        <w:rPr>
          <w:rFonts w:ascii="Times New Roman" w:eastAsia="Times New Roman" w:hAnsi="Times New Roman" w:cs="Times New Roman"/>
          <w:sz w:val="24"/>
          <w:szCs w:val="24"/>
        </w:rPr>
        <w:t>The world auto sector is fast changing into a sustainable power industry and electric cars (EVs). Tesla, Inc. is one of the major actors in this change, which is highly innovative and disruptive. In addition to EVs, Tesla has ventured into energy storage and renewable solutions which have enhanced its position in global sustainability.</w:t>
      </w:r>
    </w:p>
    <w:p w14:paraId="143BAE80" w14:textId="77777777" w:rsidR="00BC687C" w:rsidRPr="00E745B3" w:rsidRDefault="00E745B3" w:rsidP="00E745B3">
      <w:pPr>
        <w:spacing w:before="100" w:beforeAutospacing="1" w:after="100" w:afterAutospacing="1" w:line="360" w:lineRule="auto"/>
        <w:jc w:val="both"/>
        <w:rPr>
          <w:rFonts w:ascii="Times New Roman" w:eastAsia="Times New Roman" w:hAnsi="Times New Roman" w:cs="Times New Roman"/>
          <w:sz w:val="24"/>
          <w:szCs w:val="24"/>
        </w:rPr>
      </w:pPr>
      <w:r w:rsidRPr="00E745B3">
        <w:rPr>
          <w:rFonts w:ascii="Times New Roman" w:eastAsia="Times New Roman" w:hAnsi="Times New Roman" w:cs="Times New Roman"/>
          <w:sz w:val="24"/>
          <w:szCs w:val="24"/>
        </w:rPr>
        <w:t>Compared to the last five years, Tesla has enjoyed great success in production, revenue and market value. Nonetheless, there is increased competition, pressure on prices, supply chain problems and macroeconomic factors such as inflation and increased interest rates that are both opportunities and threats that accompany this improvement.</w:t>
      </w:r>
    </w:p>
    <w:p w14:paraId="50A21C8C" w14:textId="77777777" w:rsidR="00BC687C" w:rsidRPr="00E745B3" w:rsidRDefault="00E745B3" w:rsidP="00E745B3">
      <w:pPr>
        <w:spacing w:before="100" w:beforeAutospacing="1" w:after="100" w:afterAutospacing="1" w:line="360" w:lineRule="auto"/>
        <w:jc w:val="both"/>
        <w:rPr>
          <w:rFonts w:ascii="Times New Roman" w:eastAsia="Times New Roman" w:hAnsi="Times New Roman" w:cs="Times New Roman"/>
          <w:sz w:val="24"/>
          <w:szCs w:val="24"/>
        </w:rPr>
      </w:pPr>
      <w:r w:rsidRPr="00E745B3">
        <w:rPr>
          <w:rFonts w:ascii="Times New Roman" w:eastAsia="Times New Roman" w:hAnsi="Times New Roman" w:cs="Times New Roman"/>
          <w:sz w:val="24"/>
          <w:szCs w:val="24"/>
        </w:rPr>
        <w:t>The purpose of the report is to discuss five years of financial performance of Tesla through financial health, working capital efficiency, and capital structure. It also determines the main challenges, suggests a course of restructuring, and assesses the possibilities of investment to enhance the sustainability in the long term and shareholder value.</w:t>
      </w:r>
    </w:p>
    <w:p w14:paraId="762DFB9A" w14:textId="77777777" w:rsidR="00BC687C" w:rsidRPr="00E745B3" w:rsidRDefault="00E745B3" w:rsidP="00E745B3">
      <w:pPr>
        <w:spacing w:before="100" w:beforeAutospacing="1" w:after="100" w:afterAutospacing="1" w:line="360" w:lineRule="auto"/>
        <w:jc w:val="both"/>
        <w:rPr>
          <w:rFonts w:ascii="Times New Roman" w:eastAsia="Times New Roman" w:hAnsi="Times New Roman" w:cs="Times New Roman"/>
          <w:sz w:val="24"/>
          <w:szCs w:val="24"/>
        </w:rPr>
      </w:pPr>
      <w:r w:rsidRPr="00E745B3">
        <w:rPr>
          <w:rFonts w:ascii="Times New Roman" w:eastAsia="Times New Roman" w:hAnsi="Times New Roman" w:cs="Times New Roman"/>
          <w:sz w:val="24"/>
          <w:szCs w:val="24"/>
        </w:rPr>
        <w:t>The report will be separated into four parts; financial health analysis by ratios, the assessment of working capital management, the development of a restructuring strategy, and the implementation of investment appraisal techniques to make decisions.</w:t>
      </w:r>
    </w:p>
    <w:p w14:paraId="5D1A2D7E" w14:textId="77777777" w:rsidR="00E745B3" w:rsidRDefault="00E745B3">
      <w:pPr>
        <w:rPr>
          <w:rStyle w:val="Strong"/>
          <w:rFonts w:ascii="Times New Roman" w:eastAsia="SimSun" w:hAnsi="Times New Roman" w:cs="Times New Roman"/>
          <w:b w:val="0"/>
          <w:bCs w:val="0"/>
          <w:color w:val="2F5496"/>
          <w:sz w:val="24"/>
          <w:szCs w:val="24"/>
        </w:rPr>
      </w:pPr>
      <w:r>
        <w:rPr>
          <w:rStyle w:val="Strong"/>
          <w:rFonts w:ascii="Times New Roman" w:eastAsia="SimSun" w:hAnsi="Times New Roman" w:cs="Times New Roman"/>
          <w:b w:val="0"/>
          <w:bCs w:val="0"/>
          <w:color w:val="2F5496"/>
          <w:sz w:val="24"/>
          <w:szCs w:val="24"/>
        </w:rPr>
        <w:br w:type="page"/>
      </w:r>
    </w:p>
    <w:p w14:paraId="50502000" w14:textId="77777777" w:rsidR="00BC687C" w:rsidRPr="00E745B3" w:rsidRDefault="00E745B3" w:rsidP="00E745B3">
      <w:pPr>
        <w:keepNext/>
        <w:keepLines/>
        <w:spacing w:before="240" w:line="360" w:lineRule="auto"/>
        <w:outlineLvl w:val="0"/>
        <w:rPr>
          <w:rFonts w:ascii="Times New Roman" w:eastAsia="Times New Roman" w:hAnsi="Times New Roman" w:cs="Times New Roman"/>
          <w:sz w:val="24"/>
          <w:szCs w:val="24"/>
        </w:rPr>
      </w:pPr>
      <w:bookmarkStart w:id="2" w:name="_Toc225448345"/>
      <w:r w:rsidRPr="00E745B3">
        <w:rPr>
          <w:rStyle w:val="Strong"/>
          <w:rFonts w:ascii="Times New Roman" w:eastAsia="SimSun" w:hAnsi="Times New Roman" w:cs="Times New Roman"/>
          <w:b w:val="0"/>
          <w:bCs w:val="0"/>
          <w:color w:val="2F5496"/>
          <w:sz w:val="24"/>
          <w:szCs w:val="24"/>
        </w:rPr>
        <w:t>2. Financial Health Check</w:t>
      </w:r>
      <w:bookmarkEnd w:id="2"/>
    </w:p>
    <w:p w14:paraId="2CE8890D" w14:textId="77777777" w:rsidR="00BC687C" w:rsidRPr="00E745B3" w:rsidRDefault="00E745B3" w:rsidP="00E745B3">
      <w:pPr>
        <w:spacing w:before="100" w:beforeAutospacing="1" w:after="100" w:afterAutospacing="1" w:line="360" w:lineRule="auto"/>
        <w:jc w:val="both"/>
        <w:outlineLvl w:val="1"/>
        <w:rPr>
          <w:rFonts w:ascii="Times New Roman" w:eastAsia="Times New Roman" w:hAnsi="Times New Roman" w:cs="Times New Roman"/>
          <w:sz w:val="24"/>
          <w:szCs w:val="24"/>
        </w:rPr>
      </w:pPr>
      <w:bookmarkStart w:id="3" w:name="_Toc225448346"/>
      <w:r w:rsidRPr="00E745B3">
        <w:rPr>
          <w:rStyle w:val="Strong"/>
          <w:rFonts w:ascii="Times New Roman" w:eastAsia="Times New Roman" w:hAnsi="Times New Roman" w:cs="Times New Roman"/>
          <w:sz w:val="24"/>
          <w:szCs w:val="24"/>
        </w:rPr>
        <w:t>2.1 Overview of Financial Performance</w:t>
      </w:r>
      <w:bookmarkEnd w:id="3"/>
    </w:p>
    <w:p w14:paraId="6FDE8486" w14:textId="77777777" w:rsidR="00BC687C" w:rsidRPr="00E745B3" w:rsidRDefault="00E745B3" w:rsidP="00E745B3">
      <w:pPr>
        <w:spacing w:before="100" w:beforeAutospacing="1" w:after="100" w:afterAutospacing="1" w:line="360" w:lineRule="auto"/>
        <w:jc w:val="both"/>
        <w:rPr>
          <w:rFonts w:ascii="Times New Roman" w:eastAsia="Times New Roman" w:hAnsi="Times New Roman" w:cs="Times New Roman"/>
          <w:sz w:val="24"/>
          <w:szCs w:val="24"/>
        </w:rPr>
      </w:pPr>
      <w:r w:rsidRPr="00E745B3">
        <w:rPr>
          <w:rFonts w:ascii="Times New Roman" w:eastAsia="Times New Roman" w:hAnsi="Times New Roman" w:cs="Times New Roman"/>
          <w:sz w:val="24"/>
          <w:szCs w:val="24"/>
        </w:rPr>
        <w:t>The increase in Tesla revenues has been significant between 2020 and 2023 and then has been leveled in recent years (Tesla, 2024). Nevertheless, this expansion has not been followed by corresponding proportional rises in profitability, which implies that the company is under financial strain.</w:t>
      </w:r>
    </w:p>
    <w:p w14:paraId="468EE97D" w14:textId="77777777" w:rsidR="00BC687C" w:rsidRPr="00E745B3" w:rsidRDefault="00E745B3" w:rsidP="00E745B3">
      <w:pPr>
        <w:spacing w:line="360" w:lineRule="auto"/>
        <w:jc w:val="both"/>
        <w:rPr>
          <w:rFonts w:ascii="Times New Roman" w:eastAsia="Times New Roman" w:hAnsi="Times New Roman" w:cs="Times New Roman"/>
          <w:sz w:val="24"/>
          <w:szCs w:val="24"/>
        </w:rPr>
      </w:pPr>
      <w:r w:rsidRPr="00E745B3">
        <w:rPr>
          <w:rFonts w:ascii="Times New Roman" w:hAnsi="Times New Roman" w:cs="Times New Roman"/>
          <w:b/>
          <w:bCs/>
          <w:sz w:val="24"/>
          <w:szCs w:val="24"/>
        </w:rPr>
        <w:t>Revenue Performance Analysis</w:t>
      </w:r>
    </w:p>
    <w:p w14:paraId="73A02DF5" w14:textId="77777777" w:rsidR="00BC687C" w:rsidRPr="00E745B3" w:rsidRDefault="00E745B3" w:rsidP="00E745B3">
      <w:pPr>
        <w:spacing w:before="100" w:beforeAutospacing="1" w:after="100" w:afterAutospacing="1" w:line="360" w:lineRule="auto"/>
        <w:jc w:val="both"/>
        <w:rPr>
          <w:rFonts w:ascii="Times New Roman" w:eastAsia="Times New Roman" w:hAnsi="Times New Roman" w:cs="Times New Roman"/>
          <w:sz w:val="24"/>
          <w:szCs w:val="24"/>
        </w:rPr>
      </w:pPr>
      <w:r w:rsidRPr="00E745B3">
        <w:rPr>
          <w:rFonts w:ascii="Times New Roman" w:eastAsia="Times New Roman" w:hAnsi="Times New Roman" w:cs="Times New Roman"/>
          <w:sz w:val="24"/>
          <w:szCs w:val="24"/>
        </w:rPr>
        <w:t xml:space="preserve">Tesla indicates a robust growth pattern in the period 2020 to 2023 as revenue growth is expected to be steep, moving up to 96.77 billion in 2023, and 31.54 billion in 2020. This is a significant growth due to the growth in vehicle delivery, internationalization and the adoption of electric vehicles. The rapid increase was in the period between 2020 and 2022 as the revenue increased more than twofold, which is due to the aggressive scaling strategy and high demand of Tesla in the market. </w:t>
      </w:r>
    </w:p>
    <w:p w14:paraId="63101021" w14:textId="77777777" w:rsidR="00BC687C" w:rsidRPr="00E745B3" w:rsidRDefault="00E745B3" w:rsidP="00E745B3">
      <w:pPr>
        <w:spacing w:before="100" w:beforeAutospacing="1" w:after="100" w:afterAutospacing="1" w:line="360" w:lineRule="auto"/>
        <w:jc w:val="both"/>
        <w:rPr>
          <w:rFonts w:ascii="Times New Roman" w:eastAsia="Times New Roman" w:hAnsi="Times New Roman" w:cs="Times New Roman"/>
          <w:sz w:val="24"/>
          <w:szCs w:val="24"/>
        </w:rPr>
      </w:pPr>
      <w:r w:rsidRPr="00E745B3">
        <w:rPr>
          <w:rFonts w:ascii="Times New Roman" w:eastAsia="Times New Roman" w:hAnsi="Times New Roman" w:cs="Times New Roman"/>
          <w:sz w:val="24"/>
          <w:szCs w:val="24"/>
        </w:rPr>
        <w:t>Much of this increment, however, is anticipated to taper in 2024, when revenue growth will only be marginal at about 1, after which it will decrease by about 3 percent in 2025. This means that the company has entered the maturity phase and no longer in high-growth, which depends on such factors as competition in the EV market and pricing issues and market saturation (Tesla, 2024).</w:t>
      </w:r>
    </w:p>
    <w:p w14:paraId="7A47B334" w14:textId="77777777" w:rsidR="00BC687C" w:rsidRPr="00E745B3" w:rsidRDefault="00E745B3" w:rsidP="00E745B3">
      <w:pPr>
        <w:spacing w:line="360" w:lineRule="auto"/>
        <w:jc w:val="both"/>
        <w:rPr>
          <w:rFonts w:ascii="Times New Roman" w:eastAsia="Times New Roman" w:hAnsi="Times New Roman" w:cs="Times New Roman"/>
          <w:sz w:val="24"/>
          <w:szCs w:val="24"/>
        </w:rPr>
      </w:pPr>
      <w:r w:rsidRPr="00E745B3">
        <w:rPr>
          <w:rFonts w:ascii="Times New Roman" w:hAnsi="Times New Roman" w:cs="Times New Roman"/>
          <w:b/>
          <w:bCs/>
          <w:sz w:val="24"/>
          <w:szCs w:val="24"/>
        </w:rPr>
        <w:t xml:space="preserve"> Profitability Analysis</w:t>
      </w:r>
    </w:p>
    <w:p w14:paraId="2BB2BD57" w14:textId="77777777" w:rsidR="00BC687C" w:rsidRPr="00E745B3" w:rsidRDefault="00E745B3" w:rsidP="00E745B3">
      <w:pPr>
        <w:spacing w:before="100" w:beforeAutospacing="1" w:after="100" w:afterAutospacing="1" w:line="360" w:lineRule="auto"/>
        <w:jc w:val="both"/>
        <w:rPr>
          <w:rFonts w:ascii="Times New Roman" w:eastAsia="Times New Roman" w:hAnsi="Times New Roman" w:cs="Times New Roman"/>
          <w:sz w:val="24"/>
          <w:szCs w:val="24"/>
        </w:rPr>
      </w:pPr>
      <w:r w:rsidRPr="00E745B3">
        <w:rPr>
          <w:rFonts w:ascii="Times New Roman" w:eastAsia="Times New Roman" w:hAnsi="Times New Roman" w:cs="Times New Roman"/>
          <w:sz w:val="24"/>
          <w:szCs w:val="24"/>
        </w:rPr>
        <w:t xml:space="preserve">The profitability of Tesla increased greatly between 2020 and 2023, as the net income has increased by over half a million dollars to about 15 billion dollars. This is an indication of better economies of scale, efficiency and cost control. </w:t>
      </w:r>
    </w:p>
    <w:p w14:paraId="0316785E" w14:textId="77777777" w:rsidR="00BC687C" w:rsidRPr="00E745B3" w:rsidRDefault="00E745B3" w:rsidP="00E745B3">
      <w:pPr>
        <w:spacing w:before="100" w:beforeAutospacing="1" w:after="100" w:afterAutospacing="1" w:line="360" w:lineRule="auto"/>
        <w:jc w:val="both"/>
        <w:rPr>
          <w:rFonts w:ascii="Times New Roman" w:eastAsia="Times New Roman" w:hAnsi="Times New Roman" w:cs="Times New Roman"/>
          <w:sz w:val="24"/>
          <w:szCs w:val="24"/>
        </w:rPr>
      </w:pPr>
      <w:r w:rsidRPr="00E745B3">
        <w:rPr>
          <w:rFonts w:ascii="Times New Roman" w:eastAsia="Times New Roman" w:hAnsi="Times New Roman" w:cs="Times New Roman"/>
          <w:sz w:val="24"/>
          <w:szCs w:val="24"/>
        </w:rPr>
        <w:t>Nonetheless, profitability is going down drastically after 2023. The net income decreases to $7.09 billion in 2024 and to 3.79 billion in 2025, a significant decrease of more than 70 percent of its level in 2020 (Tesla, 2023).</w:t>
      </w:r>
    </w:p>
    <w:p w14:paraId="101465C0" w14:textId="77777777" w:rsidR="00BC687C" w:rsidRPr="00E745B3" w:rsidRDefault="00E745B3" w:rsidP="00E745B3">
      <w:pPr>
        <w:spacing w:before="100" w:beforeAutospacing="1" w:after="100" w:afterAutospacing="1" w:line="360" w:lineRule="auto"/>
        <w:jc w:val="both"/>
        <w:rPr>
          <w:rFonts w:ascii="Times New Roman" w:eastAsia="Times New Roman" w:hAnsi="Times New Roman" w:cs="Times New Roman"/>
          <w:sz w:val="24"/>
          <w:szCs w:val="24"/>
        </w:rPr>
      </w:pPr>
      <w:r w:rsidRPr="00E745B3">
        <w:rPr>
          <w:rFonts w:ascii="Times New Roman" w:eastAsia="Times New Roman" w:hAnsi="Times New Roman" w:cs="Times New Roman"/>
          <w:sz w:val="24"/>
          <w:szCs w:val="24"/>
        </w:rPr>
        <w:t>This slump in can be ascribed to a number of factors:</w:t>
      </w:r>
    </w:p>
    <w:p w14:paraId="799021AF" w14:textId="77777777" w:rsidR="00BC687C" w:rsidRPr="00E745B3" w:rsidRDefault="00E745B3" w:rsidP="00E745B3">
      <w:pPr>
        <w:numPr>
          <w:ilvl w:val="0"/>
          <w:numId w:val="1"/>
        </w:numPr>
        <w:spacing w:before="100" w:beforeAutospacing="1" w:after="100" w:afterAutospacing="1" w:line="360" w:lineRule="auto"/>
        <w:jc w:val="both"/>
        <w:rPr>
          <w:rFonts w:ascii="Times New Roman" w:hAnsi="Times New Roman" w:cs="Times New Roman"/>
          <w:sz w:val="24"/>
          <w:szCs w:val="24"/>
        </w:rPr>
      </w:pPr>
      <w:r w:rsidRPr="00E745B3">
        <w:rPr>
          <w:rFonts w:ascii="Times New Roman" w:hAnsi="Times New Roman" w:cs="Times New Roman"/>
          <w:sz w:val="24"/>
          <w:szCs w:val="24"/>
        </w:rPr>
        <w:t xml:space="preserve">Extensive price cuts to sustain demand. </w:t>
      </w:r>
    </w:p>
    <w:p w14:paraId="29692A7D" w14:textId="77777777" w:rsidR="00BC687C" w:rsidRPr="00E745B3" w:rsidRDefault="00E745B3" w:rsidP="00E745B3">
      <w:pPr>
        <w:numPr>
          <w:ilvl w:val="0"/>
          <w:numId w:val="1"/>
        </w:numPr>
        <w:spacing w:before="100" w:beforeAutospacing="1" w:after="100" w:afterAutospacing="1" w:line="360" w:lineRule="auto"/>
        <w:jc w:val="both"/>
        <w:rPr>
          <w:rFonts w:ascii="Times New Roman" w:hAnsi="Times New Roman" w:cs="Times New Roman"/>
          <w:sz w:val="24"/>
          <w:szCs w:val="24"/>
        </w:rPr>
      </w:pPr>
      <w:r w:rsidRPr="00E745B3">
        <w:rPr>
          <w:rFonts w:ascii="Times New Roman" w:hAnsi="Times New Roman" w:cs="Times New Roman"/>
          <w:sz w:val="24"/>
          <w:szCs w:val="24"/>
        </w:rPr>
        <w:t xml:space="preserve">Increasing production and operation costs. </w:t>
      </w:r>
    </w:p>
    <w:p w14:paraId="428FD740" w14:textId="77777777" w:rsidR="00BC687C" w:rsidRPr="00E745B3" w:rsidRDefault="00E745B3" w:rsidP="00E745B3">
      <w:pPr>
        <w:numPr>
          <w:ilvl w:val="0"/>
          <w:numId w:val="1"/>
        </w:numPr>
        <w:spacing w:before="100" w:beforeAutospacing="1" w:after="100" w:afterAutospacing="1" w:line="360" w:lineRule="auto"/>
        <w:jc w:val="both"/>
        <w:rPr>
          <w:rFonts w:ascii="Times New Roman" w:hAnsi="Times New Roman" w:cs="Times New Roman"/>
          <w:sz w:val="24"/>
          <w:szCs w:val="24"/>
        </w:rPr>
      </w:pPr>
      <w:r w:rsidRPr="00E745B3">
        <w:rPr>
          <w:rFonts w:ascii="Times New Roman" w:hAnsi="Times New Roman" w:cs="Times New Roman"/>
          <w:sz w:val="24"/>
          <w:szCs w:val="24"/>
        </w:rPr>
        <w:t xml:space="preserve">Heightened competition, especially those outside the US that produce EV. </w:t>
      </w:r>
    </w:p>
    <w:p w14:paraId="234183ED" w14:textId="77777777" w:rsidR="00BC687C" w:rsidRPr="00E745B3" w:rsidRDefault="00E745B3" w:rsidP="00E745B3">
      <w:pPr>
        <w:numPr>
          <w:ilvl w:val="0"/>
          <w:numId w:val="1"/>
        </w:numPr>
        <w:spacing w:before="100" w:beforeAutospacing="1" w:after="100" w:afterAutospacing="1" w:line="360" w:lineRule="auto"/>
        <w:jc w:val="both"/>
        <w:rPr>
          <w:rFonts w:ascii="Times New Roman" w:hAnsi="Times New Roman" w:cs="Times New Roman"/>
          <w:sz w:val="24"/>
          <w:szCs w:val="24"/>
        </w:rPr>
      </w:pPr>
      <w:r w:rsidRPr="00E745B3">
        <w:rPr>
          <w:rFonts w:ascii="Times New Roman" w:hAnsi="Times New Roman" w:cs="Times New Roman"/>
          <w:sz w:val="24"/>
          <w:szCs w:val="24"/>
        </w:rPr>
        <w:t xml:space="preserve">AI and autonomous investments. </w:t>
      </w:r>
    </w:p>
    <w:p w14:paraId="236ECE20" w14:textId="77777777" w:rsidR="00BC687C" w:rsidRPr="00E745B3" w:rsidRDefault="00E745B3" w:rsidP="00E745B3">
      <w:pPr>
        <w:spacing w:line="360" w:lineRule="auto"/>
        <w:jc w:val="both"/>
        <w:rPr>
          <w:rFonts w:ascii="Times New Roman" w:hAnsi="Times New Roman" w:cs="Times New Roman"/>
          <w:b/>
          <w:sz w:val="24"/>
          <w:szCs w:val="24"/>
        </w:rPr>
      </w:pPr>
      <w:r w:rsidRPr="00E745B3">
        <w:rPr>
          <w:rFonts w:ascii="Times New Roman" w:hAnsi="Times New Roman" w:cs="Times New Roman"/>
          <w:b/>
          <w:sz w:val="24"/>
          <w:szCs w:val="24"/>
        </w:rPr>
        <w:t xml:space="preserve">Profit Margin Insight </w:t>
      </w:r>
    </w:p>
    <w:p w14:paraId="6CE66FD9" w14:textId="77777777" w:rsidR="00BC687C" w:rsidRPr="00E745B3" w:rsidRDefault="00E745B3" w:rsidP="00E745B3">
      <w:pPr>
        <w:pStyle w:val="NormalWeb"/>
        <w:spacing w:line="360" w:lineRule="auto"/>
        <w:jc w:val="both"/>
      </w:pPr>
      <w:r w:rsidRPr="00E745B3">
        <w:t>Although the revenue of Tesla has not decreased significantly in 20242025, the shrinking profitability can be regarded as a cost pressure and loss of pricing power, which is a highly important issue in the view of the CFO.</w:t>
      </w:r>
    </w:p>
    <w:p w14:paraId="5F5DC9F2" w14:textId="77777777" w:rsidR="00BC687C" w:rsidRPr="00E745B3" w:rsidRDefault="00E745B3" w:rsidP="00E745B3">
      <w:pPr>
        <w:spacing w:line="360" w:lineRule="auto"/>
        <w:jc w:val="center"/>
        <w:rPr>
          <w:rStyle w:val="Strong"/>
          <w:rFonts w:ascii="Times New Roman" w:hAnsi="Times New Roman" w:cs="Times New Roman"/>
          <w:b w:val="0"/>
          <w:bCs w:val="0"/>
          <w:sz w:val="24"/>
          <w:szCs w:val="24"/>
        </w:rPr>
      </w:pPr>
      <w:r w:rsidRPr="00E745B3">
        <w:rPr>
          <w:rFonts w:ascii="Times New Roman" w:hAnsi="Times New Roman" w:cs="Times New Roman"/>
          <w:noProof/>
          <w:sz w:val="24"/>
          <w:szCs w:val="24"/>
        </w:rPr>
        <w:drawing>
          <wp:inline distT="0" distB="0" distL="0" distR="0" wp14:anchorId="3CD28A0C" wp14:editId="7406BDA1">
            <wp:extent cx="5524500" cy="3276600"/>
            <wp:effectExtent l="0" t="0" r="0" b="0"/>
            <wp:docPr id="102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9" cstate="print"/>
                    <a:srcRect/>
                    <a:stretch/>
                  </pic:blipFill>
                  <pic:spPr>
                    <a:xfrm>
                      <a:off x="0" y="0"/>
                      <a:ext cx="5524832" cy="3276797"/>
                    </a:xfrm>
                    <a:prstGeom prst="rect">
                      <a:avLst/>
                    </a:prstGeom>
                  </pic:spPr>
                </pic:pic>
              </a:graphicData>
            </a:graphic>
          </wp:inline>
        </w:drawing>
      </w:r>
      <w:bookmarkStart w:id="4" w:name="_Toc225431305"/>
    </w:p>
    <w:p w14:paraId="2C193B55" w14:textId="77777777" w:rsidR="00BC687C" w:rsidRPr="00E745B3" w:rsidRDefault="00E745B3" w:rsidP="00E745B3">
      <w:pPr>
        <w:pStyle w:val="Caption"/>
        <w:spacing w:line="360" w:lineRule="auto"/>
        <w:jc w:val="center"/>
        <w:rPr>
          <w:rStyle w:val="Strong"/>
          <w:rFonts w:ascii="Times New Roman" w:hAnsi="Times New Roman" w:cs="Times New Roman"/>
          <w:b w:val="0"/>
          <w:bCs w:val="0"/>
          <w:sz w:val="24"/>
          <w:szCs w:val="24"/>
        </w:rPr>
      </w:pPr>
      <w:r w:rsidRPr="00E745B3">
        <w:rPr>
          <w:rFonts w:ascii="Times New Roman" w:hAnsi="Times New Roman" w:cs="Times New Roman"/>
          <w:sz w:val="24"/>
          <w:szCs w:val="24"/>
        </w:rPr>
        <w:t xml:space="preserve">Figure </w:t>
      </w:r>
      <w:r w:rsidRPr="00E745B3">
        <w:rPr>
          <w:rFonts w:ascii="Times New Roman" w:hAnsi="Times New Roman" w:cs="Times New Roman"/>
          <w:sz w:val="24"/>
          <w:szCs w:val="24"/>
        </w:rPr>
        <w:fldChar w:fldCharType="begin"/>
      </w:r>
      <w:r w:rsidRPr="00E745B3">
        <w:rPr>
          <w:rFonts w:ascii="Times New Roman" w:hAnsi="Times New Roman" w:cs="Times New Roman"/>
          <w:sz w:val="24"/>
          <w:szCs w:val="24"/>
        </w:rPr>
        <w:instrText xml:space="preserve"> SEQ Figure \* ARABIC </w:instrText>
      </w:r>
      <w:r w:rsidRPr="00E745B3">
        <w:rPr>
          <w:rFonts w:ascii="Times New Roman" w:hAnsi="Times New Roman" w:cs="Times New Roman"/>
          <w:sz w:val="24"/>
          <w:szCs w:val="24"/>
        </w:rPr>
        <w:fldChar w:fldCharType="separate"/>
      </w:r>
      <w:r w:rsidRPr="00E745B3">
        <w:rPr>
          <w:rFonts w:ascii="Times New Roman" w:hAnsi="Times New Roman" w:cs="Times New Roman"/>
          <w:noProof/>
          <w:sz w:val="24"/>
          <w:szCs w:val="24"/>
        </w:rPr>
        <w:t>1</w:t>
      </w:r>
      <w:r w:rsidRPr="00E745B3">
        <w:rPr>
          <w:rFonts w:ascii="Times New Roman" w:hAnsi="Times New Roman" w:cs="Times New Roman"/>
          <w:sz w:val="24"/>
          <w:szCs w:val="24"/>
        </w:rPr>
        <w:fldChar w:fldCharType="end"/>
      </w:r>
      <w:r w:rsidRPr="00E745B3">
        <w:rPr>
          <w:rFonts w:ascii="Times New Roman" w:hAnsi="Times New Roman" w:cs="Times New Roman"/>
          <w:sz w:val="24"/>
          <w:szCs w:val="24"/>
        </w:rPr>
        <w:t xml:space="preserve"> REVENUE vs PROFIT TREND</w:t>
      </w:r>
    </w:p>
    <w:p w14:paraId="5F05ED5D" w14:textId="77777777" w:rsidR="00BC687C" w:rsidRPr="00C56FE3" w:rsidRDefault="00E745B3" w:rsidP="00C56FE3">
      <w:pPr>
        <w:spacing w:before="100" w:beforeAutospacing="1" w:after="100" w:afterAutospacing="1" w:line="360" w:lineRule="auto"/>
        <w:jc w:val="both"/>
        <w:outlineLvl w:val="1"/>
        <w:rPr>
          <w:rStyle w:val="Strong"/>
          <w:rFonts w:ascii="Times New Roman" w:eastAsia="Times New Roman" w:hAnsi="Times New Roman" w:cs="Times New Roman"/>
        </w:rPr>
      </w:pPr>
      <w:bookmarkStart w:id="5" w:name="_Toc225448347"/>
      <w:r w:rsidRPr="00C56FE3">
        <w:rPr>
          <w:rStyle w:val="Strong"/>
          <w:rFonts w:ascii="Times New Roman" w:eastAsia="Times New Roman" w:hAnsi="Times New Roman" w:cs="Times New Roman"/>
          <w:sz w:val="24"/>
          <w:szCs w:val="24"/>
        </w:rPr>
        <w:t>2.2 Profitability Analysis</w:t>
      </w:r>
      <w:bookmarkEnd w:id="4"/>
      <w:bookmarkEnd w:id="5"/>
    </w:p>
    <w:p w14:paraId="016FFF8D" w14:textId="77777777" w:rsidR="00BC687C" w:rsidRPr="00E745B3" w:rsidRDefault="00E745B3" w:rsidP="00E745B3">
      <w:pPr>
        <w:pStyle w:val="NormalWeb"/>
        <w:spacing w:line="360" w:lineRule="auto"/>
        <w:jc w:val="both"/>
      </w:pPr>
      <w:r w:rsidRPr="00E745B3">
        <w:t>The ratios on profitability show that there is a decreasing trend in operating and net margins (Tesla, 2023). This means that a rise in overheads and pricing strains are decreasing profitability levels.</w:t>
      </w:r>
    </w:p>
    <w:p w14:paraId="40AB73E1" w14:textId="77777777" w:rsidR="00BC687C" w:rsidRPr="00E745B3" w:rsidRDefault="00E745B3" w:rsidP="00E745B3">
      <w:pPr>
        <w:pStyle w:val="NormalWeb"/>
        <w:spacing w:line="360" w:lineRule="auto"/>
        <w:jc w:val="both"/>
      </w:pPr>
      <w:r w:rsidRPr="00E745B3">
        <w:t>This is an indication that Tesla is under structural margin pressure and not a momentary fluctuation.</w:t>
      </w:r>
    </w:p>
    <w:p w14:paraId="0C89464D"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b/>
          <w:bCs/>
          <w:sz w:val="24"/>
          <w:szCs w:val="24"/>
        </w:rPr>
        <w:t>Cost Structure and Operating Performance</w:t>
      </w:r>
    </w:p>
    <w:p w14:paraId="095AA276" w14:textId="77777777" w:rsidR="00BC687C" w:rsidRPr="00E745B3" w:rsidRDefault="00E745B3" w:rsidP="00E745B3">
      <w:pPr>
        <w:pStyle w:val="NormalWeb"/>
        <w:spacing w:line="360" w:lineRule="auto"/>
        <w:jc w:val="both"/>
      </w:pPr>
      <w:r w:rsidRPr="00E745B3">
        <w:t>The cost structure of Tesla, Inc. has new trends developed since the past five years under the impact of expansion and efficiency issues. With more global production particularly Gigafactories, the operating costs were high during the initial years.</w:t>
      </w:r>
    </w:p>
    <w:p w14:paraId="75173BF7" w14:textId="77777777" w:rsidR="00BC687C" w:rsidRPr="00E745B3" w:rsidRDefault="00E745B3" w:rsidP="00E745B3">
      <w:pPr>
        <w:pStyle w:val="NormalWeb"/>
        <w:spacing w:line="360" w:lineRule="auto"/>
        <w:jc w:val="both"/>
      </w:pPr>
      <w:r w:rsidRPr="00E745B3">
        <w:t>Between 2020 and 2023, the cost increased in correlation with the income, as the company spent more on development and administration, as well as, investments in technologies such as autonomous driving and AI. On the one hand, this encourages long-term innovation but on the other, it is pressuring in the short-term profitability.</w:t>
      </w:r>
    </w:p>
    <w:p w14:paraId="17646E4A" w14:textId="77777777" w:rsidR="00BC687C" w:rsidRPr="00E745B3" w:rsidRDefault="00E745B3" w:rsidP="00E745B3">
      <w:pPr>
        <w:pStyle w:val="NormalWeb"/>
        <w:spacing w:line="360" w:lineRule="auto"/>
        <w:jc w:val="both"/>
      </w:pPr>
      <w:r w:rsidRPr="00E745B3">
        <w:t>Profitability would be decreasing after 2023 even though revenue would not decrease vividly, which shows an increased cost structure. Competitive low prices and aggressive pricing decreased margins, and made operating income -with high sales volumes- lower.</w:t>
      </w:r>
    </w:p>
    <w:p w14:paraId="02E7D498"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bookmarkStart w:id="6" w:name="_Toc225448348"/>
      <w:r w:rsidRPr="00E745B3">
        <w:rPr>
          <w:rFonts w:ascii="Times New Roman" w:eastAsia="Times New Roman" w:hAnsi="Times New Roman" w:cs="Times New Roman"/>
          <w:b/>
          <w:bCs/>
          <w:sz w:val="24"/>
          <w:szCs w:val="24"/>
        </w:rPr>
        <w:t>2.3 Liquidity Analysis</w:t>
      </w:r>
      <w:bookmarkEnd w:id="6"/>
    </w:p>
    <w:p w14:paraId="12D3782E" w14:textId="77777777" w:rsidR="00BC687C" w:rsidRPr="00E745B3" w:rsidRDefault="00E745B3" w:rsidP="00E745B3">
      <w:pPr>
        <w:pStyle w:val="NormalWeb"/>
        <w:spacing w:line="360" w:lineRule="auto"/>
        <w:jc w:val="both"/>
      </w:pPr>
      <w:r w:rsidRPr="00E745B3">
        <w:t>The liquidity analysis measures how Tesla, Inc. can pay short term debt with the current and quick ratios.</w:t>
      </w:r>
    </w:p>
    <w:p w14:paraId="55B62F97" w14:textId="77777777" w:rsidR="00BC687C" w:rsidRDefault="00E745B3" w:rsidP="00E745B3">
      <w:pPr>
        <w:pStyle w:val="NormalWeb"/>
        <w:spacing w:line="360" w:lineRule="auto"/>
        <w:jc w:val="both"/>
      </w:pPr>
      <w:r w:rsidRPr="00E745B3">
        <w:t>Current ratio is all above 1 during the period and this shows that an organization has enough assets to cover its liabilities. In 2020, it was approximately 1.87, which has decreased to 1.37 in 2021 and since then, it has been between 1.4 and 1.7. The increase up to approximately 1.71 in 2023 relates to elevated inventory and cash flows as a result of the increased operations.</w:t>
      </w:r>
    </w:p>
    <w:p w14:paraId="494C8B26" w14:textId="77777777" w:rsidR="00C32366" w:rsidRPr="00E745B3" w:rsidRDefault="00C32366" w:rsidP="00C32366">
      <w:pPr>
        <w:pStyle w:val="NormalWeb"/>
        <w:spacing w:line="360" w:lineRule="auto"/>
        <w:jc w:val="center"/>
      </w:pPr>
      <w:r>
        <w:rPr>
          <w:noProof/>
        </w:rPr>
        <w:drawing>
          <wp:inline distT="0" distB="0" distL="0" distR="0" wp14:anchorId="4752BE25" wp14:editId="4C555FAB">
            <wp:extent cx="5953125" cy="2838216"/>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de_Generated_Image (5).png"/>
                    <pic:cNvPicPr/>
                  </pic:nvPicPr>
                  <pic:blipFill>
                    <a:blip r:embed="rId10">
                      <a:extLst>
                        <a:ext uri="{28A0092B-C50C-407E-A947-70E740481C1C}">
                          <a14:useLocalDpi xmlns:a14="http://schemas.microsoft.com/office/drawing/2010/main" val="0"/>
                        </a:ext>
                      </a:extLst>
                    </a:blip>
                    <a:stretch>
                      <a:fillRect/>
                    </a:stretch>
                  </pic:blipFill>
                  <pic:spPr>
                    <a:xfrm>
                      <a:off x="0" y="0"/>
                      <a:ext cx="5970438" cy="2846470"/>
                    </a:xfrm>
                    <a:prstGeom prst="rect">
                      <a:avLst/>
                    </a:prstGeom>
                  </pic:spPr>
                </pic:pic>
              </a:graphicData>
            </a:graphic>
          </wp:inline>
        </w:drawing>
      </w:r>
    </w:p>
    <w:p w14:paraId="1882FBBC" w14:textId="77777777" w:rsidR="00BC687C" w:rsidRPr="00E745B3" w:rsidRDefault="00E745B3" w:rsidP="00E745B3">
      <w:pPr>
        <w:pStyle w:val="NormalWeb"/>
        <w:spacing w:line="360" w:lineRule="auto"/>
        <w:jc w:val="both"/>
      </w:pPr>
      <w:r w:rsidRPr="00E745B3">
        <w:t>The quick ratio without inventory indicates that the quick ratio decreased between 2020 and 2022 because it has gone down to less than 1, indicating a possibility that the company might not be able to fulfill its obligations without an inventory. The reason behind this is that automotive inventory is illiquid.</w:t>
      </w:r>
    </w:p>
    <w:p w14:paraId="74002759" w14:textId="77777777" w:rsidR="00BC687C" w:rsidRPr="00E745B3" w:rsidRDefault="00E745B3" w:rsidP="00E745B3">
      <w:pPr>
        <w:pStyle w:val="NormalWeb"/>
        <w:spacing w:line="360" w:lineRule="auto"/>
        <w:jc w:val="both"/>
      </w:pPr>
      <w:r w:rsidRPr="00E745B3">
        <w:t>Nevertheless, it becomes better in 2023 and 2024, as it exceeds 1, which means increased management of liquidity and efficiency of cash flows (Brigham and Ehrhardt, 2021).</w:t>
      </w:r>
    </w:p>
    <w:p w14:paraId="44F2692F" w14:textId="77777777" w:rsidR="00BC687C" w:rsidRPr="00E745B3" w:rsidRDefault="00E745B3" w:rsidP="00E745B3">
      <w:pPr>
        <w:pStyle w:val="NormalWeb"/>
        <w:spacing w:line="360" w:lineRule="auto"/>
        <w:jc w:val="both"/>
      </w:pPr>
      <w:r w:rsidRPr="00E745B3">
        <w:t>The liquidity of Tesla is not very high but stable, as viewed by CFO. The presence of ratios guarantees safety, whereas the initial downturn of the quick ratio indicates the immediate dangers of fast growth and increase of the inventories.</w:t>
      </w:r>
    </w:p>
    <w:p w14:paraId="22BA00A0"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bookmarkStart w:id="7" w:name="_Toc225448349"/>
      <w:r w:rsidRPr="00E745B3">
        <w:rPr>
          <w:rFonts w:ascii="Times New Roman" w:eastAsia="Times New Roman" w:hAnsi="Times New Roman" w:cs="Times New Roman"/>
          <w:b/>
          <w:bCs/>
          <w:sz w:val="24"/>
          <w:szCs w:val="24"/>
        </w:rPr>
        <w:t>2.4 Efficiency Analysis</w:t>
      </w:r>
      <w:bookmarkEnd w:id="7"/>
    </w:p>
    <w:p w14:paraId="54B6B7B7" w14:textId="77777777" w:rsidR="00BC687C" w:rsidRPr="00E745B3" w:rsidRDefault="00E745B3" w:rsidP="00E745B3">
      <w:pPr>
        <w:pStyle w:val="NormalWeb"/>
        <w:spacing w:line="360" w:lineRule="auto"/>
        <w:jc w:val="both"/>
      </w:pPr>
      <w:r w:rsidRPr="00E745B3">
        <w:t>The efficiency ratios play an important role in evaluating the efficiency of Tesla, Inc. in using its assets as well as converting its operational processes. These ratios would give an understanding on the management of the working capital and the general operations of the business, especially in the capital-intensive sector like the electricity-driven cars.</w:t>
      </w:r>
    </w:p>
    <w:p w14:paraId="00B2CD2A"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b/>
          <w:bCs/>
          <w:sz w:val="24"/>
          <w:szCs w:val="24"/>
        </w:rPr>
        <w:t>Inventory Management</w:t>
      </w:r>
    </w:p>
    <w:p w14:paraId="66756407" w14:textId="77777777" w:rsidR="00BC687C" w:rsidRPr="00E745B3" w:rsidRDefault="00E745B3" w:rsidP="00E745B3">
      <w:pPr>
        <w:pStyle w:val="NormalWeb"/>
        <w:spacing w:line="360" w:lineRule="auto"/>
        <w:jc w:val="both"/>
      </w:pPr>
      <w:r w:rsidRPr="00E745B3">
        <w:t>The trend in the Tesla inventory days indicates that the number is increasing steadily with time. With the increase in production by new Gigafactories, the amount of inventories increased, and the holding time to sales in the inventory was prolonged.</w:t>
      </w:r>
    </w:p>
    <w:p w14:paraId="408B3AFC" w14:textId="77777777" w:rsidR="00BC687C" w:rsidRPr="00E745B3" w:rsidRDefault="00E745B3" w:rsidP="00E745B3">
      <w:pPr>
        <w:pStyle w:val="NormalWeb"/>
        <w:spacing w:line="360" w:lineRule="auto"/>
        <w:jc w:val="both"/>
      </w:pPr>
      <w:r w:rsidRPr="00E745B3">
        <w:t>Operationally, the increased inventory days can demonstrate inefficiencies or disconnect between the production and the demand. In the case of Tesla, this has been partially as a result of scaling to future demand. Too much inventory however increases holding costs and other risks like obsolescence and price cuts.</w:t>
      </w:r>
    </w:p>
    <w:p w14:paraId="38629DB4" w14:textId="77777777" w:rsidR="00BC687C" w:rsidRPr="00E745B3" w:rsidRDefault="00E745B3" w:rsidP="00E745B3">
      <w:pPr>
        <w:spacing w:before="100" w:beforeAutospacing="1" w:after="100" w:afterAutospacing="1" w:line="360" w:lineRule="auto"/>
        <w:jc w:val="both"/>
        <w:rPr>
          <w:rFonts w:ascii="Times New Roman" w:hAnsi="Times New Roman" w:cs="Times New Roman"/>
          <w:sz w:val="24"/>
          <w:szCs w:val="24"/>
        </w:rPr>
      </w:pPr>
      <w:r w:rsidRPr="00E745B3">
        <w:rPr>
          <w:rFonts w:ascii="Times New Roman" w:eastAsia="Times New Roman" w:hAnsi="Times New Roman" w:cs="Times New Roman"/>
          <w:b/>
          <w:bCs/>
          <w:sz w:val="24"/>
          <w:szCs w:val="24"/>
        </w:rPr>
        <w:t xml:space="preserve"> Receivables Management</w:t>
      </w:r>
    </w:p>
    <w:p w14:paraId="3A48D929" w14:textId="77777777" w:rsidR="00BC687C" w:rsidRPr="00E745B3" w:rsidRDefault="00E745B3" w:rsidP="00E745B3">
      <w:pPr>
        <w:pStyle w:val="NormalWeb"/>
        <w:spacing w:line="360" w:lineRule="auto"/>
        <w:jc w:val="both"/>
      </w:pPr>
      <w:r w:rsidRPr="00E745B3">
        <w:t>Tesla does not have a high amount of receivable days, which is a sign that the company is efficient in collecting customer payments. This has aligned with the direct-to-consumer sales model of Tesla, whereby the payment is typically received within a short time, eliminating the need to use credit to make sales.</w:t>
      </w:r>
    </w:p>
    <w:p w14:paraId="17BFBA69" w14:textId="77777777" w:rsidR="00BC687C" w:rsidRPr="00E745B3" w:rsidRDefault="00E745B3" w:rsidP="00E745B3">
      <w:pPr>
        <w:pStyle w:val="NormalWeb"/>
        <w:spacing w:line="360" w:lineRule="auto"/>
        <w:jc w:val="both"/>
      </w:pPr>
      <w:r w:rsidRPr="00E745B3">
        <w:t>A low collection of receivable days It is a good sign of efficient cash flow management since the company can collect sales in form of cash within a short period of time. This is also a source of liquidity and less bad debts leading to a general financial stability.</w:t>
      </w:r>
    </w:p>
    <w:p w14:paraId="315F10AF" w14:textId="77777777" w:rsidR="00BC687C" w:rsidRPr="00E745B3" w:rsidRDefault="00E745B3" w:rsidP="00E745B3">
      <w:pPr>
        <w:spacing w:line="360" w:lineRule="auto"/>
        <w:jc w:val="both"/>
        <w:rPr>
          <w:rFonts w:ascii="Times New Roman" w:hAnsi="Times New Roman" w:cs="Times New Roman"/>
          <w:b/>
          <w:sz w:val="24"/>
          <w:szCs w:val="24"/>
        </w:rPr>
      </w:pPr>
      <w:r w:rsidRPr="00E745B3">
        <w:rPr>
          <w:rFonts w:ascii="Times New Roman" w:hAnsi="Times New Roman" w:cs="Times New Roman"/>
          <w:b/>
          <w:sz w:val="24"/>
          <w:szCs w:val="24"/>
        </w:rPr>
        <w:t>Payables Management</w:t>
      </w:r>
    </w:p>
    <w:p w14:paraId="270FC871" w14:textId="77777777" w:rsidR="00BC687C" w:rsidRPr="00E745B3" w:rsidRDefault="00E745B3" w:rsidP="00E745B3">
      <w:pPr>
        <w:pStyle w:val="NormalWeb"/>
        <w:spacing w:line="360" w:lineRule="auto"/>
        <w:jc w:val="both"/>
      </w:pPr>
      <w:r w:rsidRPr="00E745B3">
        <w:t>The Tesla days are growing gradually, which indicates that the company is delaying its payments to its suppliers. Financially, this may be advantageous because Tesla is able to hold cash longer making the use of supplier credit as a form of short-term funding.</w:t>
      </w:r>
    </w:p>
    <w:p w14:paraId="238959BD" w14:textId="77777777" w:rsidR="00BC687C" w:rsidRPr="00E745B3" w:rsidRDefault="00E745B3" w:rsidP="00E745B3">
      <w:pPr>
        <w:pStyle w:val="NormalWeb"/>
        <w:spacing w:line="360" w:lineRule="auto"/>
        <w:jc w:val="both"/>
      </w:pPr>
      <w:r w:rsidRPr="00E745B3">
        <w:t>Nevertheless, very long payable times can impose pressure on the relationship with suppliers and have a possible impact on supply chain reliability. Since Tesla operates on a few important materials including batteries and semiconductors, there is a need to ensure good relationships with suppliers in order to continue operations.</w:t>
      </w:r>
    </w:p>
    <w:p w14:paraId="67447476"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bookmarkStart w:id="8" w:name="_Toc225448350"/>
      <w:r w:rsidRPr="00E745B3">
        <w:rPr>
          <w:rFonts w:ascii="Times New Roman" w:eastAsia="Times New Roman" w:hAnsi="Times New Roman" w:cs="Times New Roman"/>
          <w:b/>
          <w:bCs/>
          <w:sz w:val="24"/>
          <w:szCs w:val="24"/>
        </w:rPr>
        <w:t>2.5 Capital Structure and Gearing Analysis</w:t>
      </w:r>
      <w:bookmarkEnd w:id="8"/>
    </w:p>
    <w:p w14:paraId="4834B3AD" w14:textId="77777777" w:rsidR="00BC687C" w:rsidRPr="00E745B3" w:rsidRDefault="00E745B3" w:rsidP="00E745B3">
      <w:pPr>
        <w:pStyle w:val="NormalWeb"/>
        <w:spacing w:line="360" w:lineRule="auto"/>
        <w:jc w:val="both"/>
      </w:pPr>
      <w:r w:rsidRPr="00E745B3">
        <w:t>The capital structure is a crucial part of Tesla, Inc. financial risk, cost of capital, and stability. A gearing analysis indicates that the company has less debt and increased equity.</w:t>
      </w:r>
    </w:p>
    <w:p w14:paraId="28DDC166" w14:textId="77777777" w:rsidR="00BC687C" w:rsidRPr="00E745B3" w:rsidRDefault="00E745B3" w:rsidP="00E745B3">
      <w:pPr>
        <w:pStyle w:val="NormalWeb"/>
        <w:spacing w:line="360" w:lineRule="auto"/>
        <w:jc w:val="both"/>
      </w:pPr>
      <w:r w:rsidRPr="00E745B3">
        <w:t>Tesla has had low financial leverage relative to traditional automakers over the last five years. The company used equity to finance growth initially, but then as profitability increased between 2020 and 2023, it started relying a little less on debt, which bolstered its balance sheet.</w:t>
      </w:r>
    </w:p>
    <w:p w14:paraId="5E513FD1" w14:textId="77777777" w:rsidR="00BC687C" w:rsidRPr="00E745B3" w:rsidRDefault="00E745B3" w:rsidP="00E745B3">
      <w:pPr>
        <w:pStyle w:val="NormalWeb"/>
        <w:spacing w:line="360" w:lineRule="auto"/>
        <w:jc w:val="both"/>
      </w:pPr>
      <w:r w:rsidRPr="00E745B3">
        <w:t>The reduction of debt-to-equity ratio is an indicator of more internally raised funds. This minimizes financial risk by lowering fixed interest payments and enhancing flexibility. Equally, when interest coverage ratio is stronger in profitable years, it indicates that Tesla would easily cover its interest payments, further supporting the low risk profile.</w:t>
      </w:r>
    </w:p>
    <w:p w14:paraId="6E0A25FD" w14:textId="77777777" w:rsidR="00BC687C" w:rsidRPr="00E745B3" w:rsidRDefault="00E745B3" w:rsidP="00E745B3">
      <w:pPr>
        <w:pStyle w:val="NormalWeb"/>
        <w:spacing w:line="360" w:lineRule="auto"/>
        <w:jc w:val="both"/>
      </w:pPr>
      <w:r w:rsidRPr="00E745B3">
        <w:t>Yet, the loss of profitability beyond 2023 is a worrisome development. Declining operating income can undermine interest coverage potential should the trend persist making it more financially vulnerable as it has a robust equity base.</w:t>
      </w:r>
    </w:p>
    <w:p w14:paraId="16605EC9" w14:textId="77777777" w:rsidR="00BC687C" w:rsidRPr="00E745B3" w:rsidRDefault="00E745B3" w:rsidP="00E745B3">
      <w:pPr>
        <w:pStyle w:val="NormalWeb"/>
        <w:spacing w:line="360" w:lineRule="auto"/>
        <w:jc w:val="both"/>
      </w:pPr>
      <w:r w:rsidRPr="00E745B3">
        <w:t>The conservative debt at Tesla is a good move, because it will give the company room to make new investments in future. But it also can restrict incentives like tax privileges and a low cost of capital.</w:t>
      </w:r>
    </w:p>
    <w:p w14:paraId="0A2112E0"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bookmarkStart w:id="9" w:name="_Toc225448351"/>
      <w:r w:rsidRPr="00E745B3">
        <w:rPr>
          <w:rFonts w:ascii="Times New Roman" w:eastAsia="Times New Roman" w:hAnsi="Times New Roman" w:cs="Times New Roman"/>
          <w:b/>
          <w:bCs/>
          <w:sz w:val="24"/>
          <w:szCs w:val="24"/>
        </w:rPr>
        <w:t>2.6 Cash Flow Analysis</w:t>
      </w:r>
      <w:bookmarkEnd w:id="9"/>
    </w:p>
    <w:p w14:paraId="31DDC449" w14:textId="77777777" w:rsidR="00BC687C" w:rsidRPr="00E745B3" w:rsidRDefault="00E745B3" w:rsidP="00E745B3">
      <w:pPr>
        <w:pStyle w:val="NormalWeb"/>
        <w:spacing w:line="360" w:lineRule="auto"/>
        <w:jc w:val="both"/>
      </w:pPr>
      <w:r w:rsidRPr="00E745B3">
        <w:t>A cash flow analysis is an essential element in determining the financial viability and efficiency of Tesla, Inc. Where profitability is an accounting-based performance measure, cash flow shows the real liquidity created during operations and therefore a key performance measure in financial decision making.</w:t>
      </w:r>
    </w:p>
    <w:p w14:paraId="23C0051B" w14:textId="77777777" w:rsidR="00E745B3" w:rsidRDefault="00E745B3" w:rsidP="00E745B3">
      <w:pPr>
        <w:spacing w:line="360" w:lineRule="auto"/>
        <w:jc w:val="both"/>
        <w:rPr>
          <w:rFonts w:ascii="Times New Roman" w:hAnsi="Times New Roman" w:cs="Times New Roman"/>
          <w:b/>
          <w:bCs/>
          <w:sz w:val="24"/>
          <w:szCs w:val="24"/>
        </w:rPr>
      </w:pPr>
      <w:r w:rsidRPr="00E745B3">
        <w:rPr>
          <w:rFonts w:ascii="Times New Roman" w:hAnsi="Times New Roman" w:cs="Times New Roman"/>
          <w:b/>
          <w:bCs/>
          <w:sz w:val="24"/>
          <w:szCs w:val="24"/>
        </w:rPr>
        <w:t>Operating Cash Flow (OCF)</w:t>
      </w:r>
    </w:p>
    <w:p w14:paraId="18909575"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sz w:val="24"/>
          <w:szCs w:val="24"/>
        </w:rPr>
        <w:t>Between 2020 and 2023, the operational cash flow of Tesla increased significantly, as it delivered more vehicles, became more profitable, and efficient. This reflects cash generation though core operations as opposed to accounting profits, to help the company expand, repay debt, and pay shareholders.</w:t>
      </w:r>
    </w:p>
    <w:p w14:paraId="7DC26944" w14:textId="77777777" w:rsidR="00BC687C" w:rsidRPr="00E745B3" w:rsidRDefault="00E745B3" w:rsidP="00E745B3">
      <w:pPr>
        <w:pStyle w:val="NormalWeb"/>
        <w:spacing w:line="360" w:lineRule="auto"/>
        <w:jc w:val="both"/>
      </w:pPr>
      <w:r w:rsidRPr="00E745B3">
        <w:t xml:space="preserve">By 2024, growth in operating cash flow is sluggish, indicating that profitability is decreasing. This trend is probably due to price reductions, increasing cost of production and increasing competition. </w:t>
      </w:r>
    </w:p>
    <w:p w14:paraId="264D45A6" w14:textId="77777777" w:rsidR="00BC687C" w:rsidRPr="00E745B3" w:rsidRDefault="00E745B3" w:rsidP="00E745B3">
      <w:pPr>
        <w:spacing w:line="360" w:lineRule="auto"/>
        <w:jc w:val="both"/>
        <w:rPr>
          <w:rFonts w:ascii="Times New Roman" w:hAnsi="Times New Roman" w:cs="Times New Roman"/>
          <w:b/>
          <w:sz w:val="24"/>
          <w:szCs w:val="24"/>
        </w:rPr>
      </w:pPr>
      <w:r w:rsidRPr="00E745B3">
        <w:rPr>
          <w:rFonts w:ascii="Times New Roman" w:hAnsi="Times New Roman" w:cs="Times New Roman"/>
          <w:b/>
          <w:sz w:val="24"/>
          <w:szCs w:val="24"/>
        </w:rPr>
        <w:t>Free Cash Flow (FCF)</w:t>
      </w:r>
    </w:p>
    <w:p w14:paraId="7D75B32A" w14:textId="77777777" w:rsidR="00BC687C" w:rsidRPr="00E745B3" w:rsidRDefault="00E745B3" w:rsidP="00E745B3">
      <w:pPr>
        <w:pStyle w:val="NormalWeb"/>
        <w:spacing w:line="360" w:lineRule="auto"/>
        <w:jc w:val="both"/>
      </w:pPr>
      <w:r w:rsidRPr="00E745B3">
        <w:t>The computation of free cash flow is online operating cash flow minus capital expenditures, and Tesla has the capacity to raise extra cash after investments. It reversed between 2020 and 2023 and exhibited good operations and cost management.</w:t>
      </w:r>
    </w:p>
    <w:p w14:paraId="27674580" w14:textId="77777777" w:rsidR="00BC687C" w:rsidRPr="00E745B3" w:rsidRDefault="00E745B3" w:rsidP="00E745B3">
      <w:pPr>
        <w:pStyle w:val="NormalWeb"/>
        <w:spacing w:line="360" w:lineRule="auto"/>
        <w:jc w:val="both"/>
      </w:pPr>
      <w:r w:rsidRPr="00E745B3">
        <w:t>Nevertheless, the model by which Tesla remains capital-intensive, including investments in factories, Research and Development, and charging infrastructure, impacts free cash flow. New spending on new Gigafactories and technology decreases cash available to shareholders, and imposes short-term constraints though in the long-run this supports growth.</w:t>
      </w:r>
    </w:p>
    <w:p w14:paraId="3FE20110"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b/>
          <w:bCs/>
          <w:sz w:val="24"/>
          <w:szCs w:val="24"/>
        </w:rPr>
        <w:t>Cash Flow Vs Profitability</w:t>
      </w:r>
    </w:p>
    <w:p w14:paraId="5C4F9A2D" w14:textId="77777777" w:rsidR="00BC687C" w:rsidRPr="00E745B3" w:rsidRDefault="00E745B3" w:rsidP="00E745B3">
      <w:pPr>
        <w:pStyle w:val="NormalWeb"/>
        <w:spacing w:line="360" w:lineRule="auto"/>
        <w:jc w:val="both"/>
      </w:pPr>
      <w:r w:rsidRPr="00E745B3">
        <w:t>One of the most significant financial analysis points is an analysis of net income versus operating cash flow. Tesla therefore had a good earnings quality and a high rate of cash conversion during the high-growth phase (20202023), with operating cash flow expected to be greater than its net income.</w:t>
      </w:r>
    </w:p>
    <w:p w14:paraId="74DAA89B" w14:textId="77777777" w:rsidR="00BC687C" w:rsidRPr="00E745B3" w:rsidRDefault="00E745B3" w:rsidP="00E745B3">
      <w:pPr>
        <w:pStyle w:val="NormalWeb"/>
        <w:spacing w:line="360" w:lineRule="auto"/>
        <w:jc w:val="both"/>
      </w:pPr>
      <w:r w:rsidRPr="00E745B3">
        <w:t>But this relationship is increasingly critical as profitability slows in the late years. When operating cash flow starts declining relative to net income, it could indicate possible problems coupled with late receivables, increased inventory or working capital management inefficiencies.</w:t>
      </w:r>
    </w:p>
    <w:p w14:paraId="0383309B"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b/>
          <w:bCs/>
          <w:sz w:val="24"/>
          <w:szCs w:val="24"/>
        </w:rPr>
        <w:t>CFO Perspective</w:t>
      </w:r>
    </w:p>
    <w:p w14:paraId="5AEC6C2B" w14:textId="77777777" w:rsidR="00BC687C" w:rsidRPr="00E745B3" w:rsidRDefault="00E745B3" w:rsidP="00E745B3">
      <w:pPr>
        <w:pStyle w:val="NormalWeb"/>
        <w:spacing w:line="360" w:lineRule="auto"/>
        <w:jc w:val="both"/>
      </w:pPr>
      <w:r w:rsidRPr="00E745B3">
        <w:t>Regarding the position of the cash flow, Tesla is both strong and has new challenges to tackle, as looked at through the lens of a CFO. Although the company has shown the capacity to generate substantial cash flows as it grows, the recent slump shows the necessity of better cost management and working capital management.</w:t>
      </w:r>
    </w:p>
    <w:p w14:paraId="3AFEA0DD" w14:textId="77777777" w:rsidR="00BC687C" w:rsidRPr="00E745B3" w:rsidRDefault="00E745B3" w:rsidP="00E745B3">
      <w:pPr>
        <w:pStyle w:val="NormalWeb"/>
        <w:spacing w:line="360" w:lineRule="auto"/>
        <w:jc w:val="both"/>
      </w:pPr>
      <w:r w:rsidRPr="00E745B3">
        <w:t>Being at a good cash flow position is critical so that Tesla can:</w:t>
      </w:r>
    </w:p>
    <w:p w14:paraId="556DFFB2" w14:textId="77777777" w:rsidR="00BC687C" w:rsidRPr="00E745B3" w:rsidRDefault="00E745B3" w:rsidP="00E745B3">
      <w:pPr>
        <w:numPr>
          <w:ilvl w:val="0"/>
          <w:numId w:val="2"/>
        </w:numPr>
        <w:spacing w:before="100" w:beforeAutospacing="1" w:after="100" w:afterAutospacing="1" w:line="360" w:lineRule="auto"/>
        <w:jc w:val="both"/>
        <w:rPr>
          <w:rFonts w:ascii="Times New Roman" w:hAnsi="Times New Roman" w:cs="Times New Roman"/>
          <w:sz w:val="24"/>
          <w:szCs w:val="24"/>
        </w:rPr>
      </w:pPr>
      <w:r w:rsidRPr="00E745B3">
        <w:rPr>
          <w:rFonts w:ascii="Times New Roman" w:hAnsi="Times New Roman" w:cs="Times New Roman"/>
          <w:sz w:val="24"/>
          <w:szCs w:val="24"/>
        </w:rPr>
        <w:t xml:space="preserve">Fund ongoing capital investments </w:t>
      </w:r>
    </w:p>
    <w:p w14:paraId="77F73F74" w14:textId="77777777" w:rsidR="00BC687C" w:rsidRPr="00E745B3" w:rsidRDefault="00E745B3" w:rsidP="00E745B3">
      <w:pPr>
        <w:numPr>
          <w:ilvl w:val="0"/>
          <w:numId w:val="2"/>
        </w:numPr>
        <w:spacing w:before="100" w:beforeAutospacing="1" w:after="100" w:afterAutospacing="1" w:line="360" w:lineRule="auto"/>
        <w:jc w:val="both"/>
        <w:rPr>
          <w:rFonts w:ascii="Times New Roman" w:hAnsi="Times New Roman" w:cs="Times New Roman"/>
          <w:sz w:val="24"/>
          <w:szCs w:val="24"/>
        </w:rPr>
      </w:pPr>
      <w:r w:rsidRPr="00E745B3">
        <w:rPr>
          <w:rFonts w:ascii="Times New Roman" w:hAnsi="Times New Roman" w:cs="Times New Roman"/>
          <w:sz w:val="24"/>
          <w:szCs w:val="24"/>
        </w:rPr>
        <w:t xml:space="preserve">Support innovation and R&amp;D </w:t>
      </w:r>
    </w:p>
    <w:p w14:paraId="634A45A4" w14:textId="77777777" w:rsidR="00BC687C" w:rsidRPr="00E745B3" w:rsidRDefault="00E745B3" w:rsidP="00E745B3">
      <w:pPr>
        <w:numPr>
          <w:ilvl w:val="0"/>
          <w:numId w:val="2"/>
        </w:numPr>
        <w:spacing w:before="100" w:beforeAutospacing="1" w:after="100" w:afterAutospacing="1" w:line="360" w:lineRule="auto"/>
        <w:jc w:val="both"/>
        <w:rPr>
          <w:rFonts w:ascii="Times New Roman" w:hAnsi="Times New Roman" w:cs="Times New Roman"/>
          <w:sz w:val="24"/>
          <w:szCs w:val="24"/>
        </w:rPr>
      </w:pPr>
      <w:r w:rsidRPr="00E745B3">
        <w:rPr>
          <w:rFonts w:ascii="Times New Roman" w:hAnsi="Times New Roman" w:cs="Times New Roman"/>
          <w:sz w:val="24"/>
          <w:szCs w:val="24"/>
        </w:rPr>
        <w:t xml:space="preserve">Maintain financial flexibility </w:t>
      </w:r>
    </w:p>
    <w:p w14:paraId="335E9233" w14:textId="77777777" w:rsidR="00BC687C" w:rsidRPr="00E745B3" w:rsidRDefault="00E745B3" w:rsidP="00E745B3">
      <w:pPr>
        <w:pStyle w:val="NormalWeb"/>
        <w:spacing w:line="360" w:lineRule="auto"/>
        <w:jc w:val="both"/>
      </w:pPr>
      <w:bookmarkStart w:id="10" w:name="_Toc225431310"/>
      <w:r w:rsidRPr="00E745B3">
        <w:t>That is why a high cash flow efficiency needs to be one of the strategic priorities, especially in the circumstances of rising competition and market maturity.</w:t>
      </w:r>
    </w:p>
    <w:p w14:paraId="4E1B7E66" w14:textId="77777777" w:rsidR="00E745B3" w:rsidRDefault="00E745B3">
      <w:pPr>
        <w:rPr>
          <w:rFonts w:ascii="Times New Roman" w:eastAsia="SimSun" w:hAnsi="Times New Roman" w:cs="Times New Roman"/>
          <w:color w:val="2F5496"/>
          <w:sz w:val="24"/>
          <w:szCs w:val="24"/>
        </w:rPr>
      </w:pPr>
      <w:r>
        <w:rPr>
          <w:rFonts w:ascii="Times New Roman" w:eastAsia="SimSun" w:hAnsi="Times New Roman" w:cs="Times New Roman"/>
          <w:color w:val="2F5496"/>
          <w:sz w:val="24"/>
          <w:szCs w:val="24"/>
        </w:rPr>
        <w:br w:type="page"/>
      </w:r>
    </w:p>
    <w:p w14:paraId="0FCD0106" w14:textId="77777777" w:rsidR="00BC687C" w:rsidRPr="00E745B3" w:rsidRDefault="00E745B3" w:rsidP="00E745B3">
      <w:pPr>
        <w:keepNext/>
        <w:keepLines/>
        <w:spacing w:before="240" w:line="360" w:lineRule="auto"/>
        <w:outlineLvl w:val="0"/>
        <w:rPr>
          <w:rFonts w:ascii="Times New Roman" w:hAnsi="Times New Roman" w:cs="Times New Roman"/>
          <w:sz w:val="24"/>
          <w:szCs w:val="24"/>
        </w:rPr>
      </w:pPr>
      <w:bookmarkStart w:id="11" w:name="_Toc225448352"/>
      <w:r w:rsidRPr="00E745B3">
        <w:rPr>
          <w:rFonts w:ascii="Times New Roman" w:eastAsia="SimSun" w:hAnsi="Times New Roman" w:cs="Times New Roman"/>
          <w:color w:val="2F5496"/>
          <w:sz w:val="24"/>
          <w:szCs w:val="24"/>
        </w:rPr>
        <w:t>3. Working Capital Management</w:t>
      </w:r>
      <w:bookmarkEnd w:id="11"/>
    </w:p>
    <w:p w14:paraId="46AD0138" w14:textId="77777777" w:rsidR="00BC687C" w:rsidRPr="00E745B3" w:rsidRDefault="00E745B3" w:rsidP="00E745B3">
      <w:pPr>
        <w:pStyle w:val="NormalWeb"/>
        <w:spacing w:line="360" w:lineRule="auto"/>
        <w:jc w:val="both"/>
      </w:pPr>
      <w:r w:rsidRPr="00E745B3">
        <w:t>When it comes to not only ensuring the ease of execution of business activities on a daily basis, but also the flow of liquidity, it is necessary to manage the working capital effectively. In the case of Tesla, Inc., the working capital management is of special significance as the electric vehicle business is capital-intensive and there is a necessity to ensure both fast development and financial safety.</w:t>
      </w:r>
    </w:p>
    <w:p w14:paraId="7614AA77"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bookmarkStart w:id="12" w:name="_Toc225448353"/>
      <w:r w:rsidRPr="00E745B3">
        <w:rPr>
          <w:rFonts w:ascii="Times New Roman" w:eastAsia="Times New Roman" w:hAnsi="Times New Roman" w:cs="Times New Roman"/>
          <w:b/>
          <w:bCs/>
          <w:sz w:val="24"/>
          <w:szCs w:val="24"/>
        </w:rPr>
        <w:t>3.1 Cash Conversion Cycle (CCC)</w:t>
      </w:r>
      <w:bookmarkEnd w:id="12"/>
    </w:p>
    <w:p w14:paraId="11DC915E" w14:textId="77777777" w:rsidR="00BC687C" w:rsidRPr="00E745B3" w:rsidRDefault="00E745B3" w:rsidP="00E745B3">
      <w:pPr>
        <w:pStyle w:val="NormalWeb"/>
        <w:spacing w:line="360" w:lineRule="auto"/>
        <w:jc w:val="both"/>
      </w:pPr>
      <w:r w:rsidRPr="00E745B3">
        <w:t>The cash conversion cycle (CCC) is used to determine the duration with which a company can transform its investment in its inventory and other resources to cash flows due to sales. The determination of it is based on the product of inventory days, receivable days and payable days.</w:t>
      </w:r>
    </w:p>
    <w:p w14:paraId="55C1799F" w14:textId="77777777" w:rsidR="00BC687C" w:rsidRPr="00E745B3" w:rsidRDefault="00E745B3" w:rsidP="00E745B3">
      <w:pPr>
        <w:pStyle w:val="NormalWeb"/>
        <w:spacing w:line="360" w:lineRule="auto"/>
        <w:jc w:val="both"/>
      </w:pPr>
      <w:r w:rsidRPr="00E745B3">
        <w:t>The CCC of Tesla is also rather negative across the review. This means that customers pay the company their money and the company is not obliged to pay suppliers. This type of position tells a very well-functioning working capital structure and exhibits an excellent liquidity advantage.</w:t>
      </w:r>
    </w:p>
    <w:p w14:paraId="7A63A49F" w14:textId="77777777" w:rsidR="00BC687C" w:rsidRPr="00E745B3" w:rsidRDefault="00E745B3" w:rsidP="00E745B3">
      <w:pPr>
        <w:pStyle w:val="NormalWeb"/>
        <w:spacing w:line="360" w:lineRule="auto"/>
        <w:jc w:val="both"/>
      </w:pPr>
      <w:r w:rsidRPr="00E745B3">
        <w:t>Two factors mainly result in the negative CCC. First, Tesla holds rather low receivable days because of its style of selling directly to the consumers, thus, collecting the cash fast. Second, the company enjoys long payable terms, which gives the company the ability to pay suppliers late to the suppliers and conveniently use the supplier credit as a source of temporary fund.</w:t>
      </w:r>
    </w:p>
    <w:bookmarkEnd w:id="10"/>
    <w:p w14:paraId="5BAF5C20" w14:textId="77777777" w:rsidR="00BC687C" w:rsidRPr="00E745B3" w:rsidRDefault="00E745B3" w:rsidP="00E745B3">
      <w:pPr>
        <w:pStyle w:val="NormalWeb"/>
        <w:spacing w:line="360" w:lineRule="auto"/>
        <w:jc w:val="center"/>
      </w:pPr>
      <w:r w:rsidRPr="00E745B3">
        <w:rPr>
          <w:noProof/>
        </w:rPr>
        <w:drawing>
          <wp:inline distT="0" distB="0" distL="0" distR="0" wp14:anchorId="41A5D06F" wp14:editId="113A1169">
            <wp:extent cx="5520690" cy="2943225"/>
            <wp:effectExtent l="0" t="0" r="3810" b="9525"/>
            <wp:docPr id="1029"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11" cstate="print"/>
                    <a:srcRect/>
                    <a:stretch/>
                  </pic:blipFill>
                  <pic:spPr>
                    <a:xfrm>
                      <a:off x="0" y="0"/>
                      <a:ext cx="5520690" cy="2943225"/>
                    </a:xfrm>
                    <a:prstGeom prst="rect">
                      <a:avLst/>
                    </a:prstGeom>
                  </pic:spPr>
                </pic:pic>
              </a:graphicData>
            </a:graphic>
          </wp:inline>
        </w:drawing>
      </w:r>
    </w:p>
    <w:p w14:paraId="716E14E8" w14:textId="77777777" w:rsidR="00BC687C" w:rsidRPr="00E745B3" w:rsidRDefault="00E745B3" w:rsidP="00E745B3">
      <w:pPr>
        <w:pStyle w:val="NormalWeb"/>
        <w:spacing w:line="360" w:lineRule="auto"/>
        <w:jc w:val="both"/>
      </w:pPr>
      <w:r w:rsidRPr="00E745B3">
        <w:t>Inventory days reflecting the increased level of production and inventory accumulation have gone up in expansionary times although the current effect on the CCC is neutralized by the efficient receivable approach and lengthening the payable period. This shows that Tesla has a high liquidity even though its operations are expanding (Atrill and McLaney, 2019).</w:t>
      </w:r>
    </w:p>
    <w:p w14:paraId="27250DF5"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bookmarkStart w:id="13" w:name="_Toc225448354"/>
      <w:r w:rsidRPr="00E745B3">
        <w:rPr>
          <w:rFonts w:ascii="Times New Roman" w:eastAsia="Times New Roman" w:hAnsi="Times New Roman" w:cs="Times New Roman"/>
          <w:b/>
          <w:bCs/>
          <w:sz w:val="24"/>
          <w:szCs w:val="24"/>
        </w:rPr>
        <w:t>3.2 Working Capital Challenges</w:t>
      </w:r>
      <w:bookmarkEnd w:id="13"/>
    </w:p>
    <w:p w14:paraId="53952547" w14:textId="77777777" w:rsidR="00BC687C" w:rsidRPr="00E745B3" w:rsidRDefault="00E745B3" w:rsidP="00E745B3">
      <w:pPr>
        <w:pStyle w:val="NormalWeb"/>
        <w:spacing w:line="360" w:lineRule="auto"/>
        <w:jc w:val="both"/>
      </w:pPr>
      <w:r w:rsidRPr="00E745B3">
        <w:t>However, Tesla has a number of working capital issues despite its positive CCC. As inventory levels rise during periods of expansion, this indicates the possibility of inefficiency in inventory management and chances of overproduction. Inventory holding costs can be high and expose the company to risks like price reductions and obsolescence because of high levels of inventory holding.</w:t>
      </w:r>
    </w:p>
    <w:p w14:paraId="1BC3F441" w14:textId="77777777" w:rsidR="00BC687C" w:rsidRPr="00E745B3" w:rsidRDefault="00E745B3" w:rsidP="00E745B3">
      <w:pPr>
        <w:pStyle w:val="NormalWeb"/>
        <w:spacing w:line="360" w:lineRule="auto"/>
        <w:jc w:val="both"/>
      </w:pPr>
      <w:r w:rsidRPr="00E745B3">
        <w:t>Also, depending on long payable days can cause strain on relationships with suppliers. Because Tesla relies on major suppliers including battery, semiconductor, and components, it is important to have a good relationship with suppliers. High payment delays may also upset supply chains and affect production.</w:t>
      </w:r>
    </w:p>
    <w:p w14:paraId="477E24D3" w14:textId="77777777" w:rsidR="00BC687C" w:rsidRPr="00E745B3" w:rsidRDefault="00E745B3" w:rsidP="00E745B3">
      <w:pPr>
        <w:pStyle w:val="NormalWeb"/>
        <w:spacing w:line="360" w:lineRule="auto"/>
        <w:jc w:val="both"/>
      </w:pPr>
      <w:r w:rsidRPr="00E745B3">
        <w:t>Moreover, changes in profitability and cash flow over the past several years suggest that Tesla has not been able to maintain its working capital efficiency as the company moves out of a high-growth stage and into a more level and competitive market environment.</w:t>
      </w:r>
    </w:p>
    <w:p w14:paraId="4D5789DE"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bookmarkStart w:id="14" w:name="_Toc225448355"/>
      <w:r w:rsidRPr="00E745B3">
        <w:rPr>
          <w:rFonts w:ascii="Times New Roman" w:eastAsia="Times New Roman" w:hAnsi="Times New Roman" w:cs="Times New Roman"/>
          <w:b/>
          <w:bCs/>
          <w:sz w:val="24"/>
          <w:szCs w:val="24"/>
        </w:rPr>
        <w:t>3.3 Recommendations</w:t>
      </w:r>
      <w:bookmarkEnd w:id="14"/>
    </w:p>
    <w:p w14:paraId="3250F3F9" w14:textId="77777777" w:rsidR="00BC687C" w:rsidRPr="00E745B3" w:rsidRDefault="00E745B3" w:rsidP="00E745B3">
      <w:pPr>
        <w:pStyle w:val="NormalWeb"/>
        <w:spacing w:line="360" w:lineRule="auto"/>
        <w:jc w:val="both"/>
      </w:pPr>
      <w:r w:rsidRPr="00E745B3">
        <w:t>In order to manage working capital more effectively Tesla needs to work on inventory levels by improving the demand forecasting and production planning. Adopting the best methods to perform data analytics and optimization in the supply chain could aid in decreasing warehouse stock and enhancing turnover.</w:t>
      </w:r>
    </w:p>
    <w:p w14:paraId="66AC67A1" w14:textId="77777777" w:rsidR="00BC687C" w:rsidRPr="00E745B3" w:rsidRDefault="00E745B3" w:rsidP="00E745B3">
      <w:pPr>
        <w:pStyle w:val="NormalWeb"/>
        <w:spacing w:line="360" w:lineRule="auto"/>
        <w:jc w:val="both"/>
      </w:pPr>
      <w:r w:rsidRPr="00E745B3">
        <w:t>Moreover, Tesla must strive to ensure that its efficient receivables management remains intact as it manages the payable period cautiously in order to avoid denting its supplier relationship. A sensible plan that yields timely payments without compromising position is necessary.</w:t>
      </w:r>
    </w:p>
    <w:p w14:paraId="7F1072F6" w14:textId="77777777" w:rsidR="00BC687C" w:rsidRPr="00E745B3" w:rsidRDefault="00E745B3" w:rsidP="00E745B3">
      <w:pPr>
        <w:pStyle w:val="NormalWeb"/>
        <w:spacing w:line="360" w:lineRule="auto"/>
        <w:jc w:val="both"/>
      </w:pPr>
      <w:r w:rsidRPr="00E745B3">
        <w:t>Another way through which the company can increase efficiency of working capital is by ensuring that the procurement, production and sales functions are coordinated. This combination strategy will help Tesla to get much closer to market demand, eliminating non-efficiencies and enhancing cash flow.</w:t>
      </w:r>
    </w:p>
    <w:p w14:paraId="351741A7"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bookmarkStart w:id="15" w:name="_Toc225448356"/>
      <w:r w:rsidRPr="00E745B3">
        <w:rPr>
          <w:rFonts w:ascii="Times New Roman" w:eastAsia="Times New Roman" w:hAnsi="Times New Roman" w:cs="Times New Roman"/>
          <w:b/>
          <w:bCs/>
          <w:sz w:val="24"/>
          <w:szCs w:val="24"/>
        </w:rPr>
        <w:t>3.4 Financing Working Capital</w:t>
      </w:r>
      <w:bookmarkEnd w:id="15"/>
    </w:p>
    <w:p w14:paraId="583E67ED" w14:textId="77777777" w:rsidR="00BC687C" w:rsidRPr="00E745B3" w:rsidRDefault="00E745B3" w:rsidP="00E745B3">
      <w:pPr>
        <w:pStyle w:val="NormalWeb"/>
        <w:spacing w:line="360" w:lineRule="auto"/>
        <w:jc w:val="both"/>
      </w:pPr>
      <w:r w:rsidRPr="00E745B3">
        <w:t>Negative cash conversion cycle at Tesla minimizes the short-term financing requirements, as Tesla overall takes advantage of the supplier credit to finance operations. In times of growth or waning profitability however, further financing might be needed.</w:t>
      </w:r>
    </w:p>
    <w:p w14:paraId="6D25DB24" w14:textId="77777777" w:rsidR="00BC687C" w:rsidRPr="00E745B3" w:rsidRDefault="00E745B3" w:rsidP="00E745B3">
      <w:pPr>
        <w:pStyle w:val="NormalWeb"/>
        <w:spacing w:line="360" w:lineRule="auto"/>
        <w:jc w:val="both"/>
      </w:pPr>
      <w:r w:rsidRPr="00E745B3">
        <w:t>Trade credit, bank overdrafts, and short-term loans are all examples of short-term financing types and can serve to offer flexibility in temporary liquidity requirements. Large-scale expansion projects can be funded using long-term financing options, including financing by issuing equity or debt.</w:t>
      </w:r>
    </w:p>
    <w:p w14:paraId="6054F16E" w14:textId="77777777" w:rsidR="00BC687C" w:rsidRPr="00E745B3" w:rsidRDefault="00E745B3" w:rsidP="00E745B3">
      <w:pPr>
        <w:pStyle w:val="NormalWeb"/>
        <w:spacing w:line="360" w:lineRule="auto"/>
        <w:jc w:val="both"/>
      </w:pPr>
      <w:r w:rsidRPr="00E745B3">
        <w:t>A strategic coalition must consider the balanced financing process, whereby the working capital requirements are satisfied without raising the financial risk. Ensuring high cash buffer and availability of credit facilities will enable the business with the leeway required to overcome the market surprises.</w:t>
      </w:r>
    </w:p>
    <w:p w14:paraId="35BF04D1" w14:textId="77777777" w:rsidR="00E745B3" w:rsidRDefault="00E745B3">
      <w:pPr>
        <w:rPr>
          <w:rFonts w:ascii="Times New Roman" w:eastAsia="SimSun" w:hAnsi="Times New Roman" w:cs="Times New Roman"/>
          <w:color w:val="2F5496"/>
          <w:sz w:val="24"/>
          <w:szCs w:val="24"/>
        </w:rPr>
      </w:pPr>
      <w:r>
        <w:rPr>
          <w:rFonts w:ascii="Times New Roman" w:eastAsia="SimSun" w:hAnsi="Times New Roman" w:cs="Times New Roman"/>
          <w:color w:val="2F5496"/>
          <w:sz w:val="24"/>
          <w:szCs w:val="24"/>
        </w:rPr>
        <w:br w:type="page"/>
      </w:r>
    </w:p>
    <w:p w14:paraId="7C28A96D" w14:textId="77777777" w:rsidR="00BC687C" w:rsidRPr="00E745B3" w:rsidRDefault="00E745B3" w:rsidP="00E745B3">
      <w:pPr>
        <w:keepNext/>
        <w:keepLines/>
        <w:spacing w:before="240" w:line="360" w:lineRule="auto"/>
        <w:outlineLvl w:val="0"/>
        <w:rPr>
          <w:rFonts w:ascii="Times New Roman" w:hAnsi="Times New Roman" w:cs="Times New Roman"/>
          <w:sz w:val="24"/>
          <w:szCs w:val="24"/>
        </w:rPr>
      </w:pPr>
      <w:bookmarkStart w:id="16" w:name="_Toc225448357"/>
      <w:r w:rsidRPr="00E745B3">
        <w:rPr>
          <w:rFonts w:ascii="Times New Roman" w:eastAsia="SimSun" w:hAnsi="Times New Roman" w:cs="Times New Roman"/>
          <w:color w:val="2F5496"/>
          <w:sz w:val="24"/>
          <w:szCs w:val="24"/>
        </w:rPr>
        <w:t>4. Strategic Financial Restructuring</w:t>
      </w:r>
      <w:bookmarkEnd w:id="16"/>
      <w:r w:rsidRPr="00E745B3">
        <w:rPr>
          <w:rFonts w:ascii="Times New Roman" w:eastAsia="SimSun" w:hAnsi="Times New Roman" w:cs="Times New Roman"/>
          <w:color w:val="2F5496"/>
          <w:sz w:val="24"/>
          <w:szCs w:val="24"/>
        </w:rPr>
        <w:t xml:space="preserve"> </w:t>
      </w:r>
    </w:p>
    <w:p w14:paraId="3EF8C331" w14:textId="77777777" w:rsidR="00BC687C" w:rsidRPr="00E745B3" w:rsidRDefault="00E745B3" w:rsidP="00E745B3">
      <w:pPr>
        <w:pStyle w:val="NormalWeb"/>
        <w:spacing w:line="360" w:lineRule="auto"/>
        <w:jc w:val="both"/>
      </w:pPr>
      <w:r w:rsidRPr="00E745B3">
        <w:t>Organizations that survive in a dynamic and capital intensive business environment require strategic financial restructuring as the balance between financial performances, operations and long term sustainability has to be gingerly balanced. In the case of Tesla, Inc., restructuring is especially considered because the company is no longer in a period of rapid growth but instead is moving towards a more stable and competitive one, as other players in the international electric vehicle (EV) business.</w:t>
      </w:r>
    </w:p>
    <w:p w14:paraId="68650DBC" w14:textId="77777777" w:rsidR="00BC687C" w:rsidRPr="00E745B3" w:rsidRDefault="00E745B3" w:rsidP="00E745B3">
      <w:pPr>
        <w:pStyle w:val="NormalWeb"/>
        <w:spacing w:line="360" w:lineRule="auto"/>
        <w:jc w:val="both"/>
      </w:pPr>
      <w:r w:rsidRPr="00E745B3">
        <w:t>Based on the information and findings in the previous sections based on the financial health and working capital analyses, this section critically assesses the Tesla financial predicament and defines strategic actions that could be taken to increase profitability, improve financial flexibility, and maintain long-term shareholder value.</w:t>
      </w:r>
    </w:p>
    <w:p w14:paraId="07CCC476" w14:textId="77777777" w:rsidR="00BC687C" w:rsidRPr="00E745B3" w:rsidRDefault="00E745B3" w:rsidP="00E745B3">
      <w:pPr>
        <w:pStyle w:val="Heading2"/>
        <w:spacing w:line="360" w:lineRule="auto"/>
        <w:jc w:val="both"/>
        <w:rPr>
          <w:sz w:val="24"/>
          <w:szCs w:val="24"/>
        </w:rPr>
      </w:pPr>
      <w:bookmarkStart w:id="17" w:name="_Toc225431316"/>
      <w:bookmarkStart w:id="18" w:name="_Toc225448358"/>
      <w:r w:rsidRPr="00E745B3">
        <w:rPr>
          <w:sz w:val="24"/>
          <w:szCs w:val="24"/>
        </w:rPr>
        <w:t>4.1 Identification of Key Financial Issues</w:t>
      </w:r>
      <w:bookmarkEnd w:id="17"/>
      <w:bookmarkEnd w:id="18"/>
    </w:p>
    <w:p w14:paraId="55998A34" w14:textId="77777777" w:rsidR="00BC687C" w:rsidRPr="00E745B3" w:rsidRDefault="00E745B3" w:rsidP="00E745B3">
      <w:pPr>
        <w:pStyle w:val="NormalWeb"/>
        <w:spacing w:line="360" w:lineRule="auto"/>
        <w:jc w:val="both"/>
      </w:pPr>
      <w:r w:rsidRPr="00E745B3">
        <w:t>An in-depth analysis of Tesla financial performance suggests some interwoven issues that need strategic action.</w:t>
      </w:r>
    </w:p>
    <w:p w14:paraId="7E57D497"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b/>
          <w:bCs/>
          <w:sz w:val="24"/>
          <w:szCs w:val="24"/>
        </w:rPr>
        <w:t>Declining Profitability and Margin Compression</w:t>
      </w:r>
    </w:p>
    <w:p w14:paraId="0A838DAF" w14:textId="77777777" w:rsidR="00BC687C" w:rsidRPr="00E745B3" w:rsidRDefault="00E745B3" w:rsidP="00E745B3">
      <w:pPr>
        <w:pStyle w:val="NormalWeb"/>
        <w:spacing w:line="360" w:lineRule="auto"/>
        <w:jc w:val="both"/>
      </w:pPr>
      <w:r w:rsidRPr="00E745B3">
        <w:t>In spite of marketing Tesla to achieve considerable growth in annual revenue in 2020-2023, recent examination reveals that the profitability dropped significantly. This is largely fuelled by aggrieving price cuts which are used to sustain sales volumes among an increasingly competitive EV market. Discussed in Section 2, the drop in net profit margins despite a comparatively steady flow of revenue point to a structural flaw in Tesla pricing and cost management strategy.</w:t>
      </w:r>
    </w:p>
    <w:p w14:paraId="73DF2A8B" w14:textId="77777777" w:rsidR="00BC687C" w:rsidRPr="00E745B3" w:rsidRDefault="00E745B3" w:rsidP="00E745B3">
      <w:pPr>
        <w:pStyle w:val="NormalWeb"/>
        <w:spacing w:line="360" w:lineRule="auto"/>
        <w:jc w:val="both"/>
      </w:pPr>
      <w:r w:rsidRPr="00E745B3">
        <w:t>Financially, this implies that Tesla is losing its pricing power, and the firm has to be a price taker other than a differentiator. This can be a long term unsustainable strategy because it literally wears margins and makes the firm incapable of delivering returns to the shareholders.</w:t>
      </w:r>
    </w:p>
    <w:p w14:paraId="53700AA2"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b/>
          <w:bCs/>
          <w:sz w:val="24"/>
          <w:szCs w:val="24"/>
        </w:rPr>
        <w:t>Increasing Cost Pressures</w:t>
      </w:r>
    </w:p>
    <w:p w14:paraId="0C54D7AD" w14:textId="77777777" w:rsidR="00BC687C" w:rsidRPr="00E745B3" w:rsidRDefault="00E745B3" w:rsidP="00E745B3">
      <w:pPr>
        <w:pStyle w:val="NormalWeb"/>
        <w:spacing w:line="360" w:lineRule="auto"/>
        <w:jc w:val="both"/>
      </w:pPr>
      <w:r w:rsidRPr="00E745B3">
        <w:t>Increasing investment in research and development coupled with the increasing cost of raw materials especially of lithium and battery materials has rendered the Tesla cost structure even more burdensome. Though these investments are the only way to stay ahead in technology, they have increased the operating costs as noted in Section 2.2.</w:t>
      </w:r>
    </w:p>
    <w:p w14:paraId="2DE2ADC3" w14:textId="77777777" w:rsidR="00BC687C" w:rsidRPr="00E745B3" w:rsidRDefault="00E745B3" w:rsidP="00E745B3">
      <w:pPr>
        <w:pStyle w:val="NormalWeb"/>
        <w:spacing w:line="360" w:lineRule="auto"/>
        <w:jc w:val="both"/>
      </w:pPr>
      <w:r w:rsidRPr="00E745B3">
        <w:t>That these costs cannot be passed on fully to consumers also increases margin pressure, meaning that more efficient cost management and supply chain optimisation is required.</w:t>
      </w:r>
    </w:p>
    <w:p w14:paraId="6C30E83B"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b/>
          <w:bCs/>
          <w:sz w:val="24"/>
          <w:szCs w:val="24"/>
        </w:rPr>
        <w:t>Working Capital and Operational Inefficiencies</w:t>
      </w:r>
    </w:p>
    <w:p w14:paraId="2B4A09D5" w14:textId="77777777" w:rsidR="00BC687C" w:rsidRPr="00E745B3" w:rsidRDefault="00E745B3" w:rsidP="00E745B3">
      <w:pPr>
        <w:pStyle w:val="NormalWeb"/>
        <w:spacing w:line="360" w:lineRule="auto"/>
        <w:jc w:val="both"/>
      </w:pPr>
      <w:r w:rsidRPr="00E745B3">
        <w:t>Although the company had a negative cash conversion cycle indicating that this company had managed its liquidity effectively, the rise in inventory levels shows that this company had inefficiency in its production planning and demand forecast. As previously mentioned in Section 3, increased inventory days could translate into increased holding costs and possible risks of obsolescence, especially in an industry that is technologically changing like in electric vehicles.</w:t>
      </w:r>
    </w:p>
    <w:p w14:paraId="52680785"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b/>
          <w:bCs/>
          <w:sz w:val="24"/>
          <w:szCs w:val="24"/>
        </w:rPr>
        <w:t>Cash Flow Constraints</w:t>
      </w:r>
    </w:p>
    <w:p w14:paraId="7BF55CAB" w14:textId="77777777" w:rsidR="00BC687C" w:rsidRPr="00E745B3" w:rsidRDefault="00E745B3" w:rsidP="00E745B3">
      <w:pPr>
        <w:pStyle w:val="NormalWeb"/>
        <w:spacing w:line="360" w:lineRule="auto"/>
        <w:jc w:val="both"/>
      </w:pPr>
      <w:r w:rsidRPr="00E745B3">
        <w:t>A decreasing profitability and a large capital expenditure requirement have put pressure on Tesla, as its free cash flow position has decreased. This requirement of generating large amounts of internal cash to sustain constant work on Gigafactories, infrastructure and innovation projects has high costs, which may restrict financial flexibility.</w:t>
      </w:r>
    </w:p>
    <w:p w14:paraId="0EF106C8"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b/>
          <w:bCs/>
          <w:sz w:val="24"/>
          <w:szCs w:val="24"/>
        </w:rPr>
        <w:t>Conservative Capital Structure</w:t>
      </w:r>
    </w:p>
    <w:p w14:paraId="4F9DE778" w14:textId="77777777" w:rsidR="00BC687C" w:rsidRPr="00E745B3" w:rsidRDefault="00E745B3" w:rsidP="00E745B3">
      <w:pPr>
        <w:pStyle w:val="NormalWeb"/>
        <w:spacing w:line="360" w:lineRule="auto"/>
        <w:jc w:val="both"/>
      </w:pPr>
      <w:r w:rsidRPr="00E745B3">
        <w:t>The fact that Tesla has used equity financing despite, cutting down on its financial risk, could be a sign of non-utilization of debt financing as a strategic option. Conservative capital structure may restrict the ability to maximize the weighted average cost of capital (WACC) and maximize shareholder returns (Brealey, Myers and Allen, 2020).</w:t>
      </w:r>
    </w:p>
    <w:p w14:paraId="77C5C500"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r w:rsidRPr="00E745B3">
        <w:rPr>
          <w:rFonts w:ascii="Times New Roman" w:eastAsia="Times New Roman" w:hAnsi="Times New Roman" w:cs="Times New Roman"/>
          <w:b/>
          <w:bCs/>
          <w:sz w:val="24"/>
          <w:szCs w:val="24"/>
        </w:rPr>
        <w:t xml:space="preserve"> </w:t>
      </w:r>
      <w:bookmarkStart w:id="19" w:name="_Toc225448359"/>
      <w:r w:rsidRPr="00E745B3">
        <w:rPr>
          <w:rFonts w:ascii="Times New Roman" w:eastAsia="Times New Roman" w:hAnsi="Times New Roman" w:cs="Times New Roman"/>
          <w:b/>
          <w:bCs/>
          <w:sz w:val="24"/>
          <w:szCs w:val="24"/>
        </w:rPr>
        <w:t>4.2 Strategic Financial Restructuring Recommendations</w:t>
      </w:r>
      <w:bookmarkEnd w:id="19"/>
    </w:p>
    <w:p w14:paraId="79238C1B" w14:textId="77777777" w:rsidR="00BC687C" w:rsidRPr="00E745B3" w:rsidRDefault="00E745B3" w:rsidP="00E745B3">
      <w:pPr>
        <w:pStyle w:val="NormalWeb"/>
        <w:spacing w:line="360" w:lineRule="auto"/>
        <w:jc w:val="both"/>
      </w:pPr>
      <w:r w:rsidRPr="00E745B3">
        <w:t>As a response to the outlined problems, a number of strategic steps are suggested in order to increase Tesla financial outcomes and sustainability.</w:t>
      </w:r>
    </w:p>
    <w:p w14:paraId="63C2D26E"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b/>
          <w:bCs/>
          <w:sz w:val="24"/>
          <w:szCs w:val="24"/>
        </w:rPr>
        <w:t>Cost Optimization and Efficiency Enhancement</w:t>
      </w:r>
    </w:p>
    <w:p w14:paraId="440FB215" w14:textId="77777777" w:rsidR="00BC687C" w:rsidRPr="00E745B3" w:rsidRDefault="00E745B3" w:rsidP="00E745B3">
      <w:pPr>
        <w:pStyle w:val="NormalWeb"/>
        <w:spacing w:line="360" w:lineRule="auto"/>
        <w:jc w:val="both"/>
      </w:pPr>
      <w:r w:rsidRPr="00E745B3">
        <w:t>Tesla will have a universal cost restructuring plan aimed at enhancing the efficiency of its operations and unnecessary expenses. This involves optimization of supply chain processes as well as entering into long term agreements with major suppliers, in addition to taking advantage of economies of scale in production.</w:t>
      </w:r>
    </w:p>
    <w:p w14:paraId="292FAD97" w14:textId="77777777" w:rsidR="00BC687C" w:rsidRPr="00E745B3" w:rsidRDefault="00E745B3" w:rsidP="00E745B3">
      <w:pPr>
        <w:pStyle w:val="NormalWeb"/>
        <w:spacing w:line="360" w:lineRule="auto"/>
        <w:jc w:val="both"/>
      </w:pPr>
      <w:r w:rsidRPr="00E745B3">
        <w:t>Also, employing advanced analytics and automation technologies can enhance production efficiency and cut waste. These would help directly to enhance gross and operating margins, and therefore address one of the most urgent financial challenges faced by Tesla.</w:t>
      </w:r>
    </w:p>
    <w:p w14:paraId="25234B28" w14:textId="77777777" w:rsidR="00BC687C" w:rsidRPr="00E745B3" w:rsidRDefault="00E745B3" w:rsidP="00E745B3">
      <w:pPr>
        <w:spacing w:line="360" w:lineRule="auto"/>
        <w:jc w:val="both"/>
        <w:rPr>
          <w:rFonts w:ascii="Times New Roman" w:hAnsi="Times New Roman" w:cs="Times New Roman"/>
          <w:b/>
          <w:sz w:val="24"/>
          <w:szCs w:val="24"/>
        </w:rPr>
      </w:pPr>
      <w:r w:rsidRPr="00E745B3">
        <w:rPr>
          <w:rFonts w:ascii="Times New Roman" w:hAnsi="Times New Roman" w:cs="Times New Roman"/>
          <w:b/>
          <w:sz w:val="24"/>
          <w:szCs w:val="24"/>
        </w:rPr>
        <w:t>Strategic Pricing and Revenue Management</w:t>
      </w:r>
    </w:p>
    <w:p w14:paraId="5606F414" w14:textId="77777777" w:rsidR="00BC687C" w:rsidRPr="00E745B3" w:rsidRDefault="00E745B3" w:rsidP="00E745B3">
      <w:pPr>
        <w:pStyle w:val="NormalWeb"/>
        <w:spacing w:line="360" w:lineRule="auto"/>
        <w:jc w:val="both"/>
      </w:pPr>
      <w:r w:rsidRPr="00E745B3">
        <w:t>Tesla needs to use a more strategic price policy of value creation rather than excessively use price cuts as a strategy to spur demand. This includes focusing on product differentiation, technological innovation, and brand positioning to warrant high premium prices.</w:t>
      </w:r>
    </w:p>
    <w:p w14:paraId="63CE8618" w14:textId="77777777" w:rsidR="00BC687C" w:rsidRPr="00E745B3" w:rsidRDefault="00E745B3" w:rsidP="00E745B3">
      <w:pPr>
        <w:pStyle w:val="NormalWeb"/>
        <w:spacing w:line="360" w:lineRule="auto"/>
        <w:jc w:val="both"/>
      </w:pPr>
      <w:r w:rsidRPr="00E745B3">
        <w:t>Tesla will be able to defend its margins by abandoning its price-competition model and adopting a value-based framework, without losing its competitive edge in the EV market.</w:t>
      </w:r>
    </w:p>
    <w:p w14:paraId="04FB36F7" w14:textId="77777777" w:rsidR="00BC687C" w:rsidRPr="00E745B3" w:rsidRDefault="00E745B3" w:rsidP="00E745B3">
      <w:pPr>
        <w:pStyle w:val="NormalWeb"/>
        <w:spacing w:line="360" w:lineRule="auto"/>
        <w:jc w:val="both"/>
      </w:pPr>
      <w:r w:rsidRPr="00E745B3">
        <w:t>Maximization of capital structure.</w:t>
      </w:r>
    </w:p>
    <w:p w14:paraId="347858F4" w14:textId="77777777" w:rsidR="00BC687C" w:rsidRPr="00E745B3" w:rsidRDefault="00E745B3" w:rsidP="00E745B3">
      <w:pPr>
        <w:pStyle w:val="NormalWeb"/>
        <w:spacing w:line="360" w:lineRule="auto"/>
        <w:jc w:val="both"/>
      </w:pPr>
      <w:r w:rsidRPr="00E745B3">
        <w:t>To maximize Tesla cost of capital, it should consider putting moderate amount of debt in its capital structure. The Trade-Off Theory of Capital Structure suggests that companies can create value by trading-offs the returns that come with debt (tax shields) and financial risks.</w:t>
      </w:r>
    </w:p>
    <w:p w14:paraId="07F95D77" w14:textId="77777777" w:rsidR="00BC687C" w:rsidRPr="00E745B3" w:rsidRDefault="00E745B3" w:rsidP="00E745B3">
      <w:pPr>
        <w:pStyle w:val="NormalWeb"/>
        <w:spacing w:line="360" w:lineRule="auto"/>
        <w:jc w:val="both"/>
      </w:pPr>
      <w:r w:rsidRPr="00E745B3">
        <w:t>Since Tesla has a rather solid balance sheet and a record of profitability, the company can afford debt funding without much alteration in its risk profile. This would enable Tesla to invest in growth and innovation initiatives more effectively and generate better returns to equity investors.</w:t>
      </w:r>
    </w:p>
    <w:p w14:paraId="04834306" w14:textId="77777777" w:rsidR="00BC687C" w:rsidRPr="00E745B3" w:rsidRDefault="00E745B3" w:rsidP="00E745B3">
      <w:pPr>
        <w:pStyle w:val="NormalWeb"/>
        <w:spacing w:line="360" w:lineRule="auto"/>
        <w:jc w:val="center"/>
      </w:pPr>
      <w:r w:rsidRPr="00E745B3">
        <w:rPr>
          <w:noProof/>
        </w:rPr>
        <w:drawing>
          <wp:inline distT="0" distB="0" distL="0" distR="0" wp14:anchorId="7BBAAFE0" wp14:editId="43FA1032">
            <wp:extent cx="4390845" cy="2828925"/>
            <wp:effectExtent l="0" t="0" r="0" b="0"/>
            <wp:docPr id="1030"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12" cstate="print"/>
                    <a:srcRect/>
                    <a:stretch/>
                  </pic:blipFill>
                  <pic:spPr>
                    <a:xfrm>
                      <a:off x="0" y="0"/>
                      <a:ext cx="4390845" cy="2828925"/>
                    </a:xfrm>
                    <a:prstGeom prst="rect">
                      <a:avLst/>
                    </a:prstGeom>
                  </pic:spPr>
                </pic:pic>
              </a:graphicData>
            </a:graphic>
          </wp:inline>
        </w:drawing>
      </w:r>
    </w:p>
    <w:p w14:paraId="3AAEF7C6" w14:textId="77777777" w:rsidR="00BC687C" w:rsidRPr="00E745B3" w:rsidRDefault="00E745B3" w:rsidP="00E745B3">
      <w:pPr>
        <w:spacing w:line="360" w:lineRule="auto"/>
        <w:jc w:val="both"/>
        <w:rPr>
          <w:rFonts w:ascii="Times New Roman" w:hAnsi="Times New Roman" w:cs="Times New Roman"/>
          <w:b/>
          <w:sz w:val="24"/>
          <w:szCs w:val="24"/>
        </w:rPr>
      </w:pPr>
      <w:r w:rsidRPr="00E745B3">
        <w:rPr>
          <w:rFonts w:ascii="Times New Roman" w:hAnsi="Times New Roman" w:cs="Times New Roman"/>
          <w:b/>
          <w:sz w:val="24"/>
          <w:szCs w:val="24"/>
        </w:rPr>
        <w:t>Investment Rationalization</w:t>
      </w:r>
    </w:p>
    <w:p w14:paraId="6564426A" w14:textId="77777777" w:rsidR="00BC687C" w:rsidRPr="00E745B3" w:rsidRDefault="00E745B3" w:rsidP="00E745B3">
      <w:pPr>
        <w:pStyle w:val="NormalWeb"/>
        <w:spacing w:line="360" w:lineRule="auto"/>
        <w:jc w:val="both"/>
      </w:pPr>
      <w:r w:rsidRPr="00E745B3">
        <w:t>Tesla must focus on investments with the greatest potential payoffs and ensure that it aligns with its long-term business goals. This comes with emphasizing high growth frontiers like autonomous driving technology, artificial intelligence, and energy storage solutions.</w:t>
      </w:r>
    </w:p>
    <w:p w14:paraId="5254D464" w14:textId="77777777" w:rsidR="00BC687C" w:rsidRPr="00E745B3" w:rsidRDefault="00E745B3" w:rsidP="00E745B3">
      <w:pPr>
        <w:pStyle w:val="NormalWeb"/>
        <w:spacing w:line="360" w:lineRule="auto"/>
        <w:jc w:val="both"/>
      </w:pPr>
      <w:r w:rsidRPr="00E745B3">
        <w:t>Concurrently, the company ought to be critical to consider and possibly postpone or refreeze less profitable projects to maintain cash flow and enhance financial discipline.</w:t>
      </w:r>
    </w:p>
    <w:p w14:paraId="1B64F226"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b/>
          <w:bCs/>
          <w:sz w:val="24"/>
          <w:szCs w:val="24"/>
        </w:rPr>
        <w:t>Working Capital Optimization</w:t>
      </w:r>
    </w:p>
    <w:p w14:paraId="0AAA4BEA" w14:textId="77777777" w:rsidR="00BC687C" w:rsidRPr="00E745B3" w:rsidRDefault="00E745B3" w:rsidP="00E745B3">
      <w:pPr>
        <w:pStyle w:val="NormalWeb"/>
        <w:spacing w:line="360" w:lineRule="auto"/>
        <w:jc w:val="both"/>
      </w:pPr>
      <w:r w:rsidRPr="00E745B3">
        <w:t>To add to the analysis provided in Section 3, Tesla ought to strive to minimize inventory, by conducting better demand forecasting and production planning. Continuing its effective receivables collection and embracing a combination strategy toward its supplier payments will contribute to better working capital efficiency.</w:t>
      </w:r>
    </w:p>
    <w:p w14:paraId="422EF4A6" w14:textId="77777777" w:rsidR="00BC687C" w:rsidRPr="00E745B3" w:rsidRDefault="00E745B3" w:rsidP="00E745B3">
      <w:pPr>
        <w:pStyle w:val="NormalWeb"/>
        <w:spacing w:line="360" w:lineRule="auto"/>
        <w:jc w:val="both"/>
      </w:pPr>
      <w:r w:rsidRPr="00E745B3">
        <w:t>The advances will help in empowering greater cash flow and a decrease of dependency on outside funding.</w:t>
      </w:r>
    </w:p>
    <w:p w14:paraId="1E6C5754"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bookmarkStart w:id="20" w:name="_Toc225448360"/>
      <w:r w:rsidRPr="00E745B3">
        <w:rPr>
          <w:rFonts w:ascii="Times New Roman" w:eastAsia="Times New Roman" w:hAnsi="Times New Roman" w:cs="Times New Roman"/>
          <w:b/>
          <w:bCs/>
          <w:sz w:val="24"/>
          <w:szCs w:val="24"/>
        </w:rPr>
        <w:t>4.3 Evaluation of Strategic Impact</w:t>
      </w:r>
      <w:bookmarkEnd w:id="20"/>
    </w:p>
    <w:p w14:paraId="3D5EEEE2" w14:textId="77777777" w:rsidR="00BC687C" w:rsidRPr="00E745B3" w:rsidRDefault="00E745B3" w:rsidP="00E745B3">
      <w:pPr>
        <w:pStyle w:val="NormalWeb"/>
        <w:spacing w:line="360" w:lineRule="auto"/>
        <w:jc w:val="both"/>
      </w:pPr>
      <w:r w:rsidRPr="00E745B3">
        <w:t>The above restructuring plans will have serious financial performance and risk profile implications on Tesla.</w:t>
      </w:r>
    </w:p>
    <w:p w14:paraId="7DFF24DF" w14:textId="77777777" w:rsidR="00BC687C" w:rsidRPr="00E745B3" w:rsidRDefault="00E745B3" w:rsidP="00E745B3">
      <w:pPr>
        <w:pStyle w:val="NormalWeb"/>
        <w:spacing w:line="360" w:lineRule="auto"/>
        <w:jc w:val="both"/>
      </w:pPr>
      <w:r w:rsidRPr="00E745B3">
        <w:t>On the upside, better cost-efficiency and pricing will result in higher profit and the empowerment of cash flow. The optimal capital structure will minimize the total cost of capital and maximize the returns to the shareholders, and more effective identification of the investment position will lead to increased utilization efficiency of financial resources.</w:t>
      </w:r>
    </w:p>
    <w:p w14:paraId="403677DF" w14:textId="77777777" w:rsidR="00BC687C" w:rsidRPr="00E745B3" w:rsidRDefault="00E745B3" w:rsidP="00E745B3">
      <w:pPr>
        <w:pStyle w:val="NormalWeb"/>
        <w:spacing w:line="360" w:lineRule="auto"/>
        <w:jc w:val="both"/>
      </w:pPr>
      <w:r w:rsidRPr="00E745B3">
        <w:t>There are also risks associated with these strategies, though. A reduction strategy can reduce innovation when mis-managed, whereas a higher level of debt implies a financial risk with the ongoing, fixed-interest payments. Likewise, demand can be affected by change in pricing strategy, especially where the market is price-sensitive.</w:t>
      </w:r>
    </w:p>
    <w:p w14:paraId="04A17F68" w14:textId="77777777" w:rsidR="00BC687C" w:rsidRPr="00E745B3" w:rsidRDefault="00E745B3" w:rsidP="00E745B3">
      <w:pPr>
        <w:pStyle w:val="NormalWeb"/>
        <w:spacing w:line="360" w:lineRule="auto"/>
        <w:jc w:val="both"/>
      </w:pPr>
      <w:r w:rsidRPr="00E745B3">
        <w:t>Thus, Tesla must primarily pursue a middle ground between the financial reorganization and the entire strategic plan, so that the short-term financial gains in terms of financial optimisation do not undermine long-term growth and innovation.</w:t>
      </w:r>
    </w:p>
    <w:p w14:paraId="42A160A5"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bookmarkStart w:id="21" w:name="_Toc225448361"/>
      <w:r w:rsidRPr="00E745B3">
        <w:rPr>
          <w:rFonts w:ascii="Times New Roman" w:eastAsia="Times New Roman" w:hAnsi="Times New Roman" w:cs="Times New Roman"/>
          <w:b/>
          <w:bCs/>
          <w:sz w:val="24"/>
          <w:szCs w:val="24"/>
        </w:rPr>
        <w:t>4.4 Global and Ethical Considerations</w:t>
      </w:r>
      <w:bookmarkEnd w:id="21"/>
    </w:p>
    <w:p w14:paraId="440565B2" w14:textId="77777777" w:rsidR="00BC687C" w:rsidRPr="00E745B3" w:rsidRDefault="00E745B3" w:rsidP="00E745B3">
      <w:pPr>
        <w:pStyle w:val="NormalWeb"/>
        <w:spacing w:line="360" w:lineRule="auto"/>
        <w:jc w:val="both"/>
      </w:pPr>
      <w:r w:rsidRPr="00E745B3">
        <w:t>Besides the financial aspects, Tesla should think beyond the financial and take into account global and other ethical concerns when using restructuring techniques (IMF, 2024).</w:t>
      </w:r>
    </w:p>
    <w:p w14:paraId="1E1B29A5"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b/>
          <w:bCs/>
          <w:sz w:val="24"/>
          <w:szCs w:val="24"/>
        </w:rPr>
        <w:t>Macroeconomic Factors</w:t>
      </w:r>
    </w:p>
    <w:p w14:paraId="13195977" w14:textId="77777777" w:rsidR="00BC687C" w:rsidRPr="00E745B3" w:rsidRDefault="00E745B3" w:rsidP="00E745B3">
      <w:pPr>
        <w:pStyle w:val="NormalWeb"/>
        <w:spacing w:line="360" w:lineRule="auto"/>
        <w:jc w:val="both"/>
      </w:pPr>
      <w:r w:rsidRPr="00E745B3">
        <w:t>Cost structure and financing choices in Tesla are directly affected by global economic factors such as inflation and increased interest rates. An increase in costs of inputs and cost of borrowing might also add extra strain on profitability, and effective financial management is more important than ever before (World Bank, 2024).</w:t>
      </w:r>
    </w:p>
    <w:p w14:paraId="4E89D863"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b/>
          <w:bCs/>
          <w:sz w:val="24"/>
          <w:szCs w:val="24"/>
        </w:rPr>
        <w:t>Exchange Rate Risk</w:t>
      </w:r>
    </w:p>
    <w:p w14:paraId="193F239C" w14:textId="77777777" w:rsidR="00BC687C" w:rsidRPr="00E745B3" w:rsidRDefault="00E745B3" w:rsidP="00E745B3">
      <w:pPr>
        <w:pStyle w:val="NormalWeb"/>
        <w:spacing w:line="360" w:lineRule="auto"/>
        <w:jc w:val="both"/>
      </w:pPr>
      <w:r w:rsidRPr="00E745B3">
        <w:t>As a multinational firm, Tesla faces risks in exchange rates, which will impact its revenues and expenses. To curb these effects, an effective way to manage risks should be adopted including hedging.</w:t>
      </w:r>
    </w:p>
    <w:p w14:paraId="2645E2C0"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b/>
          <w:bCs/>
          <w:sz w:val="24"/>
          <w:szCs w:val="24"/>
        </w:rPr>
        <w:t>Environmental, Social, and Governance (ESG) Considerations</w:t>
      </w:r>
    </w:p>
    <w:p w14:paraId="6218B9BD" w14:textId="77777777" w:rsidR="00BC687C" w:rsidRPr="00E745B3" w:rsidRDefault="00E745B3" w:rsidP="00E745B3">
      <w:pPr>
        <w:pStyle w:val="NormalWeb"/>
        <w:spacing w:line="360" w:lineRule="auto"/>
        <w:jc w:val="both"/>
      </w:pPr>
      <w:r w:rsidRPr="00E745B3">
        <w:t>Sustainability is a strong selling point of the Tesla brand, though the company continues to struggle with issues concerning the environmental footprint of battery manufacturing and the sourcing of raw materials in an ethical manner. Responsible sourcing and minimizing the environmental impact of operations are essential to upholding stakeholder trust.</w:t>
      </w:r>
    </w:p>
    <w:p w14:paraId="699A6744"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b/>
          <w:bCs/>
          <w:sz w:val="24"/>
          <w:szCs w:val="24"/>
        </w:rPr>
        <w:t>Corporate Social Responsibility (CSR)</w:t>
      </w:r>
    </w:p>
    <w:p w14:paraId="63789336" w14:textId="77777777" w:rsidR="00BC687C" w:rsidRPr="00E745B3" w:rsidRDefault="00E745B3" w:rsidP="00E745B3">
      <w:pPr>
        <w:pStyle w:val="NormalWeb"/>
        <w:spacing w:line="360" w:lineRule="auto"/>
        <w:jc w:val="both"/>
      </w:pPr>
      <w:r w:rsidRPr="00E745B3">
        <w:t>Tesla should also make sure that they are practicing ethical labor, being transparent in their reporting, and that they are meeting global environmental sustainability standards. Good CSR practices not only increase corporate reputation, but also help in creating long-term values.</w:t>
      </w:r>
    </w:p>
    <w:p w14:paraId="23B473F5" w14:textId="77777777" w:rsidR="00E745B3" w:rsidRDefault="00E745B3">
      <w:pPr>
        <w:rPr>
          <w:rFonts w:ascii="Times New Roman" w:eastAsia="SimSun" w:hAnsi="Times New Roman" w:cs="Times New Roman"/>
          <w:color w:val="2F5496"/>
          <w:sz w:val="24"/>
          <w:szCs w:val="24"/>
        </w:rPr>
      </w:pPr>
      <w:bookmarkStart w:id="22" w:name="_Toc225431320"/>
      <w:r>
        <w:rPr>
          <w:rFonts w:ascii="Times New Roman" w:hAnsi="Times New Roman" w:cs="Times New Roman"/>
          <w:sz w:val="24"/>
          <w:szCs w:val="24"/>
        </w:rPr>
        <w:br w:type="page"/>
      </w:r>
    </w:p>
    <w:p w14:paraId="5CD142B6" w14:textId="77777777" w:rsidR="00BC687C" w:rsidRPr="00E745B3" w:rsidRDefault="00E745B3" w:rsidP="00E745B3">
      <w:pPr>
        <w:pStyle w:val="Heading1"/>
        <w:spacing w:line="360" w:lineRule="auto"/>
        <w:rPr>
          <w:rFonts w:ascii="Times New Roman" w:hAnsi="Times New Roman" w:cs="Times New Roman"/>
          <w:sz w:val="24"/>
          <w:szCs w:val="24"/>
        </w:rPr>
      </w:pPr>
      <w:bookmarkStart w:id="23" w:name="_Toc225448362"/>
      <w:r w:rsidRPr="00E745B3">
        <w:rPr>
          <w:rFonts w:ascii="Times New Roman" w:hAnsi="Times New Roman" w:cs="Times New Roman"/>
          <w:sz w:val="24"/>
          <w:szCs w:val="24"/>
        </w:rPr>
        <w:t>5. Investment Appraisal and Capital Budgeting</w:t>
      </w:r>
      <w:bookmarkEnd w:id="22"/>
      <w:bookmarkEnd w:id="23"/>
    </w:p>
    <w:p w14:paraId="62F92F9C" w14:textId="77777777" w:rsidR="00BC687C" w:rsidRPr="00E745B3" w:rsidRDefault="00E745B3" w:rsidP="00E745B3">
      <w:pPr>
        <w:pStyle w:val="NormalWeb"/>
        <w:spacing w:line="360" w:lineRule="auto"/>
        <w:jc w:val="both"/>
      </w:pPr>
      <w:r w:rsidRPr="00E745B3">
        <w:t>Investment appraisal is a very important role of a financial management, it helps organizations to designate the viability of the possible projects and it helps to determine whether the project would be profitable or not, hence organizations spend a significant amount of finance. In the case of Tesla, Inc., capital budgeting decisions are especially key due to the capital nature of the electric vehicle and financial issues mentioned in the earlier sections which include reduced profitability, cost pressure, and constraining cash flows.</w:t>
      </w:r>
    </w:p>
    <w:p w14:paraId="0CA4584E" w14:textId="77777777" w:rsidR="00BC687C" w:rsidRPr="00E745B3" w:rsidRDefault="00E745B3" w:rsidP="00E745B3">
      <w:pPr>
        <w:pStyle w:val="NormalWeb"/>
        <w:spacing w:line="360" w:lineRule="auto"/>
        <w:jc w:val="both"/>
      </w:pPr>
      <w:r w:rsidRPr="00E745B3">
        <w:t>This part is an evaluation of three mutually exclusive investment projects in five major appraisal methods, including Payback Period (PBP), Accounting rate of Return (ARR), Net Present Value (NPV), Internal rate of Return (IRR), and Profitability Index (PI). The analysis also includes capital rationing limit and utilizes both financial and non financial aspects in order to justify holistic choice.</w:t>
      </w:r>
    </w:p>
    <w:p w14:paraId="17DC59A4"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r w:rsidRPr="00E745B3">
        <w:rPr>
          <w:rFonts w:ascii="Times New Roman" w:eastAsia="Times New Roman" w:hAnsi="Times New Roman" w:cs="Times New Roman"/>
          <w:b/>
          <w:bCs/>
          <w:sz w:val="24"/>
          <w:szCs w:val="24"/>
        </w:rPr>
        <w:t xml:space="preserve"> </w:t>
      </w:r>
      <w:bookmarkStart w:id="24" w:name="_Toc225448363"/>
      <w:r w:rsidRPr="00E745B3">
        <w:rPr>
          <w:rFonts w:ascii="Times New Roman" w:eastAsia="Times New Roman" w:hAnsi="Times New Roman" w:cs="Times New Roman"/>
          <w:b/>
          <w:bCs/>
          <w:sz w:val="24"/>
          <w:szCs w:val="24"/>
        </w:rPr>
        <w:t>5.1 Project Overview and Assumptions</w:t>
      </w:r>
      <w:bookmarkEnd w:id="24"/>
    </w:p>
    <w:p w14:paraId="7B67AFFB" w14:textId="77777777" w:rsidR="00BC687C" w:rsidRPr="00E745B3" w:rsidRDefault="00E745B3" w:rsidP="00E745B3">
      <w:pPr>
        <w:pStyle w:val="NormalWeb"/>
        <w:spacing w:line="360" w:lineRule="auto"/>
        <w:jc w:val="both"/>
      </w:pPr>
      <w:r w:rsidRPr="00E745B3">
        <w:t>The three projects that were proposed need the same starting investments of 50 million sterling funds in each project and a project life span of 5 years. The projected cash outlays (net cash inflows) will be the following per year:</w:t>
      </w:r>
    </w:p>
    <w:p w14:paraId="53D7345B" w14:textId="77777777" w:rsidR="00BC687C" w:rsidRPr="00E745B3" w:rsidRDefault="00E745B3" w:rsidP="00E745B3">
      <w:pPr>
        <w:numPr>
          <w:ilvl w:val="0"/>
          <w:numId w:val="3"/>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A</w:t>
      </w:r>
      <w:r w:rsidRPr="00E745B3">
        <w:rPr>
          <w:rFonts w:ascii="Times New Roman" w:hAnsi="Times New Roman" w:cs="Times New Roman"/>
          <w:sz w:val="24"/>
          <w:szCs w:val="24"/>
        </w:rPr>
        <w:t xml:space="preserve">: £10m, £12m, £14m, £10m, £8m </w:t>
      </w:r>
    </w:p>
    <w:p w14:paraId="020070C9" w14:textId="77777777" w:rsidR="00BC687C" w:rsidRPr="00E745B3" w:rsidRDefault="00E745B3" w:rsidP="00E745B3">
      <w:pPr>
        <w:numPr>
          <w:ilvl w:val="0"/>
          <w:numId w:val="3"/>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B</w:t>
      </w:r>
      <w:r w:rsidRPr="00E745B3">
        <w:rPr>
          <w:rFonts w:ascii="Times New Roman" w:hAnsi="Times New Roman" w:cs="Times New Roman"/>
          <w:sz w:val="24"/>
          <w:szCs w:val="24"/>
        </w:rPr>
        <w:t xml:space="preserve">: £11m each year </w:t>
      </w:r>
    </w:p>
    <w:p w14:paraId="65F38DCF" w14:textId="77777777" w:rsidR="00BC687C" w:rsidRPr="00E745B3" w:rsidRDefault="00E745B3" w:rsidP="00E745B3">
      <w:pPr>
        <w:numPr>
          <w:ilvl w:val="0"/>
          <w:numId w:val="3"/>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C</w:t>
      </w:r>
      <w:r w:rsidRPr="00E745B3">
        <w:rPr>
          <w:rFonts w:ascii="Times New Roman" w:hAnsi="Times New Roman" w:cs="Times New Roman"/>
          <w:sz w:val="24"/>
          <w:szCs w:val="24"/>
        </w:rPr>
        <w:t xml:space="preserve">: £5m, £10m, £20m, £25m, £5m </w:t>
      </w:r>
    </w:p>
    <w:p w14:paraId="4B942048"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sz w:val="24"/>
          <w:szCs w:val="24"/>
        </w:rPr>
        <w:t>A discount rate of 10% is used, which is the rate Tesla needs. Also, it is assumed that there is linear depreciation, decreasing value of assets to zero within five years:</w:t>
      </w:r>
    </w:p>
    <w:p w14:paraId="0CA75216" w14:textId="77777777" w:rsidR="00BC687C" w:rsidRPr="00E745B3" w:rsidRDefault="00E745B3" w:rsidP="00E745B3">
      <w:pPr>
        <w:spacing w:line="360" w:lineRule="auto"/>
        <w:jc w:val="both"/>
        <w:rPr>
          <w:rFonts w:ascii="Times New Roman" w:hAnsi="Times New Roman" w:cs="Times New Roman"/>
          <w:sz w:val="24"/>
          <w:szCs w:val="24"/>
        </w:rPr>
      </w:pPr>
      <w:r w:rsidRPr="00E745B3">
        <w:rPr>
          <w:rFonts w:ascii="Times New Roman" w:hAnsi="Times New Roman" w:cs="Times New Roman"/>
          <w:sz w:val="24"/>
          <w:szCs w:val="24"/>
        </w:rPr>
        <w:t xml:space="preserve">Annual Depreciation = £50m / 5 = £10m </w:t>
      </w:r>
    </w:p>
    <w:p w14:paraId="0A04C700" w14:textId="77777777" w:rsidR="00BC687C" w:rsidRPr="00C56FE3" w:rsidRDefault="00E745B3" w:rsidP="00C56FE3">
      <w:pPr>
        <w:spacing w:before="100" w:beforeAutospacing="1" w:after="100" w:afterAutospacing="1" w:line="360" w:lineRule="auto"/>
        <w:jc w:val="both"/>
        <w:outlineLvl w:val="1"/>
        <w:rPr>
          <w:rFonts w:ascii="Times New Roman" w:eastAsia="Times New Roman" w:hAnsi="Times New Roman" w:cs="Times New Roman"/>
          <w:b/>
          <w:bCs/>
          <w:sz w:val="24"/>
          <w:szCs w:val="24"/>
        </w:rPr>
      </w:pPr>
      <w:bookmarkStart w:id="25" w:name="_Toc225431322"/>
      <w:bookmarkStart w:id="26" w:name="_Toc225448364"/>
      <w:r w:rsidRPr="00C56FE3">
        <w:rPr>
          <w:rFonts w:ascii="Times New Roman" w:eastAsia="Times New Roman" w:hAnsi="Times New Roman" w:cs="Times New Roman"/>
          <w:b/>
          <w:bCs/>
          <w:sz w:val="24"/>
          <w:szCs w:val="24"/>
        </w:rPr>
        <w:t>5.2 Payback Period (PBP)</w:t>
      </w:r>
      <w:bookmarkEnd w:id="25"/>
      <w:bookmarkEnd w:id="26"/>
    </w:p>
    <w:p w14:paraId="7452F688" w14:textId="77777777" w:rsidR="00BC687C" w:rsidRPr="00E745B3" w:rsidRDefault="00E745B3" w:rsidP="00E745B3">
      <w:pPr>
        <w:pStyle w:val="NormalWeb"/>
        <w:spacing w:line="360" w:lineRule="auto"/>
        <w:jc w:val="both"/>
      </w:pPr>
      <w:r w:rsidRPr="00E745B3">
        <w:t>The Payback Period measures the time required to recover the initial investment from cumulative cash inflows.</w:t>
      </w:r>
    </w:p>
    <w:p w14:paraId="2DC8ADB4" w14:textId="77777777" w:rsidR="00BC687C" w:rsidRPr="00E745B3" w:rsidRDefault="00E745B3" w:rsidP="00E745B3">
      <w:pPr>
        <w:numPr>
          <w:ilvl w:val="0"/>
          <w:numId w:val="4"/>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A</w:t>
      </w:r>
      <w:r w:rsidRPr="00E745B3">
        <w:rPr>
          <w:rFonts w:ascii="Times New Roman" w:hAnsi="Times New Roman" w:cs="Times New Roman"/>
          <w:sz w:val="24"/>
          <w:szCs w:val="24"/>
        </w:rPr>
        <w:t xml:space="preserve">: Payback occurs in approximately </w:t>
      </w:r>
      <w:r w:rsidRPr="00E745B3">
        <w:rPr>
          <w:rStyle w:val="Strong"/>
          <w:rFonts w:ascii="Times New Roman" w:hAnsi="Times New Roman" w:cs="Times New Roman"/>
          <w:sz w:val="24"/>
          <w:szCs w:val="24"/>
        </w:rPr>
        <w:t>4.4 years</w:t>
      </w:r>
      <w:r w:rsidRPr="00E745B3">
        <w:rPr>
          <w:rFonts w:ascii="Times New Roman" w:hAnsi="Times New Roman" w:cs="Times New Roman"/>
          <w:sz w:val="24"/>
          <w:szCs w:val="24"/>
        </w:rPr>
        <w:t xml:space="preserve"> </w:t>
      </w:r>
    </w:p>
    <w:p w14:paraId="06BC9442" w14:textId="77777777" w:rsidR="00BC687C" w:rsidRPr="00E745B3" w:rsidRDefault="00E745B3" w:rsidP="00E745B3">
      <w:pPr>
        <w:numPr>
          <w:ilvl w:val="0"/>
          <w:numId w:val="4"/>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B</w:t>
      </w:r>
      <w:r w:rsidRPr="00E745B3">
        <w:rPr>
          <w:rFonts w:ascii="Times New Roman" w:hAnsi="Times New Roman" w:cs="Times New Roman"/>
          <w:sz w:val="24"/>
          <w:szCs w:val="24"/>
        </w:rPr>
        <w:t xml:space="preserve">: Payback occurs in approximately </w:t>
      </w:r>
      <w:r w:rsidRPr="00E745B3">
        <w:rPr>
          <w:rStyle w:val="Strong"/>
          <w:rFonts w:ascii="Times New Roman" w:hAnsi="Times New Roman" w:cs="Times New Roman"/>
          <w:sz w:val="24"/>
          <w:szCs w:val="24"/>
        </w:rPr>
        <w:t>4.5 years</w:t>
      </w:r>
      <w:r w:rsidRPr="00E745B3">
        <w:rPr>
          <w:rFonts w:ascii="Times New Roman" w:hAnsi="Times New Roman" w:cs="Times New Roman"/>
          <w:sz w:val="24"/>
          <w:szCs w:val="24"/>
        </w:rPr>
        <w:t xml:space="preserve"> </w:t>
      </w:r>
    </w:p>
    <w:p w14:paraId="0B904E7E" w14:textId="77777777" w:rsidR="00BC687C" w:rsidRPr="00E745B3" w:rsidRDefault="00E745B3" w:rsidP="00E745B3">
      <w:pPr>
        <w:numPr>
          <w:ilvl w:val="0"/>
          <w:numId w:val="4"/>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C</w:t>
      </w:r>
      <w:r w:rsidRPr="00E745B3">
        <w:rPr>
          <w:rFonts w:ascii="Times New Roman" w:hAnsi="Times New Roman" w:cs="Times New Roman"/>
          <w:sz w:val="24"/>
          <w:szCs w:val="24"/>
        </w:rPr>
        <w:t xml:space="preserve">: Payback occurs in approximately </w:t>
      </w:r>
      <w:r w:rsidRPr="00E745B3">
        <w:rPr>
          <w:rStyle w:val="Strong"/>
          <w:rFonts w:ascii="Times New Roman" w:hAnsi="Times New Roman" w:cs="Times New Roman"/>
          <w:sz w:val="24"/>
          <w:szCs w:val="24"/>
        </w:rPr>
        <w:t>3.8 years</w:t>
      </w:r>
      <w:r w:rsidRPr="00E745B3">
        <w:rPr>
          <w:rFonts w:ascii="Times New Roman" w:hAnsi="Times New Roman" w:cs="Times New Roman"/>
          <w:sz w:val="24"/>
          <w:szCs w:val="24"/>
        </w:rPr>
        <w:t xml:space="preserve"> </w:t>
      </w:r>
    </w:p>
    <w:p w14:paraId="3A1FF930" w14:textId="77777777" w:rsidR="00BC687C" w:rsidRDefault="00E745B3" w:rsidP="00E745B3">
      <w:pPr>
        <w:pStyle w:val="NormalWeb"/>
        <w:spacing w:line="360" w:lineRule="auto"/>
        <w:jc w:val="both"/>
      </w:pPr>
      <w:r w:rsidRPr="00E745B3">
        <w:t>From a liquidity perspective, Project C is the most attractive as it recovers the initial investment more quickly. This is particularly relevant given Tesla’s recent cash flow pressures identified in Section 2.6, where declining operating cash flow growth necessitates faster recovery of invested capital (Atrill and McLaney, 2019).</w:t>
      </w:r>
    </w:p>
    <w:p w14:paraId="77A76FDD" w14:textId="77777777" w:rsidR="005844FF" w:rsidRPr="00E745B3" w:rsidRDefault="005844FF" w:rsidP="00E745B3">
      <w:pPr>
        <w:pStyle w:val="NormalWeb"/>
        <w:spacing w:line="360" w:lineRule="auto"/>
        <w:jc w:val="both"/>
      </w:pPr>
      <w:r>
        <w:rPr>
          <w:noProof/>
        </w:rPr>
        <w:drawing>
          <wp:inline distT="0" distB="0" distL="0" distR="0" wp14:anchorId="0243EEE1" wp14:editId="032FD35B">
            <wp:extent cx="6400800" cy="38404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de_Generated_Image (9).png"/>
                    <pic:cNvPicPr/>
                  </pic:nvPicPr>
                  <pic:blipFill>
                    <a:blip r:embed="rId13">
                      <a:extLst>
                        <a:ext uri="{28A0092B-C50C-407E-A947-70E740481C1C}">
                          <a14:useLocalDpi xmlns:a14="http://schemas.microsoft.com/office/drawing/2010/main" val="0"/>
                        </a:ext>
                      </a:extLst>
                    </a:blip>
                    <a:stretch>
                      <a:fillRect/>
                    </a:stretch>
                  </pic:blipFill>
                  <pic:spPr>
                    <a:xfrm>
                      <a:off x="0" y="0"/>
                      <a:ext cx="6400800" cy="3840480"/>
                    </a:xfrm>
                    <a:prstGeom prst="rect">
                      <a:avLst/>
                    </a:prstGeom>
                  </pic:spPr>
                </pic:pic>
              </a:graphicData>
            </a:graphic>
          </wp:inline>
        </w:drawing>
      </w:r>
    </w:p>
    <w:p w14:paraId="6D7B71C9" w14:textId="77777777" w:rsidR="00BC687C" w:rsidRPr="00E745B3" w:rsidRDefault="00E745B3" w:rsidP="00E745B3">
      <w:pPr>
        <w:pStyle w:val="NormalWeb"/>
        <w:spacing w:line="360" w:lineRule="auto"/>
        <w:jc w:val="both"/>
      </w:pPr>
      <w:r w:rsidRPr="00E745B3">
        <w:t>However, the Payback Period has significant limitations, as it ignores the time value of money and disregards cash flows beyond the payback point. Therefore, it should not be used in isolation for decision-making.</w:t>
      </w:r>
    </w:p>
    <w:p w14:paraId="33C919A4" w14:textId="77777777" w:rsidR="00BC687C" w:rsidRPr="00C56FE3" w:rsidRDefault="00E745B3" w:rsidP="00C56FE3">
      <w:pPr>
        <w:spacing w:before="100" w:beforeAutospacing="1" w:after="100" w:afterAutospacing="1" w:line="360" w:lineRule="auto"/>
        <w:jc w:val="both"/>
        <w:outlineLvl w:val="1"/>
        <w:rPr>
          <w:rFonts w:ascii="Times New Roman" w:eastAsia="Times New Roman" w:hAnsi="Times New Roman" w:cs="Times New Roman"/>
          <w:b/>
          <w:bCs/>
          <w:sz w:val="24"/>
          <w:szCs w:val="24"/>
        </w:rPr>
      </w:pPr>
      <w:bookmarkStart w:id="27" w:name="_Toc225431323"/>
      <w:bookmarkStart w:id="28" w:name="_Toc225448365"/>
      <w:r w:rsidRPr="00C56FE3">
        <w:rPr>
          <w:rFonts w:ascii="Times New Roman" w:eastAsia="Times New Roman" w:hAnsi="Times New Roman" w:cs="Times New Roman"/>
          <w:b/>
          <w:bCs/>
          <w:sz w:val="24"/>
          <w:szCs w:val="24"/>
        </w:rPr>
        <w:t>5.3 Accounting Rate of Return (ARR)</w:t>
      </w:r>
      <w:bookmarkEnd w:id="27"/>
      <w:bookmarkEnd w:id="28"/>
    </w:p>
    <w:p w14:paraId="44E97887" w14:textId="77777777" w:rsidR="00BC687C" w:rsidRPr="00E745B3" w:rsidRDefault="00E745B3" w:rsidP="00E745B3">
      <w:pPr>
        <w:pStyle w:val="NormalWeb"/>
        <w:spacing w:line="360" w:lineRule="auto"/>
        <w:jc w:val="both"/>
      </w:pPr>
      <w:r w:rsidRPr="00E745B3">
        <w:t>The Accounting Rate of Return measures profitability based on accounting profit rather than cash flows.</w:t>
      </w:r>
    </w:p>
    <w:p w14:paraId="4BC1A59D" w14:textId="77777777" w:rsidR="00BC687C" w:rsidRPr="00E745B3" w:rsidRDefault="00E745B3" w:rsidP="00E745B3">
      <w:pPr>
        <w:spacing w:line="360" w:lineRule="auto"/>
        <w:jc w:val="both"/>
        <w:rPr>
          <w:rFonts w:ascii="Times New Roman" w:hAnsi="Times New Roman" w:cs="Times New Roman"/>
          <w:sz w:val="24"/>
          <w:szCs w:val="24"/>
        </w:rPr>
      </w:pPr>
      <w:r w:rsidRPr="00E745B3">
        <w:rPr>
          <w:rStyle w:val="katex-mathml"/>
          <w:rFonts w:ascii="Times New Roman" w:hAnsi="Times New Roman" w:cs="Times New Roman"/>
          <w:b/>
          <w:sz w:val="24"/>
          <w:szCs w:val="24"/>
        </w:rPr>
        <w:t>ARR</w:t>
      </w:r>
      <w:r w:rsidRPr="00E745B3">
        <w:rPr>
          <w:rStyle w:val="katex-mathml"/>
          <w:rFonts w:ascii="Times New Roman" w:hAnsi="Times New Roman" w:cs="Times New Roman"/>
          <w:sz w:val="24"/>
          <w:szCs w:val="24"/>
        </w:rPr>
        <w:t xml:space="preserve"> = Average Annual Profit / Initial Investment × 100</w:t>
      </w:r>
    </w:p>
    <w:p w14:paraId="5EFB5851" w14:textId="77777777" w:rsidR="00BC687C" w:rsidRPr="00E745B3" w:rsidRDefault="00E745B3" w:rsidP="00E745B3">
      <w:pPr>
        <w:pStyle w:val="NormalWeb"/>
        <w:spacing w:line="360" w:lineRule="auto"/>
        <w:jc w:val="both"/>
      </w:pPr>
      <w:r w:rsidRPr="00E745B3">
        <w:t>Total profit is calculated as total cash inflows minus initial investment:</w:t>
      </w:r>
    </w:p>
    <w:p w14:paraId="6B7804EC" w14:textId="77777777" w:rsidR="00BC687C" w:rsidRPr="00E745B3" w:rsidRDefault="00E745B3" w:rsidP="00E745B3">
      <w:pPr>
        <w:numPr>
          <w:ilvl w:val="0"/>
          <w:numId w:val="5"/>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A</w:t>
      </w:r>
      <w:r w:rsidRPr="00E745B3">
        <w:rPr>
          <w:rFonts w:ascii="Times New Roman" w:hAnsi="Times New Roman" w:cs="Times New Roman"/>
          <w:sz w:val="24"/>
          <w:szCs w:val="24"/>
        </w:rPr>
        <w:t xml:space="preserve">: Total inflows = £54m → Profit = £4m → Average profit = £0.8m → ARR = </w:t>
      </w:r>
      <w:r w:rsidRPr="00E745B3">
        <w:rPr>
          <w:rStyle w:val="Strong"/>
          <w:rFonts w:ascii="Times New Roman" w:hAnsi="Times New Roman" w:cs="Times New Roman"/>
          <w:sz w:val="24"/>
          <w:szCs w:val="24"/>
        </w:rPr>
        <w:t>1.6%</w:t>
      </w:r>
      <w:r w:rsidRPr="00E745B3">
        <w:rPr>
          <w:rFonts w:ascii="Times New Roman" w:hAnsi="Times New Roman" w:cs="Times New Roman"/>
          <w:sz w:val="24"/>
          <w:szCs w:val="24"/>
        </w:rPr>
        <w:t xml:space="preserve"> </w:t>
      </w:r>
    </w:p>
    <w:p w14:paraId="7661C858" w14:textId="77777777" w:rsidR="00BC687C" w:rsidRPr="00E745B3" w:rsidRDefault="00E745B3" w:rsidP="00E745B3">
      <w:pPr>
        <w:numPr>
          <w:ilvl w:val="0"/>
          <w:numId w:val="5"/>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B</w:t>
      </w:r>
      <w:r w:rsidRPr="00E745B3">
        <w:rPr>
          <w:rFonts w:ascii="Times New Roman" w:hAnsi="Times New Roman" w:cs="Times New Roman"/>
          <w:sz w:val="24"/>
          <w:szCs w:val="24"/>
        </w:rPr>
        <w:t xml:space="preserve">: Total inflows = £55m → Profit = £5m → Average profit = £1m → ARR = </w:t>
      </w:r>
      <w:r w:rsidRPr="00E745B3">
        <w:rPr>
          <w:rStyle w:val="Strong"/>
          <w:rFonts w:ascii="Times New Roman" w:hAnsi="Times New Roman" w:cs="Times New Roman"/>
          <w:sz w:val="24"/>
          <w:szCs w:val="24"/>
        </w:rPr>
        <w:t>2%</w:t>
      </w:r>
      <w:r w:rsidRPr="00E745B3">
        <w:rPr>
          <w:rFonts w:ascii="Times New Roman" w:hAnsi="Times New Roman" w:cs="Times New Roman"/>
          <w:sz w:val="24"/>
          <w:szCs w:val="24"/>
        </w:rPr>
        <w:t xml:space="preserve"> </w:t>
      </w:r>
    </w:p>
    <w:p w14:paraId="204FC67E" w14:textId="77777777" w:rsidR="00BC687C" w:rsidRPr="00E745B3" w:rsidRDefault="00E745B3" w:rsidP="00E745B3">
      <w:pPr>
        <w:numPr>
          <w:ilvl w:val="0"/>
          <w:numId w:val="5"/>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C</w:t>
      </w:r>
      <w:r w:rsidRPr="00E745B3">
        <w:rPr>
          <w:rFonts w:ascii="Times New Roman" w:hAnsi="Times New Roman" w:cs="Times New Roman"/>
          <w:sz w:val="24"/>
          <w:szCs w:val="24"/>
        </w:rPr>
        <w:t xml:space="preserve">: Total inflows = £65m → Profit = £15m → Average profit = £3m → ARR = </w:t>
      </w:r>
      <w:r w:rsidRPr="00E745B3">
        <w:rPr>
          <w:rStyle w:val="Strong"/>
          <w:rFonts w:ascii="Times New Roman" w:hAnsi="Times New Roman" w:cs="Times New Roman"/>
          <w:sz w:val="24"/>
          <w:szCs w:val="24"/>
        </w:rPr>
        <w:t>6%</w:t>
      </w:r>
      <w:r w:rsidRPr="00E745B3">
        <w:rPr>
          <w:rFonts w:ascii="Times New Roman" w:hAnsi="Times New Roman" w:cs="Times New Roman"/>
          <w:sz w:val="24"/>
          <w:szCs w:val="24"/>
        </w:rPr>
        <w:t xml:space="preserve"> </w:t>
      </w:r>
    </w:p>
    <w:p w14:paraId="2F7E8041" w14:textId="77777777" w:rsidR="00BC687C" w:rsidRPr="00E745B3" w:rsidRDefault="00E745B3" w:rsidP="00E745B3">
      <w:pPr>
        <w:pStyle w:val="NormalWeb"/>
        <w:spacing w:line="360" w:lineRule="auto"/>
        <w:jc w:val="both"/>
      </w:pPr>
      <w:r w:rsidRPr="00E745B3">
        <w:t>The accounting return in the project C shows a much higher accounting return than the other projects. This implies it is more profitable, yet ARR has some weaknesses, including a lack of attention to return timing and use of accounting practices instead of cash movements (Atrill and McLaney, 2019).</w:t>
      </w:r>
    </w:p>
    <w:p w14:paraId="230B0519"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bookmarkStart w:id="29" w:name="_Toc225448366"/>
      <w:r w:rsidRPr="00E745B3">
        <w:rPr>
          <w:rFonts w:ascii="Times New Roman" w:eastAsia="Times New Roman" w:hAnsi="Times New Roman" w:cs="Times New Roman"/>
          <w:b/>
          <w:bCs/>
          <w:sz w:val="24"/>
          <w:szCs w:val="24"/>
        </w:rPr>
        <w:t>5.4 Net Present Value (NPV)</w:t>
      </w:r>
      <w:bookmarkEnd w:id="29"/>
    </w:p>
    <w:p w14:paraId="78CF4E7F" w14:textId="77777777" w:rsidR="00BC687C" w:rsidRPr="00E745B3" w:rsidRDefault="00E745B3" w:rsidP="00E745B3">
      <w:pPr>
        <w:pStyle w:val="NormalWeb"/>
        <w:spacing w:line="360" w:lineRule="auto"/>
        <w:jc w:val="both"/>
      </w:pPr>
      <w:r w:rsidRPr="00E745B3">
        <w:t>Net Present Value has been considered the most valid means of appraisal since it not only builds time value of money but also it quantifies absolute value added to the business.</w:t>
      </w:r>
    </w:p>
    <w:p w14:paraId="440343BD" w14:textId="77777777" w:rsidR="00BC687C" w:rsidRPr="00E745B3" w:rsidRDefault="00E745B3" w:rsidP="00E745B3">
      <w:pPr>
        <w:pStyle w:val="NormalWeb"/>
        <w:spacing w:line="360" w:lineRule="auto"/>
        <w:jc w:val="both"/>
      </w:pPr>
      <w:r w:rsidRPr="00E745B3">
        <w:t>The NPVs of the projects using a discount rate of 10 were;</w:t>
      </w:r>
    </w:p>
    <w:p w14:paraId="4C4A8F30" w14:textId="77777777" w:rsidR="00BC687C" w:rsidRPr="00E745B3" w:rsidRDefault="00E745B3" w:rsidP="00E745B3">
      <w:pPr>
        <w:numPr>
          <w:ilvl w:val="0"/>
          <w:numId w:val="6"/>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A</w:t>
      </w:r>
      <w:r w:rsidRPr="00E745B3">
        <w:rPr>
          <w:rFonts w:ascii="Times New Roman" w:hAnsi="Times New Roman" w:cs="Times New Roman"/>
          <w:sz w:val="24"/>
          <w:szCs w:val="24"/>
        </w:rPr>
        <w:t xml:space="preserve">: NPV = </w:t>
      </w:r>
      <w:r w:rsidRPr="00E745B3">
        <w:rPr>
          <w:rStyle w:val="Strong"/>
          <w:rFonts w:ascii="Times New Roman" w:hAnsi="Times New Roman" w:cs="Times New Roman"/>
          <w:sz w:val="24"/>
          <w:szCs w:val="24"/>
        </w:rPr>
        <w:t>–£3.1 million</w:t>
      </w:r>
      <w:r w:rsidRPr="00E745B3">
        <w:rPr>
          <w:rFonts w:ascii="Times New Roman" w:hAnsi="Times New Roman" w:cs="Times New Roman"/>
          <w:sz w:val="24"/>
          <w:szCs w:val="24"/>
        </w:rPr>
        <w:t xml:space="preserve"> </w:t>
      </w:r>
    </w:p>
    <w:p w14:paraId="636402FF" w14:textId="77777777" w:rsidR="00BC687C" w:rsidRPr="00E745B3" w:rsidRDefault="00E745B3" w:rsidP="00E745B3">
      <w:pPr>
        <w:numPr>
          <w:ilvl w:val="0"/>
          <w:numId w:val="6"/>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B</w:t>
      </w:r>
      <w:r w:rsidRPr="00E745B3">
        <w:rPr>
          <w:rFonts w:ascii="Times New Roman" w:hAnsi="Times New Roman" w:cs="Times New Roman"/>
          <w:sz w:val="24"/>
          <w:szCs w:val="24"/>
        </w:rPr>
        <w:t xml:space="preserve">: NPV = </w:t>
      </w:r>
      <w:r w:rsidRPr="00E745B3">
        <w:rPr>
          <w:rStyle w:val="Strong"/>
          <w:rFonts w:ascii="Times New Roman" w:hAnsi="Times New Roman" w:cs="Times New Roman"/>
          <w:sz w:val="24"/>
          <w:szCs w:val="24"/>
        </w:rPr>
        <w:t>–£8.3 million</w:t>
      </w:r>
      <w:r w:rsidRPr="00E745B3">
        <w:rPr>
          <w:rFonts w:ascii="Times New Roman" w:hAnsi="Times New Roman" w:cs="Times New Roman"/>
          <w:sz w:val="24"/>
          <w:szCs w:val="24"/>
        </w:rPr>
        <w:t xml:space="preserve"> </w:t>
      </w:r>
    </w:p>
    <w:p w14:paraId="0ED3D352" w14:textId="77777777" w:rsidR="00BC687C" w:rsidRPr="00E745B3" w:rsidRDefault="00E745B3" w:rsidP="00E745B3">
      <w:pPr>
        <w:numPr>
          <w:ilvl w:val="0"/>
          <w:numId w:val="6"/>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C</w:t>
      </w:r>
      <w:r w:rsidRPr="00E745B3">
        <w:rPr>
          <w:rFonts w:ascii="Times New Roman" w:hAnsi="Times New Roman" w:cs="Times New Roman"/>
          <w:sz w:val="24"/>
          <w:szCs w:val="24"/>
        </w:rPr>
        <w:t xml:space="preserve">: NPV = </w:t>
      </w:r>
      <w:r w:rsidRPr="00E745B3">
        <w:rPr>
          <w:rStyle w:val="Strong"/>
          <w:rFonts w:ascii="Times New Roman" w:hAnsi="Times New Roman" w:cs="Times New Roman"/>
          <w:sz w:val="24"/>
          <w:szCs w:val="24"/>
        </w:rPr>
        <w:t>+£2.5 million</w:t>
      </w:r>
      <w:r w:rsidRPr="00E745B3">
        <w:rPr>
          <w:rFonts w:ascii="Times New Roman" w:hAnsi="Times New Roman" w:cs="Times New Roman"/>
          <w:sz w:val="24"/>
          <w:szCs w:val="24"/>
        </w:rPr>
        <w:t xml:space="preserve"> </w:t>
      </w:r>
    </w:p>
    <w:p w14:paraId="6F5EACBB" w14:textId="77777777" w:rsidR="00BC687C" w:rsidRPr="00E745B3" w:rsidRDefault="00E745B3" w:rsidP="00E745B3">
      <w:pPr>
        <w:pStyle w:val="NormalWeb"/>
        <w:spacing w:line="360" w:lineRule="auto"/>
        <w:jc w:val="both"/>
      </w:pPr>
      <w:r w:rsidRPr="00E745B3">
        <w:t>The outcome shows that the only project to yield a positive NPV is Project C, i.e. the project that is likely to add value to the shareholder wealth. Projects A and B, in contrast, would kill value should they be done, because their discounted inflows of cash will not cover their initial cost.</w:t>
      </w:r>
    </w:p>
    <w:p w14:paraId="1E1567C3" w14:textId="77777777" w:rsidR="00BC687C" w:rsidRPr="00E745B3" w:rsidRDefault="00E745B3" w:rsidP="00E745B3">
      <w:pPr>
        <w:pStyle w:val="NormalWeb"/>
        <w:spacing w:line="360" w:lineRule="auto"/>
        <w:jc w:val="both"/>
      </w:pPr>
      <w:r w:rsidRPr="00E745B3">
        <w:t>Financially speaking, NPV rule indicates with a lot of specificity that Project C would be adopted, whereas Projects A and B would not (Brealey, Myers and Allen, 2020).</w:t>
      </w:r>
    </w:p>
    <w:p w14:paraId="363A77FC"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bookmarkStart w:id="30" w:name="_Toc225448367"/>
      <w:r w:rsidRPr="00E745B3">
        <w:rPr>
          <w:rFonts w:ascii="Times New Roman" w:eastAsia="Times New Roman" w:hAnsi="Times New Roman" w:cs="Times New Roman"/>
          <w:b/>
          <w:bCs/>
          <w:sz w:val="24"/>
          <w:szCs w:val="24"/>
        </w:rPr>
        <w:t>5.5 Internal Rate of Return (IRR)</w:t>
      </w:r>
      <w:bookmarkEnd w:id="30"/>
    </w:p>
    <w:p w14:paraId="7C19D7B5" w14:textId="77777777" w:rsidR="00BC687C" w:rsidRPr="00E745B3" w:rsidRDefault="00E745B3" w:rsidP="00E745B3">
      <w:pPr>
        <w:pStyle w:val="NormalWeb"/>
        <w:spacing w:line="360" w:lineRule="auto"/>
        <w:jc w:val="both"/>
      </w:pPr>
      <w:r w:rsidRPr="00E745B3">
        <w:t>Internal Rate of Return is the rate where the NPV of a project is zero.</w:t>
      </w:r>
    </w:p>
    <w:p w14:paraId="067540CE" w14:textId="77777777" w:rsidR="00BC687C" w:rsidRPr="00E745B3" w:rsidRDefault="00E745B3" w:rsidP="00E745B3">
      <w:pPr>
        <w:numPr>
          <w:ilvl w:val="0"/>
          <w:numId w:val="7"/>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A</w:t>
      </w:r>
      <w:r w:rsidRPr="00E745B3">
        <w:rPr>
          <w:rFonts w:ascii="Times New Roman" w:hAnsi="Times New Roman" w:cs="Times New Roman"/>
          <w:sz w:val="24"/>
          <w:szCs w:val="24"/>
        </w:rPr>
        <w:t xml:space="preserve">: IRR ≈ </w:t>
      </w:r>
      <w:r w:rsidRPr="00E745B3">
        <w:rPr>
          <w:rStyle w:val="Strong"/>
          <w:rFonts w:ascii="Times New Roman" w:hAnsi="Times New Roman" w:cs="Times New Roman"/>
          <w:sz w:val="24"/>
          <w:szCs w:val="24"/>
        </w:rPr>
        <w:t>8%</w:t>
      </w:r>
      <w:r w:rsidRPr="00E745B3">
        <w:rPr>
          <w:rFonts w:ascii="Times New Roman" w:hAnsi="Times New Roman" w:cs="Times New Roman"/>
          <w:sz w:val="24"/>
          <w:szCs w:val="24"/>
        </w:rPr>
        <w:t xml:space="preserve"> </w:t>
      </w:r>
    </w:p>
    <w:p w14:paraId="5B43D0A9" w14:textId="77777777" w:rsidR="00BC687C" w:rsidRPr="00E745B3" w:rsidRDefault="00E745B3" w:rsidP="00E745B3">
      <w:pPr>
        <w:numPr>
          <w:ilvl w:val="0"/>
          <w:numId w:val="7"/>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B</w:t>
      </w:r>
      <w:r w:rsidRPr="00E745B3">
        <w:rPr>
          <w:rFonts w:ascii="Times New Roman" w:hAnsi="Times New Roman" w:cs="Times New Roman"/>
          <w:sz w:val="24"/>
          <w:szCs w:val="24"/>
        </w:rPr>
        <w:t xml:space="preserve">: IRR ≈ </w:t>
      </w:r>
      <w:r w:rsidRPr="00E745B3">
        <w:rPr>
          <w:rStyle w:val="Strong"/>
          <w:rFonts w:ascii="Times New Roman" w:hAnsi="Times New Roman" w:cs="Times New Roman"/>
          <w:sz w:val="24"/>
          <w:szCs w:val="24"/>
        </w:rPr>
        <w:t>6%</w:t>
      </w:r>
      <w:r w:rsidRPr="00E745B3">
        <w:rPr>
          <w:rFonts w:ascii="Times New Roman" w:hAnsi="Times New Roman" w:cs="Times New Roman"/>
          <w:sz w:val="24"/>
          <w:szCs w:val="24"/>
        </w:rPr>
        <w:t xml:space="preserve"> </w:t>
      </w:r>
    </w:p>
    <w:p w14:paraId="53A8DB94" w14:textId="77777777" w:rsidR="00BC687C" w:rsidRPr="00E745B3" w:rsidRDefault="00E745B3" w:rsidP="00E745B3">
      <w:pPr>
        <w:numPr>
          <w:ilvl w:val="0"/>
          <w:numId w:val="7"/>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C</w:t>
      </w:r>
      <w:r w:rsidRPr="00E745B3">
        <w:rPr>
          <w:rFonts w:ascii="Times New Roman" w:hAnsi="Times New Roman" w:cs="Times New Roman"/>
          <w:sz w:val="24"/>
          <w:szCs w:val="24"/>
        </w:rPr>
        <w:t xml:space="preserve">: IRR ≈ </w:t>
      </w:r>
      <w:r w:rsidRPr="00E745B3">
        <w:rPr>
          <w:rStyle w:val="Strong"/>
          <w:rFonts w:ascii="Times New Roman" w:hAnsi="Times New Roman" w:cs="Times New Roman"/>
          <w:sz w:val="24"/>
          <w:szCs w:val="24"/>
        </w:rPr>
        <w:t>11%</w:t>
      </w:r>
      <w:r w:rsidRPr="00E745B3">
        <w:rPr>
          <w:rFonts w:ascii="Times New Roman" w:hAnsi="Times New Roman" w:cs="Times New Roman"/>
          <w:sz w:val="24"/>
          <w:szCs w:val="24"/>
        </w:rPr>
        <w:t xml:space="preserve"> </w:t>
      </w:r>
    </w:p>
    <w:p w14:paraId="0FFCA418" w14:textId="77777777" w:rsidR="00BC687C" w:rsidRPr="00E745B3" w:rsidRDefault="00E745B3" w:rsidP="00E745B3">
      <w:pPr>
        <w:pStyle w:val="NormalWeb"/>
        <w:spacing w:line="360" w:lineRule="auto"/>
        <w:jc w:val="both"/>
      </w:pPr>
      <w:r w:rsidRPr="00E745B3">
        <w:t>Assuming that Tesla needs a 10% rate of return, it can be said that only Project C fits the acceptance criterion (IRR &gt; required rate). Project A and B do not match this standard which supports the findings made in the NPV analysis.</w:t>
      </w:r>
    </w:p>
    <w:p w14:paraId="6A2FF2B3" w14:textId="77777777" w:rsidR="00BC687C" w:rsidRPr="00E745B3" w:rsidRDefault="00E745B3" w:rsidP="00E745B3">
      <w:pPr>
        <w:pStyle w:val="NormalWeb"/>
        <w:spacing w:line="360" w:lineRule="auto"/>
        <w:jc w:val="both"/>
      </w:pPr>
      <w:r w:rsidRPr="00E745B3">
        <w:t>Although IRR is applicable in comparing returns, in some cases it can give conflicting decisions in inter related situations. Nonetheless, both IRR and NPV give consistent information, which reinforces the accuracy of the decision, in this instance.</w:t>
      </w:r>
    </w:p>
    <w:p w14:paraId="4C7EAFE4"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bookmarkStart w:id="31" w:name="_Toc225448368"/>
      <w:r w:rsidRPr="00E745B3">
        <w:rPr>
          <w:rFonts w:ascii="Times New Roman" w:eastAsia="Times New Roman" w:hAnsi="Times New Roman" w:cs="Times New Roman"/>
          <w:b/>
          <w:bCs/>
          <w:sz w:val="24"/>
          <w:szCs w:val="24"/>
        </w:rPr>
        <w:t>5.6 Profitability Index (PI)</w:t>
      </w:r>
      <w:bookmarkEnd w:id="31"/>
    </w:p>
    <w:p w14:paraId="332EA920" w14:textId="77777777" w:rsidR="00BC687C" w:rsidRPr="00E745B3" w:rsidRDefault="00E745B3" w:rsidP="00E745B3">
      <w:pPr>
        <w:pStyle w:val="NormalWeb"/>
        <w:spacing w:line="360" w:lineRule="auto"/>
        <w:jc w:val="both"/>
      </w:pPr>
      <w:r w:rsidRPr="00E745B3">
        <w:t>The Profitability Index is the value of one unit of investment and is especially helpful in the conditions of capital rationing.</w:t>
      </w:r>
    </w:p>
    <w:p w14:paraId="201B0EAA" w14:textId="77777777" w:rsidR="00BC687C" w:rsidRPr="00E745B3" w:rsidRDefault="00E745B3" w:rsidP="00E745B3">
      <w:pPr>
        <w:spacing w:line="360" w:lineRule="auto"/>
        <w:jc w:val="both"/>
        <w:rPr>
          <w:rFonts w:ascii="Times New Roman" w:hAnsi="Times New Roman" w:cs="Times New Roman"/>
          <w:sz w:val="24"/>
          <w:szCs w:val="24"/>
        </w:rPr>
      </w:pPr>
      <w:r w:rsidRPr="00E745B3">
        <w:rPr>
          <w:rStyle w:val="katex-mathml"/>
          <w:rFonts w:ascii="Times New Roman" w:hAnsi="Times New Roman" w:cs="Times New Roman"/>
          <w:b/>
          <w:sz w:val="24"/>
          <w:szCs w:val="24"/>
        </w:rPr>
        <w:t>PI</w:t>
      </w:r>
      <w:r w:rsidRPr="00E745B3">
        <w:rPr>
          <w:rStyle w:val="katex-mathml"/>
          <w:rFonts w:ascii="Times New Roman" w:hAnsi="Times New Roman" w:cs="Times New Roman"/>
          <w:sz w:val="24"/>
          <w:szCs w:val="24"/>
        </w:rPr>
        <w:t xml:space="preserve"> = Present Value of Cash Inflows / Initial Investment </w:t>
      </w:r>
    </w:p>
    <w:p w14:paraId="490E41A9" w14:textId="77777777" w:rsidR="00BC687C" w:rsidRPr="00E745B3" w:rsidRDefault="00E745B3" w:rsidP="00E745B3">
      <w:pPr>
        <w:numPr>
          <w:ilvl w:val="0"/>
          <w:numId w:val="8"/>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A</w:t>
      </w:r>
      <w:r w:rsidRPr="00E745B3">
        <w:rPr>
          <w:rFonts w:ascii="Times New Roman" w:hAnsi="Times New Roman" w:cs="Times New Roman"/>
          <w:sz w:val="24"/>
          <w:szCs w:val="24"/>
        </w:rPr>
        <w:t xml:space="preserve">: PI = </w:t>
      </w:r>
      <w:r w:rsidRPr="00E745B3">
        <w:rPr>
          <w:rStyle w:val="Strong"/>
          <w:rFonts w:ascii="Times New Roman" w:hAnsi="Times New Roman" w:cs="Times New Roman"/>
          <w:sz w:val="24"/>
          <w:szCs w:val="24"/>
        </w:rPr>
        <w:t>0.94</w:t>
      </w:r>
      <w:r w:rsidRPr="00E745B3">
        <w:rPr>
          <w:rFonts w:ascii="Times New Roman" w:hAnsi="Times New Roman" w:cs="Times New Roman"/>
          <w:sz w:val="24"/>
          <w:szCs w:val="24"/>
        </w:rPr>
        <w:t xml:space="preserve"> </w:t>
      </w:r>
    </w:p>
    <w:p w14:paraId="42F9C92F" w14:textId="77777777" w:rsidR="00BC687C" w:rsidRPr="00E745B3" w:rsidRDefault="00E745B3" w:rsidP="00E745B3">
      <w:pPr>
        <w:numPr>
          <w:ilvl w:val="0"/>
          <w:numId w:val="8"/>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B</w:t>
      </w:r>
      <w:r w:rsidRPr="00E745B3">
        <w:rPr>
          <w:rFonts w:ascii="Times New Roman" w:hAnsi="Times New Roman" w:cs="Times New Roman"/>
          <w:sz w:val="24"/>
          <w:szCs w:val="24"/>
        </w:rPr>
        <w:t xml:space="preserve">: PI = </w:t>
      </w:r>
      <w:r w:rsidRPr="00E745B3">
        <w:rPr>
          <w:rStyle w:val="Strong"/>
          <w:rFonts w:ascii="Times New Roman" w:hAnsi="Times New Roman" w:cs="Times New Roman"/>
          <w:sz w:val="24"/>
          <w:szCs w:val="24"/>
        </w:rPr>
        <w:t>0.83</w:t>
      </w:r>
      <w:r w:rsidRPr="00E745B3">
        <w:rPr>
          <w:rFonts w:ascii="Times New Roman" w:hAnsi="Times New Roman" w:cs="Times New Roman"/>
          <w:sz w:val="24"/>
          <w:szCs w:val="24"/>
        </w:rPr>
        <w:t xml:space="preserve"> </w:t>
      </w:r>
    </w:p>
    <w:p w14:paraId="03A7F349" w14:textId="77777777" w:rsidR="00BC687C" w:rsidRPr="00E745B3" w:rsidRDefault="00E745B3" w:rsidP="00E745B3">
      <w:pPr>
        <w:numPr>
          <w:ilvl w:val="0"/>
          <w:numId w:val="8"/>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C</w:t>
      </w:r>
      <w:r w:rsidRPr="00E745B3">
        <w:rPr>
          <w:rFonts w:ascii="Times New Roman" w:hAnsi="Times New Roman" w:cs="Times New Roman"/>
          <w:sz w:val="24"/>
          <w:szCs w:val="24"/>
        </w:rPr>
        <w:t xml:space="preserve">: PI = </w:t>
      </w:r>
      <w:r w:rsidRPr="00E745B3">
        <w:rPr>
          <w:rStyle w:val="Strong"/>
          <w:rFonts w:ascii="Times New Roman" w:hAnsi="Times New Roman" w:cs="Times New Roman"/>
          <w:sz w:val="24"/>
          <w:szCs w:val="24"/>
        </w:rPr>
        <w:t>1.05</w:t>
      </w:r>
      <w:r w:rsidRPr="00E745B3">
        <w:rPr>
          <w:rFonts w:ascii="Times New Roman" w:hAnsi="Times New Roman" w:cs="Times New Roman"/>
          <w:sz w:val="24"/>
          <w:szCs w:val="24"/>
        </w:rPr>
        <w:t xml:space="preserve"> </w:t>
      </w:r>
    </w:p>
    <w:p w14:paraId="5D2CD783" w14:textId="77777777" w:rsidR="00BC687C" w:rsidRPr="00E745B3" w:rsidRDefault="00E745B3" w:rsidP="00E745B3">
      <w:pPr>
        <w:pStyle w:val="NormalWeb"/>
        <w:spacing w:line="360" w:lineRule="auto"/>
        <w:jc w:val="both"/>
      </w:pPr>
      <w:r w:rsidRPr="00E745B3">
        <w:t>A PI greater than 1 indicates that a project is value-creating. Accordingly, only Project C satisfies this criterion. This further confirms its financial viability and reinforces its superiority over the other projects.</w:t>
      </w:r>
    </w:p>
    <w:p w14:paraId="1C54ABF0" w14:textId="77777777" w:rsidR="00BC687C" w:rsidRPr="00C56FE3" w:rsidRDefault="00E745B3" w:rsidP="00C56FE3">
      <w:pPr>
        <w:spacing w:before="100" w:beforeAutospacing="1" w:after="100" w:afterAutospacing="1" w:line="360" w:lineRule="auto"/>
        <w:jc w:val="both"/>
        <w:outlineLvl w:val="1"/>
        <w:rPr>
          <w:rFonts w:ascii="Times New Roman" w:eastAsia="Times New Roman" w:hAnsi="Times New Roman" w:cs="Times New Roman"/>
          <w:b/>
          <w:bCs/>
          <w:sz w:val="24"/>
          <w:szCs w:val="24"/>
        </w:rPr>
      </w:pPr>
      <w:bookmarkStart w:id="32" w:name="_Toc225431327"/>
      <w:bookmarkStart w:id="33" w:name="_Toc225448369"/>
      <w:r w:rsidRPr="00C56FE3">
        <w:rPr>
          <w:rFonts w:ascii="Times New Roman" w:eastAsia="Times New Roman" w:hAnsi="Times New Roman" w:cs="Times New Roman"/>
          <w:b/>
          <w:bCs/>
          <w:sz w:val="24"/>
          <w:szCs w:val="24"/>
        </w:rPr>
        <w:t>5.7 Capital Rationing Decision</w:t>
      </w:r>
      <w:bookmarkEnd w:id="32"/>
      <w:bookmarkEnd w:id="33"/>
    </w:p>
    <w:p w14:paraId="7754C683" w14:textId="77777777" w:rsidR="00BC687C" w:rsidRPr="00E745B3" w:rsidRDefault="00E745B3" w:rsidP="00E745B3">
      <w:pPr>
        <w:pStyle w:val="NormalWeb"/>
        <w:spacing w:line="360" w:lineRule="auto"/>
        <w:jc w:val="both"/>
      </w:pPr>
      <w:r w:rsidRPr="00E745B3">
        <w:t xml:space="preserve">Tesla faces a capital constraint of </w:t>
      </w:r>
      <w:r w:rsidRPr="00E745B3">
        <w:rPr>
          <w:rStyle w:val="Strong"/>
        </w:rPr>
        <w:t>£100 million</w:t>
      </w:r>
      <w:r w:rsidRPr="00E745B3">
        <w:t>, meaning it cannot invest in all three projects simultaneously. Therefore, combinations of projects must be evaluated.</w:t>
      </w:r>
    </w:p>
    <w:p w14:paraId="0A5095DD" w14:textId="77777777" w:rsidR="00BC687C" w:rsidRPr="00E745B3" w:rsidRDefault="00E745B3" w:rsidP="00E745B3">
      <w:pPr>
        <w:pStyle w:val="NormalWeb"/>
        <w:spacing w:line="360" w:lineRule="auto"/>
        <w:jc w:val="both"/>
      </w:pPr>
      <w:r w:rsidRPr="00E745B3">
        <w:t>Possible combinations include:</w:t>
      </w:r>
    </w:p>
    <w:p w14:paraId="509205F1" w14:textId="77777777" w:rsidR="00BC687C" w:rsidRPr="00E745B3" w:rsidRDefault="00E745B3" w:rsidP="00E745B3">
      <w:pPr>
        <w:numPr>
          <w:ilvl w:val="0"/>
          <w:numId w:val="9"/>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A + Project B</w:t>
      </w:r>
      <w:r w:rsidRPr="00E745B3">
        <w:rPr>
          <w:rFonts w:ascii="Times New Roman" w:hAnsi="Times New Roman" w:cs="Times New Roman"/>
          <w:sz w:val="24"/>
          <w:szCs w:val="24"/>
        </w:rPr>
        <w:t xml:space="preserve">: Total investment = £100m → Combined NPV = </w:t>
      </w:r>
      <w:r w:rsidRPr="00E745B3">
        <w:rPr>
          <w:rStyle w:val="Strong"/>
          <w:rFonts w:ascii="Times New Roman" w:hAnsi="Times New Roman" w:cs="Times New Roman"/>
          <w:sz w:val="24"/>
          <w:szCs w:val="24"/>
        </w:rPr>
        <w:t>–£11.4m</w:t>
      </w:r>
      <w:r w:rsidRPr="00E745B3">
        <w:rPr>
          <w:rFonts w:ascii="Times New Roman" w:hAnsi="Times New Roman" w:cs="Times New Roman"/>
          <w:sz w:val="24"/>
          <w:szCs w:val="24"/>
        </w:rPr>
        <w:t xml:space="preserve"> </w:t>
      </w:r>
    </w:p>
    <w:p w14:paraId="0CFAD368" w14:textId="77777777" w:rsidR="00BC687C" w:rsidRPr="00E745B3" w:rsidRDefault="00E745B3" w:rsidP="00E745B3">
      <w:pPr>
        <w:numPr>
          <w:ilvl w:val="0"/>
          <w:numId w:val="9"/>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A + Project C</w:t>
      </w:r>
      <w:r w:rsidRPr="00E745B3">
        <w:rPr>
          <w:rFonts w:ascii="Times New Roman" w:hAnsi="Times New Roman" w:cs="Times New Roman"/>
          <w:sz w:val="24"/>
          <w:szCs w:val="24"/>
        </w:rPr>
        <w:t xml:space="preserve">: Total investment = £100m → Combined NPV = </w:t>
      </w:r>
      <w:r w:rsidRPr="00E745B3">
        <w:rPr>
          <w:rStyle w:val="Strong"/>
          <w:rFonts w:ascii="Times New Roman" w:hAnsi="Times New Roman" w:cs="Times New Roman"/>
          <w:sz w:val="24"/>
          <w:szCs w:val="24"/>
        </w:rPr>
        <w:t>–£0.6m</w:t>
      </w:r>
      <w:r w:rsidRPr="00E745B3">
        <w:rPr>
          <w:rFonts w:ascii="Times New Roman" w:hAnsi="Times New Roman" w:cs="Times New Roman"/>
          <w:sz w:val="24"/>
          <w:szCs w:val="24"/>
        </w:rPr>
        <w:t xml:space="preserve"> </w:t>
      </w:r>
    </w:p>
    <w:p w14:paraId="0D8D02FE" w14:textId="77777777" w:rsidR="00BC687C" w:rsidRPr="00E745B3" w:rsidRDefault="00E745B3" w:rsidP="00E745B3">
      <w:pPr>
        <w:numPr>
          <w:ilvl w:val="0"/>
          <w:numId w:val="9"/>
        </w:numPr>
        <w:spacing w:before="100" w:beforeAutospacing="1" w:after="100" w:afterAutospacing="1" w:line="360" w:lineRule="auto"/>
        <w:jc w:val="both"/>
        <w:rPr>
          <w:rFonts w:ascii="Times New Roman" w:hAnsi="Times New Roman" w:cs="Times New Roman"/>
          <w:sz w:val="24"/>
          <w:szCs w:val="24"/>
        </w:rPr>
      </w:pPr>
      <w:r w:rsidRPr="00E745B3">
        <w:rPr>
          <w:rStyle w:val="Strong"/>
          <w:rFonts w:ascii="Times New Roman" w:hAnsi="Times New Roman" w:cs="Times New Roman"/>
          <w:sz w:val="24"/>
          <w:szCs w:val="24"/>
        </w:rPr>
        <w:t>Project B + Project C</w:t>
      </w:r>
      <w:r w:rsidRPr="00E745B3">
        <w:rPr>
          <w:rFonts w:ascii="Times New Roman" w:hAnsi="Times New Roman" w:cs="Times New Roman"/>
          <w:sz w:val="24"/>
          <w:szCs w:val="24"/>
        </w:rPr>
        <w:t xml:space="preserve">: Total investment = £100m → Combined NPV = </w:t>
      </w:r>
      <w:r w:rsidRPr="00E745B3">
        <w:rPr>
          <w:rStyle w:val="Strong"/>
          <w:rFonts w:ascii="Times New Roman" w:hAnsi="Times New Roman" w:cs="Times New Roman"/>
          <w:sz w:val="24"/>
          <w:szCs w:val="24"/>
        </w:rPr>
        <w:t>–£5.8m</w:t>
      </w:r>
      <w:r w:rsidRPr="00E745B3">
        <w:rPr>
          <w:rFonts w:ascii="Times New Roman" w:hAnsi="Times New Roman" w:cs="Times New Roman"/>
          <w:sz w:val="24"/>
          <w:szCs w:val="24"/>
        </w:rPr>
        <w:t xml:space="preserve"> </w:t>
      </w:r>
    </w:p>
    <w:p w14:paraId="75B88550" w14:textId="77777777" w:rsidR="00BC687C" w:rsidRPr="00E745B3" w:rsidRDefault="00E745B3" w:rsidP="00E745B3">
      <w:pPr>
        <w:pStyle w:val="NormalWeb"/>
        <w:spacing w:line="360" w:lineRule="auto"/>
        <w:jc w:val="both"/>
      </w:pPr>
      <w:r w:rsidRPr="00E745B3">
        <w:t>Any combination will yield a negative NPV, which implies that a combination of projects will cause the destruction of values. Thus, the best decision in a situation of capital rationing is to invest in Project C only, which is independent in increase of shareholder value.</w:t>
      </w:r>
    </w:p>
    <w:p w14:paraId="42DF535C" w14:textId="77777777" w:rsidR="00BC687C" w:rsidRPr="00E745B3" w:rsidRDefault="00E745B3" w:rsidP="00E745B3">
      <w:pPr>
        <w:pStyle w:val="NormalWeb"/>
        <w:spacing w:line="360" w:lineRule="auto"/>
        <w:jc w:val="both"/>
      </w:pPr>
      <w:r w:rsidRPr="00E745B3">
        <w:t>This brings out a critical financial concept, that projects under capital limitations should be prioritized in those that create positive NPVs, instead of trying to use their budgets to the fullest.</w:t>
      </w:r>
    </w:p>
    <w:p w14:paraId="0C8DCFA9"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bookmarkStart w:id="34" w:name="_Toc225448370"/>
      <w:r w:rsidRPr="00E745B3">
        <w:rPr>
          <w:rFonts w:ascii="Times New Roman" w:eastAsia="Times New Roman" w:hAnsi="Times New Roman" w:cs="Times New Roman"/>
          <w:b/>
          <w:bCs/>
          <w:sz w:val="24"/>
          <w:szCs w:val="24"/>
        </w:rPr>
        <w:t>5.8 Strategic Alignment with Tesla’s Financial Position</w:t>
      </w:r>
      <w:bookmarkEnd w:id="34"/>
    </w:p>
    <w:p w14:paraId="376434B3" w14:textId="77777777" w:rsidR="00BC687C" w:rsidRPr="00E745B3" w:rsidRDefault="00E745B3" w:rsidP="00E745B3">
      <w:pPr>
        <w:pStyle w:val="NormalWeb"/>
        <w:spacing w:line="360" w:lineRule="auto"/>
        <w:jc w:val="both"/>
      </w:pPr>
      <w:r w:rsidRPr="00E745B3">
        <w:t>An investment decision should be considered within the frame of the financial situation of Tesla.</w:t>
      </w:r>
    </w:p>
    <w:p w14:paraId="1A469A9C" w14:textId="77777777" w:rsidR="00BC687C" w:rsidRPr="00E745B3" w:rsidRDefault="00E745B3" w:rsidP="00E745B3">
      <w:pPr>
        <w:pStyle w:val="NormalWeb"/>
        <w:spacing w:line="360" w:lineRule="auto"/>
        <w:jc w:val="both"/>
      </w:pPr>
      <w:r w:rsidRPr="00E745B3">
        <w:t>As it has been previously mentioned, Tesla is facing a diminishing profitability, growing expenses and mounting pressure on the cash flows. In this case, it is necessary to choose a project that will create a positive value and rather high returns.</w:t>
      </w:r>
    </w:p>
    <w:p w14:paraId="21A61583" w14:textId="77777777" w:rsidR="00BC687C" w:rsidRPr="00E745B3" w:rsidRDefault="00E745B3" w:rsidP="00E745B3">
      <w:pPr>
        <w:pStyle w:val="NormalWeb"/>
        <w:spacing w:line="360" w:lineRule="auto"/>
        <w:jc w:val="both"/>
      </w:pPr>
      <w:r w:rsidRPr="00E745B3">
        <w:t>Project C suits these requirements best since it has the best NPV, reasonable IRR and minimized payback period. Conversely, Projects A and B would only add to Tesla monetary problems by investing in value killing ventures.</w:t>
      </w:r>
    </w:p>
    <w:p w14:paraId="7B93F6F6" w14:textId="77777777" w:rsidR="00BC687C" w:rsidRPr="00E745B3" w:rsidRDefault="00E745B3" w:rsidP="00E745B3">
      <w:pPr>
        <w:pStyle w:val="NormalWeb"/>
        <w:spacing w:line="360" w:lineRule="auto"/>
        <w:jc w:val="both"/>
      </w:pPr>
      <w:r w:rsidRPr="00E745B3">
        <w:t>Moreover, the better cash flow status of Project C justifies a better liquidity position and financial flexibility of Tesla, as indicated in the working capital analysis.</w:t>
      </w:r>
    </w:p>
    <w:p w14:paraId="76763A4B" w14:textId="77777777" w:rsidR="00BC687C" w:rsidRPr="00E745B3" w:rsidRDefault="00E745B3" w:rsidP="00E745B3">
      <w:pPr>
        <w:spacing w:before="100" w:beforeAutospacing="1" w:after="100" w:afterAutospacing="1" w:line="360" w:lineRule="auto"/>
        <w:jc w:val="both"/>
        <w:outlineLvl w:val="1"/>
        <w:rPr>
          <w:rFonts w:ascii="Times New Roman" w:hAnsi="Times New Roman" w:cs="Times New Roman"/>
          <w:sz w:val="24"/>
          <w:szCs w:val="24"/>
        </w:rPr>
      </w:pPr>
      <w:bookmarkStart w:id="35" w:name="_Toc225448371"/>
      <w:r w:rsidRPr="00E745B3">
        <w:rPr>
          <w:rFonts w:ascii="Times New Roman" w:eastAsia="Times New Roman" w:hAnsi="Times New Roman" w:cs="Times New Roman"/>
          <w:b/>
          <w:bCs/>
          <w:sz w:val="24"/>
          <w:szCs w:val="24"/>
        </w:rPr>
        <w:t>5.9 Non-Financial Considerations</w:t>
      </w:r>
      <w:bookmarkEnd w:id="35"/>
    </w:p>
    <w:p w14:paraId="30A74410" w14:textId="77777777" w:rsidR="00BC687C" w:rsidRPr="00E745B3" w:rsidRDefault="00E745B3" w:rsidP="00E745B3">
      <w:pPr>
        <w:pStyle w:val="NormalWeb"/>
        <w:spacing w:line="360" w:lineRule="auto"/>
        <w:jc w:val="both"/>
      </w:pPr>
      <w:r w:rsidRPr="00E745B3">
        <w:t>Besides financial analysis, Tesla should take into consideration a number of non-financial aspects to make the final choice.</w:t>
      </w:r>
    </w:p>
    <w:p w14:paraId="1BEAD42F" w14:textId="77777777" w:rsidR="00BC687C" w:rsidRPr="00E745B3" w:rsidRDefault="00E745B3" w:rsidP="00E745B3">
      <w:pPr>
        <w:pStyle w:val="NormalWeb"/>
        <w:spacing w:line="360" w:lineRule="auto"/>
        <w:jc w:val="both"/>
      </w:pPr>
      <w:r w:rsidRPr="00E745B3">
        <w:t>To start with, there is Technological risk, which is important in case Project C touches upon battery or energy innovation. Although they can be high, implementation and acceptance to the market are uncertain.</w:t>
      </w:r>
    </w:p>
    <w:p w14:paraId="1ADAD5A9" w14:textId="77777777" w:rsidR="00BC687C" w:rsidRPr="00E745B3" w:rsidRDefault="00E745B3" w:rsidP="00E745B3">
      <w:pPr>
        <w:pStyle w:val="NormalWeb"/>
        <w:spacing w:line="360" w:lineRule="auto"/>
        <w:jc w:val="both"/>
      </w:pPr>
      <w:r w:rsidRPr="00E745B3">
        <w:t>The competition and market demand are also vital. Tesla needs to invest in accordance with shifting customer demands and tastes to make the EV industry increasingly competitive.</w:t>
      </w:r>
    </w:p>
    <w:p w14:paraId="58436BEA" w14:textId="77777777" w:rsidR="00BC687C" w:rsidRPr="00E745B3" w:rsidRDefault="00E745B3" w:rsidP="00E745B3">
      <w:pPr>
        <w:pStyle w:val="NormalWeb"/>
        <w:spacing w:line="360" w:lineRule="auto"/>
        <w:jc w:val="both"/>
      </w:pPr>
      <w:r w:rsidRPr="00E745B3">
        <w:t>Additional factors that affect outcomes are regulatory and environmental. The success of a project in energy and automotive industries can be influenced by sustainability expectations and policies of government.</w:t>
      </w:r>
    </w:p>
    <w:p w14:paraId="2D8FE0B4" w14:textId="77777777" w:rsidR="00BC687C" w:rsidRPr="00E745B3" w:rsidRDefault="00E745B3" w:rsidP="00E745B3">
      <w:pPr>
        <w:pStyle w:val="NormalWeb"/>
        <w:spacing w:line="360" w:lineRule="auto"/>
        <w:jc w:val="both"/>
      </w:pPr>
      <w:r w:rsidRPr="00E745B3">
        <w:t>And finally, the customer loyalty and brand image should be maintained. Long-term strategic value of investments that enhance the reputation of Tesla as an innovative and sustainable company will have more value than a short-term payoff.</w:t>
      </w:r>
    </w:p>
    <w:p w14:paraId="03AC1410" w14:textId="77777777" w:rsidR="00BC687C" w:rsidRPr="00C56FE3" w:rsidRDefault="00E745B3" w:rsidP="00C56FE3">
      <w:pPr>
        <w:spacing w:before="100" w:beforeAutospacing="1" w:after="100" w:afterAutospacing="1" w:line="360" w:lineRule="auto"/>
        <w:jc w:val="both"/>
        <w:outlineLvl w:val="1"/>
        <w:rPr>
          <w:rFonts w:ascii="Times New Roman" w:eastAsia="Times New Roman" w:hAnsi="Times New Roman" w:cs="Times New Roman"/>
          <w:b/>
          <w:bCs/>
          <w:sz w:val="24"/>
          <w:szCs w:val="24"/>
        </w:rPr>
      </w:pPr>
      <w:bookmarkStart w:id="36" w:name="_Toc225431330"/>
      <w:bookmarkStart w:id="37" w:name="_Toc225448372"/>
      <w:r w:rsidRPr="00C56FE3">
        <w:rPr>
          <w:rFonts w:ascii="Times New Roman" w:eastAsia="Times New Roman" w:hAnsi="Times New Roman" w:cs="Times New Roman"/>
          <w:b/>
          <w:bCs/>
          <w:sz w:val="24"/>
          <w:szCs w:val="24"/>
        </w:rPr>
        <w:t>5.10 Final Recommendation</w:t>
      </w:r>
      <w:bookmarkEnd w:id="36"/>
      <w:bookmarkEnd w:id="37"/>
    </w:p>
    <w:p w14:paraId="7B8A65E7" w14:textId="77777777" w:rsidR="00BC687C" w:rsidRPr="00E745B3" w:rsidRDefault="00E745B3" w:rsidP="00E745B3">
      <w:pPr>
        <w:pStyle w:val="NormalWeb"/>
        <w:spacing w:line="360" w:lineRule="auto"/>
        <w:jc w:val="both"/>
      </w:pPr>
      <w:r w:rsidRPr="00E745B3">
        <w:t xml:space="preserve">Based on comprehensive financial and strategic evaluation, it is recommended that </w:t>
      </w:r>
      <w:r w:rsidRPr="00E745B3">
        <w:rPr>
          <w:rStyle w:val="whitespace-normal"/>
        </w:rPr>
        <w:t>Tesla, Inc.</w:t>
      </w:r>
      <w:r w:rsidRPr="00E745B3">
        <w:t>:</w:t>
      </w:r>
    </w:p>
    <w:p w14:paraId="077442B0" w14:textId="77777777" w:rsidR="00BC687C" w:rsidRPr="00E745B3" w:rsidRDefault="00E745B3" w:rsidP="00E745B3">
      <w:pPr>
        <w:numPr>
          <w:ilvl w:val="0"/>
          <w:numId w:val="10"/>
        </w:numPr>
        <w:spacing w:before="100" w:beforeAutospacing="1" w:after="100" w:afterAutospacing="1" w:line="360" w:lineRule="auto"/>
        <w:jc w:val="both"/>
        <w:rPr>
          <w:rFonts w:ascii="Times New Roman" w:hAnsi="Times New Roman" w:cs="Times New Roman"/>
          <w:sz w:val="24"/>
          <w:szCs w:val="24"/>
        </w:rPr>
      </w:pPr>
      <w:r w:rsidRPr="00E745B3">
        <w:rPr>
          <w:rFonts w:ascii="Times New Roman" w:hAnsi="Times New Roman" w:cs="Times New Roman"/>
          <w:sz w:val="24"/>
          <w:szCs w:val="24"/>
        </w:rPr>
        <w:t xml:space="preserve">Accept </w:t>
      </w:r>
      <w:r w:rsidRPr="00E745B3">
        <w:rPr>
          <w:rStyle w:val="Strong"/>
          <w:rFonts w:ascii="Times New Roman" w:hAnsi="Times New Roman" w:cs="Times New Roman"/>
          <w:sz w:val="24"/>
          <w:szCs w:val="24"/>
        </w:rPr>
        <w:t>Project C</w:t>
      </w:r>
      <w:r w:rsidRPr="00E745B3">
        <w:rPr>
          <w:rFonts w:ascii="Times New Roman" w:hAnsi="Times New Roman" w:cs="Times New Roman"/>
          <w:sz w:val="24"/>
          <w:szCs w:val="24"/>
        </w:rPr>
        <w:t xml:space="preserve">, as it is the only project that generates a positive NPV and meets all financial criteria </w:t>
      </w:r>
    </w:p>
    <w:p w14:paraId="122EFF7B" w14:textId="77777777" w:rsidR="00BC687C" w:rsidRPr="00E745B3" w:rsidRDefault="00E745B3" w:rsidP="00E745B3">
      <w:pPr>
        <w:numPr>
          <w:ilvl w:val="0"/>
          <w:numId w:val="10"/>
        </w:numPr>
        <w:spacing w:before="100" w:beforeAutospacing="1" w:after="100" w:afterAutospacing="1" w:line="360" w:lineRule="auto"/>
        <w:jc w:val="both"/>
        <w:rPr>
          <w:rFonts w:ascii="Times New Roman" w:hAnsi="Times New Roman" w:cs="Times New Roman"/>
          <w:sz w:val="24"/>
          <w:szCs w:val="24"/>
        </w:rPr>
      </w:pPr>
      <w:r w:rsidRPr="00E745B3">
        <w:rPr>
          <w:rFonts w:ascii="Times New Roman" w:hAnsi="Times New Roman" w:cs="Times New Roman"/>
          <w:sz w:val="24"/>
          <w:szCs w:val="24"/>
        </w:rPr>
        <w:t xml:space="preserve">Reject Projects A and B, as they fail to create shareholder value </w:t>
      </w:r>
    </w:p>
    <w:p w14:paraId="300BC53C" w14:textId="77777777" w:rsidR="00BC687C" w:rsidRPr="00E745B3" w:rsidRDefault="00E745B3" w:rsidP="00E745B3">
      <w:pPr>
        <w:numPr>
          <w:ilvl w:val="0"/>
          <w:numId w:val="10"/>
        </w:numPr>
        <w:spacing w:before="100" w:beforeAutospacing="1" w:after="100" w:afterAutospacing="1" w:line="360" w:lineRule="auto"/>
        <w:jc w:val="both"/>
        <w:rPr>
          <w:rFonts w:ascii="Times New Roman" w:hAnsi="Times New Roman" w:cs="Times New Roman"/>
          <w:sz w:val="24"/>
          <w:szCs w:val="24"/>
        </w:rPr>
      </w:pPr>
      <w:r w:rsidRPr="00E745B3">
        <w:rPr>
          <w:rFonts w:ascii="Times New Roman" w:hAnsi="Times New Roman" w:cs="Times New Roman"/>
          <w:sz w:val="24"/>
          <w:szCs w:val="24"/>
        </w:rPr>
        <w:t xml:space="preserve">Avoid combining projects under capital rationing, as this leads to negative overall returns </w:t>
      </w:r>
    </w:p>
    <w:p w14:paraId="4E9A6770" w14:textId="77777777" w:rsidR="00BC687C" w:rsidRPr="00E745B3" w:rsidRDefault="00E745B3" w:rsidP="00E745B3">
      <w:pPr>
        <w:spacing w:line="360" w:lineRule="auto"/>
        <w:rPr>
          <w:rFonts w:ascii="Times New Roman" w:eastAsia="SimSun" w:hAnsi="Times New Roman" w:cs="Times New Roman"/>
          <w:color w:val="2F5496"/>
          <w:sz w:val="24"/>
          <w:szCs w:val="24"/>
        </w:rPr>
      </w:pPr>
      <w:bookmarkStart w:id="38" w:name="_Toc225431331"/>
      <w:r w:rsidRPr="00E745B3">
        <w:rPr>
          <w:rFonts w:ascii="Times New Roman" w:hAnsi="Times New Roman" w:cs="Times New Roman"/>
          <w:sz w:val="24"/>
          <w:szCs w:val="24"/>
        </w:rPr>
        <w:br w:type="page"/>
      </w:r>
    </w:p>
    <w:p w14:paraId="147F08F5" w14:textId="77777777" w:rsidR="00BC687C" w:rsidRPr="00E745B3" w:rsidRDefault="00E745B3" w:rsidP="00E745B3">
      <w:pPr>
        <w:pStyle w:val="Heading1"/>
        <w:spacing w:line="360" w:lineRule="auto"/>
        <w:jc w:val="both"/>
        <w:rPr>
          <w:rFonts w:ascii="Times New Roman" w:hAnsi="Times New Roman" w:cs="Times New Roman"/>
          <w:sz w:val="24"/>
          <w:szCs w:val="24"/>
        </w:rPr>
      </w:pPr>
      <w:bookmarkStart w:id="39" w:name="_Toc225448373"/>
      <w:r w:rsidRPr="00E745B3">
        <w:rPr>
          <w:rFonts w:ascii="Times New Roman" w:hAnsi="Times New Roman" w:cs="Times New Roman"/>
          <w:sz w:val="24"/>
          <w:szCs w:val="24"/>
        </w:rPr>
        <w:t>Conclusion</w:t>
      </w:r>
      <w:bookmarkEnd w:id="38"/>
      <w:bookmarkEnd w:id="39"/>
    </w:p>
    <w:p w14:paraId="68876D9A" w14:textId="77777777" w:rsidR="00BC687C" w:rsidRPr="00E745B3" w:rsidRDefault="00E745B3" w:rsidP="00E745B3">
      <w:pPr>
        <w:spacing w:line="360" w:lineRule="auto"/>
        <w:rPr>
          <w:rFonts w:ascii="Times New Roman" w:eastAsia="Times New Roman" w:hAnsi="Times New Roman" w:cs="Times New Roman"/>
          <w:sz w:val="24"/>
          <w:szCs w:val="24"/>
        </w:rPr>
      </w:pPr>
      <w:bookmarkStart w:id="40" w:name="_Toc225431332"/>
      <w:r w:rsidRPr="00E745B3">
        <w:rPr>
          <w:rFonts w:ascii="Times New Roman" w:eastAsia="Times New Roman" w:hAnsi="Times New Roman" w:cs="Times New Roman"/>
          <w:sz w:val="24"/>
          <w:szCs w:val="24"/>
        </w:rPr>
        <w:t>This report includes a financial analysis and strategic evaluation of Tesla, Inc. in terms of CFO. The financial analysis revealed major dynamics in the last five years: high revenue growth, deteriorating profitability, increasing costs and development of cash flow limitations. Liquidity and operational efficiency demonstrate strength, which is expressed in negative cash conversion cycle, but compression of the margin and rising costs are indicators of required intervention on strategic financial strategies.</w:t>
      </w:r>
    </w:p>
    <w:p w14:paraId="2E849B8A" w14:textId="77777777" w:rsidR="00BC687C" w:rsidRPr="00E745B3" w:rsidRDefault="00E745B3" w:rsidP="00E745B3">
      <w:pPr>
        <w:spacing w:line="360" w:lineRule="auto"/>
        <w:rPr>
          <w:rFonts w:ascii="Times New Roman" w:eastAsia="Times New Roman" w:hAnsi="Times New Roman" w:cs="Times New Roman"/>
          <w:sz w:val="24"/>
          <w:szCs w:val="24"/>
        </w:rPr>
      </w:pPr>
      <w:r w:rsidRPr="00E745B3">
        <w:rPr>
          <w:rFonts w:ascii="Times New Roman" w:eastAsia="Times New Roman" w:hAnsi="Times New Roman" w:cs="Times New Roman"/>
          <w:sz w:val="24"/>
          <w:szCs w:val="24"/>
        </w:rPr>
        <w:t>The working capital analysis indicates good liquidity management but the increases in inventory indicate that there could be inefficiencies that should be optimized. This highlights the need to balance between the growth in operations and financial rigidity.</w:t>
      </w:r>
    </w:p>
    <w:p w14:paraId="304FDADF" w14:textId="77777777" w:rsidR="00BC687C" w:rsidRPr="00E745B3" w:rsidRDefault="00E745B3" w:rsidP="00E745B3">
      <w:pPr>
        <w:spacing w:line="360" w:lineRule="auto"/>
        <w:rPr>
          <w:rFonts w:ascii="Times New Roman" w:eastAsia="Times New Roman" w:hAnsi="Times New Roman" w:cs="Times New Roman"/>
          <w:sz w:val="24"/>
          <w:szCs w:val="24"/>
        </w:rPr>
      </w:pPr>
      <w:r w:rsidRPr="00E745B3">
        <w:rPr>
          <w:rFonts w:ascii="Times New Roman" w:eastAsia="Times New Roman" w:hAnsi="Times New Roman" w:cs="Times New Roman"/>
          <w:sz w:val="24"/>
          <w:szCs w:val="24"/>
        </w:rPr>
        <w:t>In the light of these understanding, the strategic financial restructuring program that is offered is about minimizing costs, the possibility of changing the capital structure, and prioritizing the investment, changing Tesla into a profitability-oriented strategy, rather than an efficiency-oriented one, with sustainable generation of value. The methodology is also in line with the ESG considerations to serve the long-term interest of the stakeholders (Brealey, Myers, and Allen, 2020).</w:t>
      </w:r>
    </w:p>
    <w:p w14:paraId="028C5968" w14:textId="77777777" w:rsidR="00BC687C" w:rsidRPr="00E745B3" w:rsidRDefault="00E745B3" w:rsidP="00E745B3">
      <w:pPr>
        <w:spacing w:line="360" w:lineRule="auto"/>
        <w:rPr>
          <w:rFonts w:ascii="Times New Roman" w:eastAsia="Times New Roman" w:hAnsi="Times New Roman" w:cs="Times New Roman"/>
          <w:sz w:val="24"/>
          <w:szCs w:val="24"/>
        </w:rPr>
      </w:pPr>
      <w:r w:rsidRPr="00E745B3">
        <w:rPr>
          <w:rFonts w:ascii="Times New Roman" w:eastAsia="Times New Roman" w:hAnsi="Times New Roman" w:cs="Times New Roman"/>
          <w:sz w:val="24"/>
          <w:szCs w:val="24"/>
        </w:rPr>
        <w:t>The investment appraisal was an evaluation of three projects using various financial methods. Project C was the only investment that was value-creating thus positive NPV and valid IRR, whereas Projects A and B were not viable. In Capital rationing, Project C will be the only project to maximize shareholder value.</w:t>
      </w:r>
      <w:bookmarkEnd w:id="40"/>
    </w:p>
    <w:p w14:paraId="5D4EADB1" w14:textId="77777777" w:rsidR="00E745B3" w:rsidRDefault="00E745B3">
      <w:pPr>
        <w:rPr>
          <w:rFonts w:ascii="Times New Roman" w:eastAsia="SimSun" w:hAnsi="Times New Roman" w:cs="Times New Roman"/>
          <w:color w:val="2F5496"/>
          <w:sz w:val="24"/>
          <w:szCs w:val="24"/>
        </w:rPr>
      </w:pPr>
      <w:r>
        <w:rPr>
          <w:rFonts w:ascii="Times New Roman" w:hAnsi="Times New Roman" w:cs="Times New Roman"/>
          <w:sz w:val="24"/>
          <w:szCs w:val="24"/>
        </w:rPr>
        <w:br w:type="page"/>
      </w:r>
    </w:p>
    <w:p w14:paraId="2E6A4103" w14:textId="77777777" w:rsidR="00E745B3" w:rsidRPr="00E745B3" w:rsidRDefault="00E745B3" w:rsidP="00E745B3">
      <w:pPr>
        <w:pStyle w:val="Heading1"/>
        <w:spacing w:line="360" w:lineRule="auto"/>
        <w:jc w:val="both"/>
        <w:rPr>
          <w:rFonts w:ascii="Times New Roman" w:hAnsi="Times New Roman" w:cs="Times New Roman"/>
          <w:sz w:val="24"/>
          <w:szCs w:val="24"/>
        </w:rPr>
      </w:pPr>
      <w:bookmarkStart w:id="41" w:name="_Toc225448374"/>
      <w:r w:rsidRPr="00E745B3">
        <w:rPr>
          <w:rFonts w:ascii="Times New Roman" w:hAnsi="Times New Roman" w:cs="Times New Roman"/>
          <w:sz w:val="24"/>
          <w:szCs w:val="24"/>
        </w:rPr>
        <w:t>References</w:t>
      </w:r>
      <w:bookmarkEnd w:id="41"/>
      <w:r w:rsidRPr="00E745B3">
        <w:rPr>
          <w:rFonts w:ascii="Times New Roman" w:hAnsi="Times New Roman" w:cs="Times New Roman"/>
          <w:sz w:val="24"/>
          <w:szCs w:val="24"/>
        </w:rPr>
        <w:t xml:space="preserve"> </w:t>
      </w:r>
    </w:p>
    <w:p w14:paraId="3D4CD52D" w14:textId="77777777" w:rsidR="00E745B3" w:rsidRPr="00E745B3" w:rsidRDefault="00E745B3" w:rsidP="00E745B3">
      <w:pPr>
        <w:pStyle w:val="NormalWeb"/>
        <w:spacing w:line="360" w:lineRule="auto"/>
      </w:pPr>
      <w:r w:rsidRPr="00E745B3">
        <w:t xml:space="preserve">Tesla, Inc. (2020) </w:t>
      </w:r>
      <w:r w:rsidRPr="00E745B3">
        <w:rPr>
          <w:rStyle w:val="Emphasis"/>
          <w:rFonts w:eastAsia="SimSun"/>
        </w:rPr>
        <w:t>Annual Report 2020</w:t>
      </w:r>
      <w:r w:rsidRPr="00E745B3">
        <w:t xml:space="preserve">. Available at:   </w:t>
      </w:r>
      <w:hyperlink r:id="rId14" w:history="1">
        <w:r w:rsidRPr="00E745B3">
          <w:rPr>
            <w:rStyle w:val="Hyperlink"/>
          </w:rPr>
          <w:t>https://ir.tesla.com/_flysystem/s3/sec/000156459021004599/tsla-10k_20201231-gen.pdf</w:t>
        </w:r>
      </w:hyperlink>
      <w:r w:rsidRPr="00E745B3">
        <w:t xml:space="preserve"> </w:t>
      </w:r>
    </w:p>
    <w:p w14:paraId="479AE4F5" w14:textId="77777777" w:rsidR="00E745B3" w:rsidRPr="00E745B3" w:rsidRDefault="00E745B3" w:rsidP="00E745B3">
      <w:pPr>
        <w:pStyle w:val="NormalWeb"/>
        <w:spacing w:line="360" w:lineRule="auto"/>
      </w:pPr>
      <w:r w:rsidRPr="00E745B3">
        <w:t xml:space="preserve">Tesla, Inc. (2021) </w:t>
      </w:r>
      <w:r w:rsidRPr="00E745B3">
        <w:rPr>
          <w:rStyle w:val="Emphasis"/>
          <w:rFonts w:eastAsia="SimSun"/>
        </w:rPr>
        <w:t>Annual Report 2021</w:t>
      </w:r>
      <w:r w:rsidRPr="00E745B3">
        <w:t xml:space="preserve">. Available at: </w:t>
      </w:r>
      <w:hyperlink r:id="rId15" w:history="1">
        <w:r w:rsidRPr="00E745B3">
          <w:rPr>
            <w:rStyle w:val="Hyperlink"/>
          </w:rPr>
          <w:t>https://www.sec.gov/Archives/edgar/data/1318605/000095017022000796/tsla-20211231.htm</w:t>
        </w:r>
      </w:hyperlink>
      <w:r w:rsidRPr="00E745B3">
        <w:t xml:space="preserve"> </w:t>
      </w:r>
    </w:p>
    <w:p w14:paraId="1C4E5B08" w14:textId="77777777" w:rsidR="00E745B3" w:rsidRPr="00E745B3" w:rsidRDefault="00E745B3" w:rsidP="00E745B3">
      <w:pPr>
        <w:pStyle w:val="NormalWeb"/>
        <w:spacing w:line="360" w:lineRule="auto"/>
      </w:pPr>
      <w:r w:rsidRPr="00E745B3">
        <w:t xml:space="preserve">Tesla, Inc. (2022) </w:t>
      </w:r>
      <w:r w:rsidRPr="00E745B3">
        <w:rPr>
          <w:rStyle w:val="Emphasis"/>
          <w:rFonts w:eastAsia="SimSun"/>
        </w:rPr>
        <w:t>Annual Report 2022</w:t>
      </w:r>
      <w:r w:rsidRPr="00E745B3">
        <w:t xml:space="preserve">. Available at: </w:t>
      </w:r>
      <w:hyperlink r:id="rId16" w:history="1">
        <w:r w:rsidRPr="00E745B3">
          <w:rPr>
            <w:rStyle w:val="Hyperlink"/>
          </w:rPr>
          <w:t>https://ir.tesla.com/_flysystem/s3/sec/000095017023001409/tsla-20221231-gen.pdf</w:t>
        </w:r>
      </w:hyperlink>
      <w:r w:rsidRPr="00E745B3">
        <w:t xml:space="preserve"> </w:t>
      </w:r>
    </w:p>
    <w:p w14:paraId="0506F516" w14:textId="77777777" w:rsidR="00E745B3" w:rsidRPr="00E745B3" w:rsidRDefault="00E745B3" w:rsidP="00E745B3">
      <w:pPr>
        <w:pStyle w:val="NormalWeb"/>
        <w:spacing w:line="360" w:lineRule="auto"/>
      </w:pPr>
      <w:r w:rsidRPr="00E745B3">
        <w:t xml:space="preserve">Tesla, Inc. (2023) </w:t>
      </w:r>
      <w:r w:rsidRPr="00E745B3">
        <w:rPr>
          <w:rStyle w:val="Emphasis"/>
          <w:rFonts w:eastAsia="SimSun"/>
        </w:rPr>
        <w:t>Annual Report 2023</w:t>
      </w:r>
      <w:r w:rsidRPr="00E745B3">
        <w:t xml:space="preserve">. Available at: </w:t>
      </w:r>
      <w:hyperlink r:id="rId17" w:history="1">
        <w:r w:rsidRPr="00E745B3">
          <w:rPr>
            <w:rStyle w:val="Hyperlink"/>
          </w:rPr>
          <w:t>https://ir.tesla.com/_flysystem/s3/sec/000162828024002390/tsla-20231231-gen.pdf</w:t>
        </w:r>
      </w:hyperlink>
    </w:p>
    <w:p w14:paraId="76F502CA" w14:textId="77777777" w:rsidR="00E745B3" w:rsidRPr="00E745B3" w:rsidRDefault="00E745B3" w:rsidP="00E745B3">
      <w:pPr>
        <w:pStyle w:val="NormalWeb"/>
        <w:spacing w:line="360" w:lineRule="auto"/>
      </w:pPr>
      <w:r w:rsidRPr="00E745B3">
        <w:t xml:space="preserve">Tesla, Inc. (2024) </w:t>
      </w:r>
      <w:r w:rsidRPr="00E745B3">
        <w:rPr>
          <w:rStyle w:val="Emphasis"/>
          <w:rFonts w:eastAsia="SimSun"/>
        </w:rPr>
        <w:t>Annual Report 2024</w:t>
      </w:r>
      <w:r w:rsidRPr="00E745B3">
        <w:t xml:space="preserve">. Available at: </w:t>
      </w:r>
      <w:hyperlink r:id="rId18" w:history="1">
        <w:r w:rsidRPr="00E745B3">
          <w:rPr>
            <w:rStyle w:val="Hyperlink"/>
          </w:rPr>
          <w:t>https://ir.tesla.com/_flysystem/s3/sec/000162828025003063/tsla-20241231-gen.pdf</w:t>
        </w:r>
      </w:hyperlink>
      <w:r w:rsidRPr="00E745B3">
        <w:t xml:space="preserve"> </w:t>
      </w:r>
    </w:p>
    <w:p w14:paraId="3078E942" w14:textId="77777777" w:rsidR="00E745B3" w:rsidRPr="00E745B3" w:rsidRDefault="00E745B3" w:rsidP="00E745B3">
      <w:pPr>
        <w:pStyle w:val="NormalWeb"/>
        <w:spacing w:line="360" w:lineRule="auto"/>
        <w:jc w:val="both"/>
      </w:pPr>
      <w:r w:rsidRPr="00E745B3">
        <w:rPr>
          <w:rStyle w:val="whitespace-normal"/>
        </w:rPr>
        <w:t>Brealey, Myers and Allen</w:t>
      </w:r>
      <w:r w:rsidRPr="00E745B3">
        <w:t xml:space="preserve"> (2020) </w:t>
      </w:r>
      <w:r w:rsidRPr="00E745B3">
        <w:rPr>
          <w:rStyle w:val="Emphasis"/>
          <w:rFonts w:eastAsia="SimSun"/>
        </w:rPr>
        <w:t>Principles of Corporate Finance</w:t>
      </w:r>
      <w:r w:rsidRPr="00E745B3">
        <w:t>. 13th edn. New York: McGraw-Hill.</w:t>
      </w:r>
    </w:p>
    <w:p w14:paraId="299955C8" w14:textId="77777777" w:rsidR="00E745B3" w:rsidRPr="00E745B3" w:rsidRDefault="00E745B3" w:rsidP="00E745B3">
      <w:pPr>
        <w:pStyle w:val="NormalWeb"/>
        <w:spacing w:line="360" w:lineRule="auto"/>
        <w:jc w:val="both"/>
      </w:pPr>
      <w:r w:rsidRPr="00E745B3">
        <w:rPr>
          <w:rStyle w:val="whitespace-normal"/>
        </w:rPr>
        <w:t>Atrill and McLaney</w:t>
      </w:r>
      <w:r w:rsidRPr="00E745B3">
        <w:t xml:space="preserve"> (2019) </w:t>
      </w:r>
      <w:r w:rsidRPr="00E745B3">
        <w:rPr>
          <w:rStyle w:val="Emphasis"/>
          <w:rFonts w:eastAsia="SimSun"/>
        </w:rPr>
        <w:t>Accounting and Finance for Non-Specialists</w:t>
      </w:r>
      <w:r w:rsidRPr="00E745B3">
        <w:t>. 11th edn. Harlow: Pearson.</w:t>
      </w:r>
    </w:p>
    <w:p w14:paraId="7A7C9419" w14:textId="77777777" w:rsidR="00E745B3" w:rsidRPr="00E745B3" w:rsidRDefault="00E745B3" w:rsidP="00E745B3">
      <w:pPr>
        <w:pStyle w:val="NormalWeb"/>
        <w:spacing w:line="360" w:lineRule="auto"/>
        <w:jc w:val="both"/>
      </w:pPr>
      <w:r w:rsidRPr="00E745B3">
        <w:rPr>
          <w:rStyle w:val="whitespace-normal"/>
        </w:rPr>
        <w:t>Brigham and Ehrhardt</w:t>
      </w:r>
      <w:r w:rsidRPr="00E745B3">
        <w:t xml:space="preserve"> (2021) </w:t>
      </w:r>
      <w:r w:rsidRPr="00E745B3">
        <w:rPr>
          <w:rStyle w:val="Emphasis"/>
          <w:rFonts w:eastAsia="SimSun"/>
        </w:rPr>
        <w:t>Financial Management: Theory and Practice</w:t>
      </w:r>
      <w:r w:rsidRPr="00E745B3">
        <w:t>. 16th edn. Boston: Cengage.</w:t>
      </w:r>
    </w:p>
    <w:p w14:paraId="184A7700" w14:textId="77777777" w:rsidR="00E745B3" w:rsidRPr="00E745B3" w:rsidRDefault="00E745B3" w:rsidP="00E745B3">
      <w:pPr>
        <w:pStyle w:val="NormalWeb"/>
        <w:spacing w:line="360" w:lineRule="auto"/>
        <w:jc w:val="both"/>
      </w:pPr>
      <w:r w:rsidRPr="00E745B3">
        <w:rPr>
          <w:rStyle w:val="whitespace-normal"/>
        </w:rPr>
        <w:t>International Monetary Fund</w:t>
      </w:r>
      <w:r w:rsidRPr="00E745B3">
        <w:t xml:space="preserve"> (2024) </w:t>
      </w:r>
      <w:r w:rsidRPr="00E745B3">
        <w:rPr>
          <w:rStyle w:val="Emphasis"/>
          <w:rFonts w:eastAsia="SimSun"/>
        </w:rPr>
        <w:t>World Economic Outlook</w:t>
      </w:r>
      <w:r w:rsidRPr="00E745B3">
        <w:t xml:space="preserve">. Available at: </w:t>
      </w:r>
      <w:hyperlink r:id="rId19" w:history="1">
        <w:r w:rsidRPr="00E745B3">
          <w:rPr>
            <w:rStyle w:val="Hyperlink"/>
          </w:rPr>
          <w:t>https://www.imf.org/en/publications/weo</w:t>
        </w:r>
      </w:hyperlink>
    </w:p>
    <w:p w14:paraId="7BC3EE79" w14:textId="77777777" w:rsidR="00E745B3" w:rsidRPr="00E745B3" w:rsidRDefault="00E745B3" w:rsidP="00E745B3">
      <w:pPr>
        <w:pStyle w:val="NormalWeb"/>
        <w:spacing w:line="360" w:lineRule="auto"/>
        <w:jc w:val="both"/>
      </w:pPr>
      <w:r w:rsidRPr="00E745B3">
        <w:rPr>
          <w:rStyle w:val="whitespace-normal"/>
        </w:rPr>
        <w:t>World Bank</w:t>
      </w:r>
      <w:r w:rsidRPr="00E745B3">
        <w:t xml:space="preserve"> (2024) </w:t>
      </w:r>
      <w:r w:rsidRPr="00E745B3">
        <w:rPr>
          <w:rStyle w:val="Emphasis"/>
          <w:rFonts w:eastAsia="SimSun"/>
        </w:rPr>
        <w:t>Global Economic Prospects</w:t>
      </w:r>
      <w:r w:rsidRPr="00E745B3">
        <w:t xml:space="preserve">. Available at: </w:t>
      </w:r>
      <w:hyperlink r:id="rId20" w:history="1">
        <w:r w:rsidRPr="00E745B3">
          <w:rPr>
            <w:rStyle w:val="Hyperlink"/>
          </w:rPr>
          <w:t>https://www.worldbank.org/en/publication/global-economic-prospects</w:t>
        </w:r>
      </w:hyperlink>
    </w:p>
    <w:p w14:paraId="26A08FFE" w14:textId="77777777" w:rsidR="00E745B3" w:rsidRPr="00E745B3" w:rsidRDefault="00E745B3" w:rsidP="00E745B3">
      <w:pPr>
        <w:pStyle w:val="NormalWeb"/>
        <w:spacing w:line="360" w:lineRule="auto"/>
        <w:jc w:val="both"/>
      </w:pPr>
      <w:r w:rsidRPr="00E745B3">
        <w:rPr>
          <w:rStyle w:val="whitespace-normal"/>
        </w:rPr>
        <w:t>International Energy Agency</w:t>
      </w:r>
      <w:r w:rsidRPr="00E745B3">
        <w:t xml:space="preserve"> (2024) </w:t>
      </w:r>
      <w:r w:rsidRPr="00E745B3">
        <w:rPr>
          <w:rStyle w:val="Emphasis"/>
          <w:rFonts w:eastAsia="SimSun"/>
        </w:rPr>
        <w:t>Global EV Outlook</w:t>
      </w:r>
      <w:r w:rsidRPr="00E745B3">
        <w:t xml:space="preserve">. Available at: </w:t>
      </w:r>
      <w:hyperlink r:id="rId21" w:tgtFrame="_new" w:history="1">
        <w:r w:rsidRPr="00E745B3">
          <w:rPr>
            <w:rStyle w:val="Hyperlink"/>
            <w:rFonts w:eastAsiaTheme="majorEastAsia"/>
          </w:rPr>
          <w:t>https://www.iea.org</w:t>
        </w:r>
      </w:hyperlink>
    </w:p>
    <w:p w14:paraId="78C0DCCF" w14:textId="77777777" w:rsidR="00E745B3" w:rsidRPr="00E745B3" w:rsidRDefault="00E745B3" w:rsidP="00E745B3">
      <w:pPr>
        <w:pStyle w:val="NormalWeb"/>
        <w:spacing w:line="360" w:lineRule="auto"/>
        <w:jc w:val="both"/>
      </w:pPr>
      <w:r w:rsidRPr="00E745B3">
        <w:rPr>
          <w:rStyle w:val="whitespace-normal"/>
        </w:rPr>
        <w:t>OECD</w:t>
      </w:r>
      <w:r w:rsidRPr="00E745B3">
        <w:t xml:space="preserve"> (2023) </w:t>
      </w:r>
      <w:r w:rsidRPr="00E745B3">
        <w:rPr>
          <w:rStyle w:val="Emphasis"/>
          <w:rFonts w:eastAsia="SimSun"/>
        </w:rPr>
        <w:t>Economic Outlook</w:t>
      </w:r>
      <w:r w:rsidRPr="00E745B3">
        <w:t xml:space="preserve">. Available at: </w:t>
      </w:r>
      <w:hyperlink r:id="rId22" w:tgtFrame="_new" w:history="1">
        <w:r w:rsidRPr="00E745B3">
          <w:rPr>
            <w:rStyle w:val="Hyperlink"/>
            <w:rFonts w:eastAsiaTheme="majorEastAsia"/>
          </w:rPr>
          <w:t>https://www.oecd.org</w:t>
        </w:r>
      </w:hyperlink>
    </w:p>
    <w:p w14:paraId="19E3F3BA" w14:textId="77777777" w:rsidR="00E745B3" w:rsidRPr="00E745B3" w:rsidRDefault="00E745B3" w:rsidP="00E745B3">
      <w:pPr>
        <w:pStyle w:val="NormalWeb"/>
        <w:spacing w:line="360" w:lineRule="auto"/>
        <w:jc w:val="both"/>
      </w:pPr>
      <w:r w:rsidRPr="00E745B3">
        <w:rPr>
          <w:rStyle w:val="whitespace-normal"/>
        </w:rPr>
        <w:t>Financial Times</w:t>
      </w:r>
      <w:r w:rsidRPr="00E745B3">
        <w:t xml:space="preserve"> (2024) Tesla financial performance analysis. Available at: </w:t>
      </w:r>
      <w:hyperlink r:id="rId23" w:tgtFrame="_new" w:history="1">
        <w:r w:rsidRPr="00E745B3">
          <w:rPr>
            <w:rStyle w:val="Hyperlink"/>
            <w:rFonts w:eastAsiaTheme="majorEastAsia"/>
          </w:rPr>
          <w:t>https://www.ft.com</w:t>
        </w:r>
      </w:hyperlink>
    </w:p>
    <w:p w14:paraId="5909EA3B" w14:textId="77777777" w:rsidR="00E745B3" w:rsidRPr="00E745B3" w:rsidRDefault="00E745B3" w:rsidP="00E745B3">
      <w:pPr>
        <w:pStyle w:val="NormalWeb"/>
        <w:spacing w:line="360" w:lineRule="auto"/>
        <w:jc w:val="both"/>
      </w:pPr>
      <w:r w:rsidRPr="00E745B3">
        <w:rPr>
          <w:rStyle w:val="whitespace-normal"/>
        </w:rPr>
        <w:t>Bloomberg</w:t>
      </w:r>
      <w:r w:rsidRPr="00E745B3">
        <w:t xml:space="preserve"> (2024) Tesla profitability and cost analysis. Available at: </w:t>
      </w:r>
      <w:hyperlink r:id="rId24" w:tgtFrame="_new" w:history="1">
        <w:r w:rsidRPr="00E745B3">
          <w:rPr>
            <w:rStyle w:val="Hyperlink"/>
            <w:rFonts w:eastAsiaTheme="majorEastAsia"/>
          </w:rPr>
          <w:t>https://www.bloomberg.com</w:t>
        </w:r>
      </w:hyperlink>
    </w:p>
    <w:p w14:paraId="6C6BB418" w14:textId="77777777" w:rsidR="00E745B3" w:rsidRPr="00E745B3" w:rsidRDefault="00E745B3" w:rsidP="00E745B3">
      <w:pPr>
        <w:pStyle w:val="NormalWeb"/>
        <w:spacing w:line="360" w:lineRule="auto"/>
        <w:jc w:val="both"/>
      </w:pPr>
      <w:r w:rsidRPr="00E745B3">
        <w:rPr>
          <w:rStyle w:val="whitespace-normal"/>
        </w:rPr>
        <w:t>McKinsey &amp; Company</w:t>
      </w:r>
      <w:r w:rsidRPr="00E745B3">
        <w:t xml:space="preserve"> (2023) </w:t>
      </w:r>
      <w:r w:rsidRPr="00E745B3">
        <w:rPr>
          <w:rStyle w:val="Emphasis"/>
          <w:rFonts w:eastAsia="SimSun"/>
        </w:rPr>
        <w:t>The Future of Electric Vehicles</w:t>
      </w:r>
      <w:r w:rsidRPr="00E745B3">
        <w:t xml:space="preserve">. Available at: </w:t>
      </w:r>
      <w:hyperlink r:id="rId25" w:tgtFrame="_new" w:history="1">
        <w:r w:rsidRPr="00E745B3">
          <w:rPr>
            <w:rStyle w:val="Hyperlink"/>
            <w:rFonts w:eastAsiaTheme="majorEastAsia"/>
          </w:rPr>
          <w:t>https://www.mckinsey.com</w:t>
        </w:r>
      </w:hyperlink>
    </w:p>
    <w:p w14:paraId="7AE8F4AD" w14:textId="77777777" w:rsidR="00E745B3" w:rsidRPr="00E745B3" w:rsidRDefault="00E745B3" w:rsidP="00E745B3">
      <w:pPr>
        <w:pStyle w:val="NormalWeb"/>
        <w:spacing w:line="360" w:lineRule="auto"/>
        <w:jc w:val="both"/>
      </w:pPr>
      <w:r w:rsidRPr="00E745B3">
        <w:rPr>
          <w:rStyle w:val="whitespace-normal"/>
        </w:rPr>
        <w:t>Deloitte</w:t>
      </w:r>
      <w:r w:rsidRPr="00E745B3">
        <w:t xml:space="preserve"> (2024) </w:t>
      </w:r>
      <w:r w:rsidRPr="00E745B3">
        <w:rPr>
          <w:rStyle w:val="Emphasis"/>
          <w:rFonts w:eastAsia="SimSun"/>
        </w:rPr>
        <w:t>Automotive Industry Outlook</w:t>
      </w:r>
      <w:r w:rsidRPr="00E745B3">
        <w:t xml:space="preserve">. Available at: </w:t>
      </w:r>
      <w:hyperlink r:id="rId26" w:tgtFrame="_new" w:history="1">
        <w:r w:rsidRPr="00E745B3">
          <w:rPr>
            <w:rStyle w:val="Hyperlink"/>
            <w:rFonts w:eastAsiaTheme="majorEastAsia"/>
          </w:rPr>
          <w:t>https://www.deloitte.com</w:t>
        </w:r>
      </w:hyperlink>
    </w:p>
    <w:p w14:paraId="55FF89B5" w14:textId="77777777" w:rsidR="00E745B3" w:rsidRDefault="00E745B3">
      <w:pPr>
        <w:rPr>
          <w:rFonts w:ascii="Times New Roman" w:eastAsia="SimSun" w:hAnsi="Times New Roman" w:cs="Times New Roman"/>
          <w:color w:val="2F5496"/>
          <w:sz w:val="20"/>
          <w:szCs w:val="20"/>
        </w:rPr>
      </w:pPr>
    </w:p>
    <w:sectPr w:rsidR="00E745B3">
      <w:pgSz w:w="12240" w:h="15840"/>
      <w:pgMar w:top="1440" w:right="1080" w:bottom="1440" w:left="108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9D73E6" w14:textId="77777777" w:rsidR="005539D8" w:rsidRDefault="005539D8" w:rsidP="00D52570">
      <w:pPr>
        <w:spacing w:after="0" w:line="240" w:lineRule="auto"/>
      </w:pPr>
      <w:r>
        <w:separator/>
      </w:r>
    </w:p>
  </w:endnote>
  <w:endnote w:type="continuationSeparator" w:id="0">
    <w:p w14:paraId="1EA720AD" w14:textId="77777777" w:rsidR="005539D8" w:rsidRDefault="005539D8" w:rsidP="00D525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8B6516" w14:textId="77777777" w:rsidR="005539D8" w:rsidRDefault="005539D8" w:rsidP="00D52570">
      <w:pPr>
        <w:spacing w:after="0" w:line="240" w:lineRule="auto"/>
      </w:pPr>
      <w:r>
        <w:separator/>
      </w:r>
    </w:p>
  </w:footnote>
  <w:footnote w:type="continuationSeparator" w:id="0">
    <w:p w14:paraId="7B51D220" w14:textId="77777777" w:rsidR="005539D8" w:rsidRDefault="005539D8" w:rsidP="00D525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CA361F2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2"/>
    <w:multiLevelType w:val="multilevel"/>
    <w:tmpl w:val="2FE2744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multilevel"/>
    <w:tmpl w:val="134A496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00000004"/>
    <w:multiLevelType w:val="multilevel"/>
    <w:tmpl w:val="44445F8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05"/>
    <w:multiLevelType w:val="multilevel"/>
    <w:tmpl w:val="CA34D00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00000006"/>
    <w:multiLevelType w:val="multilevel"/>
    <w:tmpl w:val="908A7E3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7"/>
    <w:multiLevelType w:val="multilevel"/>
    <w:tmpl w:val="7396BD5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08"/>
    <w:multiLevelType w:val="multilevel"/>
    <w:tmpl w:val="5B7C03D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00000009"/>
    <w:multiLevelType w:val="multilevel"/>
    <w:tmpl w:val="8E7225F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53A05DE1"/>
    <w:multiLevelType w:val="multilevel"/>
    <w:tmpl w:val="592661E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16cid:durableId="1441488441">
    <w:abstractNumId w:val="1"/>
  </w:num>
  <w:num w:numId="2" w16cid:durableId="379717854">
    <w:abstractNumId w:val="3"/>
  </w:num>
  <w:num w:numId="3" w16cid:durableId="806435677">
    <w:abstractNumId w:val="0"/>
  </w:num>
  <w:num w:numId="4" w16cid:durableId="1364944534">
    <w:abstractNumId w:val="2"/>
  </w:num>
  <w:num w:numId="5" w16cid:durableId="1818254011">
    <w:abstractNumId w:val="4"/>
  </w:num>
  <w:num w:numId="6" w16cid:durableId="356466017">
    <w:abstractNumId w:val="6"/>
  </w:num>
  <w:num w:numId="7" w16cid:durableId="986711320">
    <w:abstractNumId w:val="9"/>
  </w:num>
  <w:num w:numId="8" w16cid:durableId="558134424">
    <w:abstractNumId w:val="7"/>
  </w:num>
  <w:num w:numId="9" w16cid:durableId="1356267593">
    <w:abstractNumId w:val="8"/>
  </w:num>
  <w:num w:numId="10" w16cid:durableId="11297866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687C"/>
    <w:rsid w:val="00094BDD"/>
    <w:rsid w:val="00284A48"/>
    <w:rsid w:val="003118F8"/>
    <w:rsid w:val="00346C88"/>
    <w:rsid w:val="005539D8"/>
    <w:rsid w:val="005844FF"/>
    <w:rsid w:val="00682D8D"/>
    <w:rsid w:val="007B0782"/>
    <w:rsid w:val="009765C4"/>
    <w:rsid w:val="009D2A0F"/>
    <w:rsid w:val="00BC687C"/>
    <w:rsid w:val="00C32366"/>
    <w:rsid w:val="00C56FE3"/>
    <w:rsid w:val="00D52570"/>
    <w:rsid w:val="00E745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F4709"/>
  <w15:docId w15:val="{19B08070-9D51-48F6-BF82-62F53DEAF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libri Light" w:eastAsia="SimSun" w:hAnsi="Calibri Light"/>
      <w:color w:val="2F5496"/>
      <w:sz w:val="32"/>
      <w:szCs w:val="32"/>
    </w:rPr>
  </w:style>
  <w:style w:type="paragraph" w:styleId="Heading2">
    <w:name w:val="heading 2"/>
    <w:basedOn w:val="Normal"/>
    <w:link w:val="Heading2Char"/>
    <w:uiPriority w:val="9"/>
    <w:qFormat/>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qFormat/>
    <w:pPr>
      <w:keepNext/>
      <w:keepLines/>
      <w:spacing w:before="40" w:after="0"/>
      <w:outlineLvl w:val="2"/>
    </w:pPr>
    <w:rPr>
      <w:rFonts w:ascii="Calibri Light" w:eastAsia="SimSu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imes New Roman" w:eastAsia="Times New Roman" w:hAnsi="Times New Roman" w:cs="Times New Roman"/>
      <w:b/>
      <w:bCs/>
      <w:sz w:val="36"/>
      <w:szCs w:val="36"/>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hitespace-normal">
    <w:name w:val="whitespace-normal"/>
    <w:basedOn w:val="DefaultParagraphFont"/>
  </w:style>
  <w:style w:type="character" w:customStyle="1" w:styleId="Heading1Char">
    <w:name w:val="Heading 1 Char"/>
    <w:basedOn w:val="DefaultParagraphFont"/>
    <w:link w:val="Heading1"/>
    <w:uiPriority w:val="9"/>
    <w:rPr>
      <w:rFonts w:ascii="Calibri Light" w:eastAsia="SimSun" w:hAnsi="Calibri Light" w:cs="SimSun"/>
      <w:color w:val="2F5496"/>
      <w:sz w:val="32"/>
      <w:szCs w:val="32"/>
    </w:rPr>
  </w:style>
  <w:style w:type="character" w:styleId="Strong">
    <w:name w:val="Strong"/>
    <w:basedOn w:val="DefaultParagraphFont"/>
    <w:uiPriority w:val="22"/>
    <w:qFormat/>
    <w:rPr>
      <w:b/>
      <w:bCs/>
    </w:rPr>
  </w:style>
  <w:style w:type="character" w:customStyle="1" w:styleId="Heading3Char">
    <w:name w:val="Heading 3 Char"/>
    <w:basedOn w:val="DefaultParagraphFont"/>
    <w:link w:val="Heading3"/>
    <w:uiPriority w:val="9"/>
    <w:rPr>
      <w:rFonts w:ascii="Calibri Light" w:eastAsia="SimSun" w:hAnsi="Calibri Light" w:cs="SimSun"/>
      <w:color w:val="1F3763"/>
      <w:sz w:val="24"/>
      <w:szCs w:val="24"/>
    </w:rPr>
  </w:style>
  <w:style w:type="character" w:customStyle="1" w:styleId="katex-mathml">
    <w:name w:val="katex-mathml"/>
    <w:basedOn w:val="DefaultParagraphFont"/>
  </w:style>
  <w:style w:type="character" w:customStyle="1" w:styleId="mord">
    <w:name w:val="mord"/>
    <w:basedOn w:val="DefaultParagraphFont"/>
  </w:style>
  <w:style w:type="character" w:customStyle="1" w:styleId="mrel">
    <w:name w:val="mrel"/>
    <w:basedOn w:val="DefaultParagraphFont"/>
  </w:style>
  <w:style w:type="character" w:customStyle="1" w:styleId="vlist-s">
    <w:name w:val="vlist-s"/>
    <w:basedOn w:val="DefaultParagraphFont"/>
  </w:style>
  <w:style w:type="character" w:customStyle="1" w:styleId="mbin">
    <w:name w:val="mbin"/>
    <w:basedOn w:val="DefaultParagraphFont"/>
  </w:style>
  <w:style w:type="character" w:styleId="Emphasis">
    <w:name w:val="Emphasis"/>
    <w:basedOn w:val="DefaultParagraphFont"/>
    <w:uiPriority w:val="20"/>
    <w:qFormat/>
    <w:rPr>
      <w:i/>
      <w:iCs/>
    </w:rPr>
  </w:style>
  <w:style w:type="character" w:styleId="Hyperlink">
    <w:name w:val="Hyperlink"/>
    <w:basedOn w:val="DefaultParagraphFont"/>
    <w:uiPriority w:val="99"/>
    <w:rPr>
      <w:color w:val="0000FF"/>
      <w:u w:val="single"/>
    </w:rPr>
  </w:style>
  <w:style w:type="paragraph" w:styleId="TOCHeading">
    <w:name w:val="TOC Heading"/>
    <w:basedOn w:val="Heading1"/>
    <w:next w:val="Normal"/>
    <w:uiPriority w:val="39"/>
    <w:qFormat/>
    <w:pPr>
      <w:outlineLvl w:val="9"/>
    </w:p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NoSpacing">
    <w:name w:val="No Spacing"/>
    <w:link w:val="NoSpacingChar"/>
    <w:uiPriority w:val="1"/>
    <w:qFormat/>
    <w:pPr>
      <w:spacing w:after="0" w:line="240" w:lineRule="auto"/>
    </w:pPr>
    <w:rPr>
      <w:rFonts w:eastAsia="SimSun"/>
    </w:rPr>
  </w:style>
  <w:style w:type="character" w:customStyle="1" w:styleId="NoSpacingChar">
    <w:name w:val="No Spacing Char"/>
    <w:basedOn w:val="DefaultParagraphFont"/>
    <w:link w:val="NoSpacing"/>
    <w:uiPriority w:val="1"/>
    <w:rPr>
      <w:rFonts w:eastAsia="SimSun"/>
    </w:rPr>
  </w:style>
  <w:style w:type="paragraph" w:styleId="Caption">
    <w:name w:val="caption"/>
    <w:basedOn w:val="Normal"/>
    <w:next w:val="Normal"/>
    <w:uiPriority w:val="35"/>
    <w:qFormat/>
    <w:pPr>
      <w:spacing w:after="200" w:line="240" w:lineRule="auto"/>
    </w:pPr>
    <w:rPr>
      <w:i/>
      <w:iCs/>
      <w:color w:val="44546A"/>
      <w:sz w:val="18"/>
      <w:szCs w:val="18"/>
    </w:rPr>
  </w:style>
  <w:style w:type="paragraph" w:styleId="Header">
    <w:name w:val="header"/>
    <w:basedOn w:val="Normal"/>
    <w:link w:val="HeaderChar"/>
    <w:uiPriority w:val="99"/>
    <w:unhideWhenUsed/>
    <w:rsid w:val="00D525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2570"/>
  </w:style>
  <w:style w:type="paragraph" w:styleId="Footer">
    <w:name w:val="footer"/>
    <w:basedOn w:val="Normal"/>
    <w:link w:val="FooterChar"/>
    <w:uiPriority w:val="99"/>
    <w:unhideWhenUsed/>
    <w:rsid w:val="00D525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25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ir.tesla.com/_flysystem/s3/sec/000162828025003063/tsla-20241231-gen.pdf" TargetMode="External" /><Relationship Id="rId26" Type="http://schemas.openxmlformats.org/officeDocument/2006/relationships/hyperlink" Target="https://www.deloitte.com" TargetMode="External" /><Relationship Id="rId3" Type="http://schemas.openxmlformats.org/officeDocument/2006/relationships/styles" Target="styles.xml" /><Relationship Id="rId21" Type="http://schemas.openxmlformats.org/officeDocument/2006/relationships/hyperlink" Target="https://www.iea.org"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ir.tesla.com/_flysystem/s3/sec/000162828024002390/tsla-20231231-gen.pdf" TargetMode="External" /><Relationship Id="rId25" Type="http://schemas.openxmlformats.org/officeDocument/2006/relationships/hyperlink" Target="https://www.mckinsey.com" TargetMode="External" /><Relationship Id="rId2" Type="http://schemas.openxmlformats.org/officeDocument/2006/relationships/numbering" Target="numbering.xml" /><Relationship Id="rId16" Type="http://schemas.openxmlformats.org/officeDocument/2006/relationships/hyperlink" Target="https://ir.tesla.com/_flysystem/s3/sec/000095017023001409/tsla-20221231-gen.pdf" TargetMode="External" /><Relationship Id="rId20" Type="http://schemas.openxmlformats.org/officeDocument/2006/relationships/hyperlink" Target="https://www.worldbank.org/en/publication/global-economic-prospects"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bloomberg.com" TargetMode="External" /><Relationship Id="rId5" Type="http://schemas.openxmlformats.org/officeDocument/2006/relationships/webSettings" Target="webSettings.xml" /><Relationship Id="rId15" Type="http://schemas.openxmlformats.org/officeDocument/2006/relationships/hyperlink" Target="https://www.sec.gov/Archives/edgar/data/1318605/000095017022000796/tsla-20211231.htm" TargetMode="External" /><Relationship Id="rId23" Type="http://schemas.openxmlformats.org/officeDocument/2006/relationships/hyperlink" Target="https://www.ft.com" TargetMode="External" /><Relationship Id="rId28"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hyperlink" Target="https://www.imf.org/en/publications/weo"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ir.tesla.com/_flysystem/s3/sec/000156459021004599/tsla-10k_20201231-gen.pdf" TargetMode="External" /><Relationship Id="rId22" Type="http://schemas.openxmlformats.org/officeDocument/2006/relationships/hyperlink" Target="https://www.oecd.org"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35EDFB-6EFF-4BD3-9865-8B6151F61E0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6252</Words>
  <Characters>35637</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Galaxy Computers</dc:creator>
  <cp:lastModifiedBy>Ram modhavadiya</cp:lastModifiedBy>
  <cp:revision>2</cp:revision>
  <dcterms:created xsi:type="dcterms:W3CDTF">2026-03-26T16:26:00Z</dcterms:created>
  <dcterms:modified xsi:type="dcterms:W3CDTF">2026-03-26T16:26:00Z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6aa8c325298145abbaf07cfba0a47d74</vt:lpwstr>
  </property>
</Properties>
</file>