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16F38" w:rsidRDefault="006F45F5">
      <w:pPr>
        <w:spacing w:after="1080"/>
      </w:pPr>
      <w:r>
        <w:rPr>
          <w:noProof/>
        </w:rPr>
        <w:drawing>
          <wp:inline distT="0" distB="0" distL="0" distR="0">
            <wp:extent cx="5474800" cy="1637665"/>
            <wp:effectExtent l="0" t="0" r="0" b="635"/>
            <wp:docPr id="3" name="Picture 3"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12471" cy="1648934"/>
                    </a:xfrm>
                    <a:prstGeom prst="rect">
                      <a:avLst/>
                    </a:prstGeom>
                    <a:noFill/>
                    <a:ln>
                      <a:noFill/>
                    </a:ln>
                  </pic:spPr>
                </pic:pic>
              </a:graphicData>
            </a:graphic>
          </wp:inline>
        </w:drawing>
      </w:r>
    </w:p>
    <w:p w:rsidR="00416F38" w:rsidRDefault="008555B8">
      <w:pPr>
        <w:spacing w:after="320"/>
        <w:jc w:val="center"/>
      </w:pPr>
      <w:r>
        <w:rPr>
          <w:b/>
        </w:rPr>
        <w:t>COMPONENT 2 | WRITTEN REPORT</w:t>
      </w:r>
    </w:p>
    <w:p w:rsidR="00416F38" w:rsidRPr="006F45F5" w:rsidRDefault="008555B8">
      <w:pPr>
        <w:pStyle w:val="Title"/>
        <w:rPr>
          <w:color w:val="0070C0"/>
        </w:rPr>
      </w:pPr>
      <w:r w:rsidRPr="006F45F5">
        <w:rPr>
          <w:rFonts w:ascii="Arial" w:hAnsi="Arial"/>
          <w:color w:val="0070C0"/>
        </w:rPr>
        <w:t>AUTOMOTIVE INDUSTRY</w:t>
      </w:r>
      <w:r w:rsidRPr="006F45F5">
        <w:rPr>
          <w:rFonts w:ascii="Arial" w:hAnsi="Arial"/>
          <w:color w:val="0070C0"/>
        </w:rPr>
        <w:br/>
        <w:t>TRENDS AND STRATEGY</w:t>
      </w:r>
    </w:p>
    <w:p w:rsidR="00416F38" w:rsidRDefault="008555B8">
      <w:pPr>
        <w:spacing w:after="680"/>
        <w:jc w:val="center"/>
      </w:pPr>
      <w:r>
        <w:rPr>
          <w:b/>
          <w:sz w:val="28"/>
        </w:rPr>
        <w:t>Strategy Formulation Plan for BMW Group</w:t>
      </w:r>
    </w:p>
    <w:tbl>
      <w:tblPr>
        <w:tblW w:w="9029" w:type="dxa"/>
        <w:tblLayout w:type="fixed"/>
        <w:tblLook w:val="04A0" w:firstRow="1" w:lastRow="0" w:firstColumn="1" w:lastColumn="0" w:noHBand="0" w:noVBand="1"/>
      </w:tblPr>
      <w:tblGrid>
        <w:gridCol w:w="2550"/>
        <w:gridCol w:w="6479"/>
      </w:tblGrid>
      <w:tr w:rsidR="00416F38">
        <w:trPr>
          <w:cantSplit/>
        </w:trPr>
        <w:tc>
          <w:tcPr>
            <w:tcW w:w="2550" w:type="dxa"/>
            <w:tcMar>
              <w:top w:w="90" w:type="dxa"/>
              <w:left w:w="100" w:type="dxa"/>
              <w:bottom w:w="90" w:type="dxa"/>
              <w:right w:w="100" w:type="dxa"/>
            </w:tcMar>
            <w:vAlign w:val="center"/>
          </w:tcPr>
          <w:p w:rsidR="00416F38" w:rsidRDefault="008555B8">
            <w:pPr>
              <w:spacing w:after="0"/>
            </w:pPr>
            <w:r>
              <w:rPr>
                <w:b/>
                <w:sz w:val="21"/>
              </w:rPr>
              <w:t>Student name</w:t>
            </w:r>
          </w:p>
        </w:tc>
        <w:tc>
          <w:tcPr>
            <w:tcW w:w="6479" w:type="dxa"/>
            <w:shd w:val="clear" w:color="auto" w:fill="F2F2F2"/>
            <w:tcMar>
              <w:top w:w="90" w:type="dxa"/>
              <w:left w:w="100" w:type="dxa"/>
              <w:bottom w:w="90" w:type="dxa"/>
              <w:right w:w="100" w:type="dxa"/>
            </w:tcMar>
            <w:vAlign w:val="center"/>
          </w:tcPr>
          <w:p w:rsidR="00416F38" w:rsidRDefault="005A7933">
            <w:pPr>
              <w:spacing w:after="0"/>
            </w:pPr>
            <w:r w:rsidRPr="005A7933">
              <w:t>Denisa Delia Gurau</w:t>
            </w:r>
          </w:p>
        </w:tc>
      </w:tr>
      <w:tr w:rsidR="00416F38">
        <w:trPr>
          <w:cantSplit/>
        </w:trPr>
        <w:tc>
          <w:tcPr>
            <w:tcW w:w="2550" w:type="dxa"/>
            <w:tcMar>
              <w:top w:w="90" w:type="dxa"/>
              <w:left w:w="100" w:type="dxa"/>
              <w:bottom w:w="90" w:type="dxa"/>
              <w:right w:w="100" w:type="dxa"/>
            </w:tcMar>
            <w:vAlign w:val="center"/>
          </w:tcPr>
          <w:p w:rsidR="00416F38" w:rsidRDefault="008555B8">
            <w:pPr>
              <w:spacing w:after="0"/>
            </w:pPr>
            <w:r>
              <w:rPr>
                <w:b/>
                <w:sz w:val="21"/>
              </w:rPr>
              <w:t>Student number</w:t>
            </w:r>
          </w:p>
        </w:tc>
        <w:tc>
          <w:tcPr>
            <w:tcW w:w="6479" w:type="dxa"/>
            <w:shd w:val="clear" w:color="auto" w:fill="F2F2F2"/>
            <w:tcMar>
              <w:top w:w="90" w:type="dxa"/>
              <w:left w:w="100" w:type="dxa"/>
              <w:bottom w:w="90" w:type="dxa"/>
              <w:right w:w="100" w:type="dxa"/>
            </w:tcMar>
            <w:vAlign w:val="center"/>
          </w:tcPr>
          <w:p w:rsidR="00416F38" w:rsidRDefault="005A7933">
            <w:pPr>
              <w:spacing w:after="0"/>
            </w:pPr>
            <w:r w:rsidRPr="005A7933">
              <w:t>2325349</w:t>
            </w:r>
          </w:p>
        </w:tc>
      </w:tr>
      <w:tr w:rsidR="00416F38">
        <w:trPr>
          <w:cantSplit/>
        </w:trPr>
        <w:tc>
          <w:tcPr>
            <w:tcW w:w="2550" w:type="dxa"/>
            <w:tcMar>
              <w:top w:w="90" w:type="dxa"/>
              <w:left w:w="100" w:type="dxa"/>
              <w:bottom w:w="90" w:type="dxa"/>
              <w:right w:w="100" w:type="dxa"/>
            </w:tcMar>
            <w:vAlign w:val="center"/>
          </w:tcPr>
          <w:p w:rsidR="00416F38" w:rsidRDefault="008555B8">
            <w:pPr>
              <w:spacing w:after="0"/>
            </w:pPr>
            <w:r>
              <w:rPr>
                <w:b/>
                <w:sz w:val="21"/>
              </w:rPr>
              <w:t>Programme</w:t>
            </w:r>
          </w:p>
        </w:tc>
        <w:tc>
          <w:tcPr>
            <w:tcW w:w="6479" w:type="dxa"/>
            <w:tcMar>
              <w:top w:w="90" w:type="dxa"/>
              <w:left w:w="100" w:type="dxa"/>
              <w:bottom w:w="90" w:type="dxa"/>
              <w:right w:w="100" w:type="dxa"/>
            </w:tcMar>
            <w:vAlign w:val="center"/>
          </w:tcPr>
          <w:p w:rsidR="00416F38" w:rsidRDefault="008555B8">
            <w:pPr>
              <w:spacing w:after="0"/>
            </w:pPr>
            <w:r>
              <w:rPr>
                <w:sz w:val="21"/>
              </w:rPr>
              <w:t>BA (Hons) Business Management</w:t>
            </w:r>
          </w:p>
        </w:tc>
      </w:tr>
      <w:tr w:rsidR="00416F38">
        <w:trPr>
          <w:cantSplit/>
        </w:trPr>
        <w:tc>
          <w:tcPr>
            <w:tcW w:w="2550" w:type="dxa"/>
            <w:tcMar>
              <w:top w:w="90" w:type="dxa"/>
              <w:left w:w="100" w:type="dxa"/>
              <w:bottom w:w="90" w:type="dxa"/>
              <w:right w:w="100" w:type="dxa"/>
            </w:tcMar>
            <w:vAlign w:val="center"/>
          </w:tcPr>
          <w:p w:rsidR="00416F38" w:rsidRDefault="008555B8">
            <w:pPr>
              <w:spacing w:after="0"/>
            </w:pPr>
            <w:r>
              <w:rPr>
                <w:b/>
                <w:sz w:val="21"/>
              </w:rPr>
              <w:t>Module</w:t>
            </w:r>
          </w:p>
        </w:tc>
        <w:tc>
          <w:tcPr>
            <w:tcW w:w="6479" w:type="dxa"/>
            <w:tcMar>
              <w:top w:w="90" w:type="dxa"/>
              <w:left w:w="100" w:type="dxa"/>
              <w:bottom w:w="90" w:type="dxa"/>
              <w:right w:w="100" w:type="dxa"/>
            </w:tcMar>
            <w:vAlign w:val="center"/>
          </w:tcPr>
          <w:p w:rsidR="00416F38" w:rsidRDefault="008555B8">
            <w:pPr>
              <w:spacing w:after="0"/>
            </w:pPr>
            <w:r>
              <w:rPr>
                <w:sz w:val="21"/>
              </w:rPr>
              <w:t>LCBB6015 Strategic Management and Sustainability</w:t>
            </w:r>
          </w:p>
        </w:tc>
      </w:tr>
      <w:tr w:rsidR="00416F38">
        <w:trPr>
          <w:cantSplit/>
        </w:trPr>
        <w:tc>
          <w:tcPr>
            <w:tcW w:w="2550" w:type="dxa"/>
            <w:tcMar>
              <w:top w:w="90" w:type="dxa"/>
              <w:left w:w="100" w:type="dxa"/>
              <w:bottom w:w="90" w:type="dxa"/>
              <w:right w:w="100" w:type="dxa"/>
            </w:tcMar>
            <w:vAlign w:val="center"/>
          </w:tcPr>
          <w:p w:rsidR="00416F38" w:rsidRDefault="008555B8">
            <w:pPr>
              <w:spacing w:after="0"/>
            </w:pPr>
            <w:r>
              <w:rPr>
                <w:b/>
                <w:sz w:val="21"/>
              </w:rPr>
              <w:t>Lecturer</w:t>
            </w:r>
          </w:p>
        </w:tc>
        <w:tc>
          <w:tcPr>
            <w:tcW w:w="6479" w:type="dxa"/>
            <w:tcMar>
              <w:top w:w="90" w:type="dxa"/>
              <w:left w:w="100" w:type="dxa"/>
              <w:bottom w:w="90" w:type="dxa"/>
              <w:right w:w="100" w:type="dxa"/>
            </w:tcMar>
            <w:vAlign w:val="center"/>
          </w:tcPr>
          <w:p w:rsidR="00416F38" w:rsidRDefault="00696812">
            <w:pPr>
              <w:spacing w:after="0"/>
            </w:pPr>
            <w:r>
              <w:rPr>
                <w:sz w:val="21"/>
              </w:rPr>
              <w:t xml:space="preserve">Mr. </w:t>
            </w:r>
            <w:r w:rsidR="008555B8">
              <w:rPr>
                <w:sz w:val="21"/>
              </w:rPr>
              <w:t>Nadeem Mirza</w:t>
            </w:r>
          </w:p>
        </w:tc>
      </w:tr>
      <w:tr w:rsidR="00416F38">
        <w:trPr>
          <w:cantSplit/>
        </w:trPr>
        <w:tc>
          <w:tcPr>
            <w:tcW w:w="2550" w:type="dxa"/>
            <w:tcMar>
              <w:top w:w="90" w:type="dxa"/>
              <w:left w:w="100" w:type="dxa"/>
              <w:bottom w:w="90" w:type="dxa"/>
              <w:right w:w="100" w:type="dxa"/>
            </w:tcMar>
            <w:vAlign w:val="center"/>
          </w:tcPr>
          <w:p w:rsidR="00416F38" w:rsidRDefault="008555B8">
            <w:pPr>
              <w:spacing w:after="0"/>
            </w:pPr>
            <w:r>
              <w:rPr>
                <w:b/>
                <w:sz w:val="21"/>
              </w:rPr>
              <w:t>Assessment</w:t>
            </w:r>
          </w:p>
        </w:tc>
        <w:tc>
          <w:tcPr>
            <w:tcW w:w="6479" w:type="dxa"/>
            <w:tcMar>
              <w:top w:w="90" w:type="dxa"/>
              <w:left w:w="100" w:type="dxa"/>
              <w:bottom w:w="90" w:type="dxa"/>
              <w:right w:w="100" w:type="dxa"/>
            </w:tcMar>
            <w:vAlign w:val="center"/>
          </w:tcPr>
          <w:p w:rsidR="00416F38" w:rsidRDefault="008555B8">
            <w:pPr>
              <w:spacing w:after="0"/>
            </w:pPr>
            <w:r>
              <w:rPr>
                <w:sz w:val="21"/>
              </w:rPr>
              <w:t>Component 2 - Coursework: Written Report</w:t>
            </w:r>
          </w:p>
        </w:tc>
      </w:tr>
      <w:tr w:rsidR="00416F38">
        <w:trPr>
          <w:cantSplit/>
        </w:trPr>
        <w:tc>
          <w:tcPr>
            <w:tcW w:w="2550" w:type="dxa"/>
            <w:tcMar>
              <w:top w:w="90" w:type="dxa"/>
              <w:left w:w="100" w:type="dxa"/>
              <w:bottom w:w="90" w:type="dxa"/>
              <w:right w:w="100" w:type="dxa"/>
            </w:tcMar>
            <w:vAlign w:val="center"/>
          </w:tcPr>
          <w:p w:rsidR="00416F38" w:rsidRDefault="008555B8">
            <w:pPr>
              <w:spacing w:after="0"/>
            </w:pPr>
            <w:r>
              <w:rPr>
                <w:b/>
                <w:sz w:val="21"/>
              </w:rPr>
              <w:t>Submission date</w:t>
            </w:r>
          </w:p>
        </w:tc>
        <w:tc>
          <w:tcPr>
            <w:tcW w:w="6479" w:type="dxa"/>
            <w:tcMar>
              <w:top w:w="90" w:type="dxa"/>
              <w:left w:w="100" w:type="dxa"/>
              <w:bottom w:w="90" w:type="dxa"/>
              <w:right w:w="100" w:type="dxa"/>
            </w:tcMar>
            <w:vAlign w:val="center"/>
          </w:tcPr>
          <w:p w:rsidR="00416F38" w:rsidRDefault="008555B8">
            <w:pPr>
              <w:spacing w:after="0"/>
            </w:pPr>
            <w:r>
              <w:rPr>
                <w:sz w:val="21"/>
              </w:rPr>
              <w:t>17 August 2026</w:t>
            </w:r>
          </w:p>
        </w:tc>
      </w:tr>
      <w:tr w:rsidR="00416F38">
        <w:trPr>
          <w:cantSplit/>
        </w:trPr>
        <w:tc>
          <w:tcPr>
            <w:tcW w:w="2550" w:type="dxa"/>
            <w:tcMar>
              <w:top w:w="90" w:type="dxa"/>
              <w:left w:w="100" w:type="dxa"/>
              <w:bottom w:w="90" w:type="dxa"/>
              <w:right w:w="100" w:type="dxa"/>
            </w:tcMar>
            <w:vAlign w:val="center"/>
          </w:tcPr>
          <w:p w:rsidR="00416F38" w:rsidRDefault="008555B8">
            <w:pPr>
              <w:spacing w:after="0"/>
            </w:pPr>
            <w:r>
              <w:rPr>
                <w:b/>
                <w:sz w:val="21"/>
              </w:rPr>
              <w:t>Main-body word count</w:t>
            </w:r>
          </w:p>
        </w:tc>
        <w:tc>
          <w:tcPr>
            <w:tcW w:w="6479" w:type="dxa"/>
            <w:tcMar>
              <w:top w:w="90" w:type="dxa"/>
              <w:left w:w="100" w:type="dxa"/>
              <w:bottom w:w="90" w:type="dxa"/>
              <w:right w:w="100" w:type="dxa"/>
            </w:tcMar>
            <w:vAlign w:val="center"/>
          </w:tcPr>
          <w:p w:rsidR="00416F38" w:rsidRDefault="008555B8">
            <w:pPr>
              <w:spacing w:after="0"/>
            </w:pPr>
            <w:r>
              <w:rPr>
                <w:sz w:val="21"/>
              </w:rPr>
              <w:t>2,000 words (Introduction–Conclusion; tables/figures excluded)</w:t>
            </w:r>
          </w:p>
        </w:tc>
      </w:tr>
      <w:tr w:rsidR="00416F38">
        <w:trPr>
          <w:cantSplit/>
        </w:trPr>
        <w:tc>
          <w:tcPr>
            <w:tcW w:w="2550" w:type="dxa"/>
            <w:tcMar>
              <w:top w:w="90" w:type="dxa"/>
              <w:left w:w="100" w:type="dxa"/>
              <w:bottom w:w="90" w:type="dxa"/>
              <w:right w:w="100" w:type="dxa"/>
            </w:tcMar>
            <w:vAlign w:val="center"/>
          </w:tcPr>
          <w:p w:rsidR="00416F38" w:rsidRDefault="008555B8">
            <w:pPr>
              <w:spacing w:after="0"/>
            </w:pPr>
            <w:r>
              <w:rPr>
                <w:b/>
                <w:sz w:val="21"/>
              </w:rPr>
              <w:t>Evidence cut-off</w:t>
            </w:r>
          </w:p>
        </w:tc>
        <w:tc>
          <w:tcPr>
            <w:tcW w:w="6479" w:type="dxa"/>
            <w:tcMar>
              <w:top w:w="90" w:type="dxa"/>
              <w:left w:w="100" w:type="dxa"/>
              <w:bottom w:w="90" w:type="dxa"/>
              <w:right w:w="100" w:type="dxa"/>
            </w:tcMar>
            <w:vAlign w:val="center"/>
          </w:tcPr>
          <w:p w:rsidR="00416F38" w:rsidRDefault="008555B8">
            <w:pPr>
              <w:spacing w:after="0"/>
            </w:pPr>
            <w:r>
              <w:rPr>
                <w:sz w:val="21"/>
              </w:rPr>
              <w:t>30 July 2026</w:t>
            </w:r>
          </w:p>
        </w:tc>
      </w:tr>
    </w:tbl>
    <w:p w:rsidR="00416F38" w:rsidRDefault="008555B8">
      <w:r>
        <w:br w:type="page"/>
      </w:r>
    </w:p>
    <w:p w:rsidR="00416F38" w:rsidRDefault="008555B8">
      <w:pPr>
        <w:spacing w:after="280"/>
      </w:pPr>
      <w:r>
        <w:rPr>
          <w:b/>
          <w:sz w:val="32"/>
        </w:rPr>
        <w:lastRenderedPageBreak/>
        <w:t>Table of Contents</w:t>
      </w:r>
    </w:p>
    <w:p w:rsidR="00416F38" w:rsidRDefault="00416F38" w:rsidP="00D97E0F">
      <w:pPr>
        <w:pBdr>
          <w:bottom w:val="single" w:sz="8" w:space="0" w:color="000000"/>
        </w:pBdr>
        <w:spacing w:after="160"/>
      </w:pPr>
    </w:p>
    <w:p w:rsidR="00416F38" w:rsidRDefault="001D69C7" w:rsidP="00D97E0F">
      <w:pPr>
        <w:tabs>
          <w:tab w:val="right" w:leader="dot" w:pos="8844"/>
        </w:tabs>
      </w:pPr>
      <w:hyperlink w:anchor="exec_summary" w:history="1">
        <w:r w:rsidR="008555B8">
          <w:rPr>
            <w:b/>
            <w:sz w:val="21"/>
          </w:rPr>
          <w:t>Executive Summary</w:t>
        </w:r>
      </w:hyperlink>
      <w:r w:rsidR="008555B8">
        <w:rPr>
          <w:b/>
          <w:sz w:val="21"/>
        </w:rPr>
        <w:tab/>
        <w:t>3</w:t>
      </w:r>
    </w:p>
    <w:p w:rsidR="00416F38" w:rsidRDefault="001D69C7" w:rsidP="00D97E0F">
      <w:pPr>
        <w:tabs>
          <w:tab w:val="right" w:leader="dot" w:pos="8844"/>
        </w:tabs>
      </w:pPr>
      <w:hyperlink w:anchor="section_1" w:history="1">
        <w:r w:rsidR="008555B8">
          <w:rPr>
            <w:b/>
            <w:sz w:val="21"/>
          </w:rPr>
          <w:t>1. Introduction to the Strategy</w:t>
        </w:r>
      </w:hyperlink>
      <w:r w:rsidR="008555B8">
        <w:rPr>
          <w:b/>
          <w:sz w:val="21"/>
        </w:rPr>
        <w:tab/>
        <w:t>4</w:t>
      </w:r>
    </w:p>
    <w:p w:rsidR="00416F38" w:rsidRDefault="001D69C7" w:rsidP="00D97E0F">
      <w:pPr>
        <w:tabs>
          <w:tab w:val="right" w:leader="dot" w:pos="8844"/>
        </w:tabs>
      </w:pPr>
      <w:hyperlink w:anchor="section_2" w:history="1">
        <w:r w:rsidR="008555B8">
          <w:rPr>
            <w:b/>
            <w:sz w:val="21"/>
          </w:rPr>
          <w:t>2. Overview and Background of BMW Group</w:t>
        </w:r>
      </w:hyperlink>
      <w:r w:rsidR="008555B8">
        <w:rPr>
          <w:b/>
          <w:sz w:val="21"/>
        </w:rPr>
        <w:tab/>
        <w:t>5</w:t>
      </w:r>
    </w:p>
    <w:p w:rsidR="00416F38" w:rsidRDefault="001D69C7" w:rsidP="00D97E0F">
      <w:pPr>
        <w:tabs>
          <w:tab w:val="right" w:leader="dot" w:pos="8844"/>
        </w:tabs>
      </w:pPr>
      <w:hyperlink w:anchor="section_3" w:history="1">
        <w:r w:rsidR="008555B8">
          <w:rPr>
            <w:b/>
            <w:sz w:val="21"/>
          </w:rPr>
          <w:t>3. Strategic Intent</w:t>
        </w:r>
      </w:hyperlink>
      <w:r w:rsidR="008555B8">
        <w:rPr>
          <w:b/>
          <w:sz w:val="21"/>
        </w:rPr>
        <w:tab/>
        <w:t>6</w:t>
      </w:r>
    </w:p>
    <w:p w:rsidR="00416F38" w:rsidRDefault="001D69C7" w:rsidP="00D97E0F">
      <w:pPr>
        <w:tabs>
          <w:tab w:val="right" w:leader="dot" w:pos="8844"/>
        </w:tabs>
      </w:pPr>
      <w:hyperlink w:anchor="section_4" w:history="1">
        <w:r w:rsidR="008555B8">
          <w:rPr>
            <w:b/>
            <w:sz w:val="21"/>
          </w:rPr>
          <w:t>4. BMW Group's Current Performance</w:t>
        </w:r>
      </w:hyperlink>
      <w:r w:rsidR="008555B8">
        <w:rPr>
          <w:b/>
          <w:sz w:val="21"/>
        </w:rPr>
        <w:tab/>
        <w:t>7</w:t>
      </w:r>
    </w:p>
    <w:p w:rsidR="00416F38" w:rsidRDefault="001D69C7" w:rsidP="00D97E0F">
      <w:pPr>
        <w:tabs>
          <w:tab w:val="right" w:leader="dot" w:pos="8844"/>
        </w:tabs>
      </w:pPr>
      <w:hyperlink w:anchor="section_5" w:history="1">
        <w:r w:rsidR="008555B8">
          <w:rPr>
            <w:b/>
            <w:sz w:val="21"/>
          </w:rPr>
          <w:t>5. Strategy Analysis</w:t>
        </w:r>
      </w:hyperlink>
      <w:r w:rsidR="008555B8">
        <w:rPr>
          <w:b/>
          <w:sz w:val="21"/>
        </w:rPr>
        <w:tab/>
        <w:t>9</w:t>
      </w:r>
    </w:p>
    <w:p w:rsidR="00416F38" w:rsidRDefault="001D69C7" w:rsidP="00D97E0F">
      <w:pPr>
        <w:tabs>
          <w:tab w:val="right" w:leader="dot" w:pos="8844"/>
        </w:tabs>
        <w:spacing w:after="80"/>
        <w:ind w:left="397"/>
      </w:pPr>
      <w:hyperlink w:anchor="section_5_1" w:history="1">
        <w:r w:rsidR="008555B8">
          <w:rPr>
            <w:sz w:val="21"/>
          </w:rPr>
          <w:t>5.1 External Environmental Audit: PESTEL</w:t>
        </w:r>
      </w:hyperlink>
      <w:r w:rsidR="008555B8">
        <w:rPr>
          <w:sz w:val="21"/>
        </w:rPr>
        <w:tab/>
        <w:t>9</w:t>
      </w:r>
    </w:p>
    <w:p w:rsidR="00416F38" w:rsidRDefault="001D69C7" w:rsidP="00D97E0F">
      <w:pPr>
        <w:tabs>
          <w:tab w:val="right" w:leader="dot" w:pos="8844"/>
        </w:tabs>
        <w:spacing w:after="80"/>
        <w:ind w:left="397"/>
      </w:pPr>
      <w:hyperlink w:anchor="section_5_2" w:history="1">
        <w:r w:rsidR="008555B8">
          <w:rPr>
            <w:sz w:val="21"/>
          </w:rPr>
          <w:t>5.2 Industry Structure: Porter's Five Forces</w:t>
        </w:r>
      </w:hyperlink>
      <w:r w:rsidR="008555B8">
        <w:rPr>
          <w:sz w:val="21"/>
        </w:rPr>
        <w:tab/>
        <w:t>10</w:t>
      </w:r>
    </w:p>
    <w:p w:rsidR="00416F38" w:rsidRDefault="001D69C7" w:rsidP="00D97E0F">
      <w:pPr>
        <w:tabs>
          <w:tab w:val="right" w:leader="dot" w:pos="8844"/>
        </w:tabs>
        <w:spacing w:after="80"/>
        <w:ind w:left="397"/>
      </w:pPr>
      <w:hyperlink w:anchor="section_5_3" w:history="1">
        <w:r w:rsidR="008555B8">
          <w:rPr>
            <w:sz w:val="21"/>
          </w:rPr>
          <w:t>5.3 Internal Environmental Audit: Value Chain and VRIO</w:t>
        </w:r>
      </w:hyperlink>
      <w:r w:rsidR="008555B8">
        <w:rPr>
          <w:sz w:val="21"/>
        </w:rPr>
        <w:tab/>
        <w:t>11</w:t>
      </w:r>
    </w:p>
    <w:p w:rsidR="00416F38" w:rsidRDefault="001D69C7" w:rsidP="00D97E0F">
      <w:pPr>
        <w:tabs>
          <w:tab w:val="right" w:leader="dot" w:pos="8844"/>
        </w:tabs>
        <w:spacing w:after="80"/>
        <w:ind w:left="397"/>
      </w:pPr>
      <w:hyperlink w:anchor="section_5_4" w:history="1">
        <w:r w:rsidR="008555B8">
          <w:rPr>
            <w:sz w:val="21"/>
          </w:rPr>
          <w:t>5.4 SWOT and BCG Synthesis</w:t>
        </w:r>
      </w:hyperlink>
      <w:r w:rsidR="008555B8">
        <w:rPr>
          <w:sz w:val="21"/>
        </w:rPr>
        <w:tab/>
        <w:t>12</w:t>
      </w:r>
    </w:p>
    <w:p w:rsidR="00416F38" w:rsidRDefault="001D69C7" w:rsidP="00D97E0F">
      <w:pPr>
        <w:tabs>
          <w:tab w:val="right" w:leader="dot" w:pos="8844"/>
        </w:tabs>
      </w:pPr>
      <w:hyperlink w:anchor="section_6" w:history="1">
        <w:r w:rsidR="008555B8">
          <w:rPr>
            <w:b/>
            <w:sz w:val="21"/>
          </w:rPr>
          <w:t>6. Strategy Formulation</w:t>
        </w:r>
      </w:hyperlink>
      <w:r w:rsidR="008555B8">
        <w:rPr>
          <w:b/>
          <w:sz w:val="21"/>
        </w:rPr>
        <w:tab/>
        <w:t>13</w:t>
      </w:r>
    </w:p>
    <w:p w:rsidR="00416F38" w:rsidRDefault="001D69C7" w:rsidP="00D97E0F">
      <w:pPr>
        <w:tabs>
          <w:tab w:val="right" w:leader="dot" w:pos="8844"/>
        </w:tabs>
      </w:pPr>
      <w:hyperlink w:anchor="section_7" w:history="1">
        <w:r w:rsidR="008555B8">
          <w:rPr>
            <w:b/>
            <w:sz w:val="21"/>
          </w:rPr>
          <w:t>7. Conclusion and Recommendations</w:t>
        </w:r>
      </w:hyperlink>
      <w:r w:rsidR="008555B8">
        <w:rPr>
          <w:b/>
          <w:sz w:val="21"/>
        </w:rPr>
        <w:tab/>
        <w:t>14</w:t>
      </w:r>
    </w:p>
    <w:p w:rsidR="00416F38" w:rsidRDefault="001D69C7" w:rsidP="00D97E0F">
      <w:pPr>
        <w:tabs>
          <w:tab w:val="right" w:leader="dot" w:pos="8844"/>
        </w:tabs>
      </w:pPr>
      <w:hyperlink w:anchor="references" w:history="1">
        <w:r w:rsidR="008555B8">
          <w:rPr>
            <w:b/>
            <w:sz w:val="21"/>
          </w:rPr>
          <w:t>Reference List</w:t>
        </w:r>
      </w:hyperlink>
      <w:r w:rsidR="008555B8">
        <w:rPr>
          <w:b/>
          <w:sz w:val="21"/>
        </w:rPr>
        <w:tab/>
        <w:t>15</w:t>
      </w:r>
    </w:p>
    <w:p w:rsidR="00416F38" w:rsidRDefault="001D69C7" w:rsidP="00D97E0F">
      <w:pPr>
        <w:tabs>
          <w:tab w:val="right" w:leader="dot" w:pos="8844"/>
        </w:tabs>
      </w:pPr>
      <w:hyperlink w:anchor="appendix_a" w:history="1">
        <w:r w:rsidR="008555B8">
          <w:rPr>
            <w:b/>
            <w:sz w:val="21"/>
          </w:rPr>
          <w:t xml:space="preserve">Appendix A: </w:t>
        </w:r>
        <w:r w:rsidR="0061259A">
          <w:rPr>
            <w:b/>
            <w:sz w:val="21"/>
          </w:rPr>
          <w:t>Battery Loop</w:t>
        </w:r>
        <w:r w:rsidR="008555B8">
          <w:rPr>
            <w:b/>
            <w:sz w:val="21"/>
          </w:rPr>
          <w:t xml:space="preserve"> Assurance Implementation Dashboard</w:t>
        </w:r>
      </w:hyperlink>
      <w:r w:rsidR="008555B8">
        <w:rPr>
          <w:b/>
          <w:sz w:val="21"/>
        </w:rPr>
        <w:tab/>
        <w:t>17</w:t>
      </w:r>
    </w:p>
    <w:p w:rsidR="00416F38" w:rsidRDefault="008555B8" w:rsidP="00D97E0F">
      <w:r>
        <w:br w:type="page"/>
      </w:r>
    </w:p>
    <w:p w:rsidR="00416F38" w:rsidRDefault="008555B8">
      <w:pPr>
        <w:pStyle w:val="Heading1"/>
        <w:spacing w:before="0"/>
      </w:pPr>
      <w:bookmarkStart w:id="0" w:name="exec_summary"/>
      <w:r>
        <w:lastRenderedPageBreak/>
        <w:t>Executive Summary</w:t>
      </w:r>
      <w:bookmarkEnd w:id="0"/>
    </w:p>
    <w:p w:rsidR="00416F38" w:rsidRDefault="00864007" w:rsidP="00FA176E">
      <w:pPr>
        <w:jc w:val="left"/>
      </w:pPr>
      <w:r w:rsidRPr="00864007">
        <w:t>BMW is still a solid premium brand, but failed to reap the same benefits from its brand, strengths and size. In 2025, automotive EBIT margin contracted to 5.3 percent and in the first half of 2026 to 3.6 percent and automotive deliveries in China decreased significantly. Changing automotive value creation by electric vehicles, software, battery regulation and circular production. Very high Rivalry, Increasing Customer Power, Reliance on Chinese Battery Supply Chains, and Stricter Cycle Life Rules are negative forces in the external analysis. The internal analysis has revealed that although significant capabili</w:t>
      </w:r>
      <w:r w:rsidR="0024189A">
        <w:t>ties exist within the business</w:t>
      </w:r>
      <w:r w:rsidRPr="00864007">
        <w:t xml:space="preserve"> particularly in Engineering, Connected Vehicles, Financial Servic</w:t>
      </w:r>
      <w:r w:rsidR="0021695A">
        <w:t xml:space="preserve">es, production and aftersales </w:t>
      </w:r>
      <w:r w:rsidRPr="00864007">
        <w:t xml:space="preserve">there </w:t>
      </w:r>
      <w:r w:rsidR="009F7030" w:rsidRPr="00864007">
        <w:t>are</w:t>
      </w:r>
      <w:r w:rsidRPr="00864007">
        <w:t xml:space="preserve"> areas of costly complexity in Powertrain and weakness in converting these capabilities into profit. </w:t>
      </w:r>
      <w:r w:rsidRPr="0024189A">
        <w:rPr>
          <w:b/>
        </w:rPr>
        <w:t>BMW Battery Loop</w:t>
      </w:r>
      <w:r w:rsidRPr="00864007">
        <w:t xml:space="preserve"> Assurance, a transferable service for Neue Klasse electric vehicles is recommended in the report. It would integrate battery-health data, proven by the manufacturer, prediction repair, contractual take-back, second-life use and closed loop recycling. BMW Financial Services would be selling the service, as well as taking the risk of the residual value. </w:t>
      </w:r>
      <w:r w:rsidR="0024189A" w:rsidRPr="00864007">
        <w:t>Three-market</w:t>
      </w:r>
      <w:r w:rsidRPr="00864007">
        <w:t xml:space="preserve"> pilot should be followed before and after 2027 - 2029 with clear commercial, financial, data, cyber-security and circularity gates. Giving the customers better confidence in used EVs, enabling regulatory compliance, enabling material recovery and providing BMW a meaningful, less copiable subtle differentiation to price discounts are all included with the proposal.</w:t>
      </w:r>
      <w:r w:rsidR="008555B8">
        <w:br w:type="page"/>
      </w:r>
    </w:p>
    <w:p w:rsidR="00416F38" w:rsidRDefault="008555B8">
      <w:pPr>
        <w:pStyle w:val="Heading1"/>
      </w:pPr>
      <w:bookmarkStart w:id="1" w:name="section_1"/>
      <w:r>
        <w:lastRenderedPageBreak/>
        <w:t>1. Introduction to the Strategy</w:t>
      </w:r>
      <w:bookmarkEnd w:id="1"/>
    </w:p>
    <w:p w:rsidR="008211F7" w:rsidRDefault="008211F7" w:rsidP="00D5218A">
      <w:pPr>
        <w:pStyle w:val="Heading1"/>
        <w:jc w:val="left"/>
        <w:rPr>
          <w:rFonts w:ascii="Arial" w:eastAsiaTheme="minorEastAsia" w:hAnsi="Arial" w:cstheme="minorBidi"/>
          <w:b w:val="0"/>
          <w:bCs w:val="0"/>
          <w:sz w:val="22"/>
          <w:szCs w:val="22"/>
        </w:rPr>
      </w:pPr>
      <w:bookmarkStart w:id="2" w:name="section_2"/>
      <w:r w:rsidRPr="008211F7">
        <w:rPr>
          <w:rFonts w:ascii="Arial" w:eastAsiaTheme="minorEastAsia" w:hAnsi="Arial" w:cstheme="minorBidi"/>
          <w:b w:val="0"/>
          <w:bCs w:val="0"/>
          <w:sz w:val="22"/>
          <w:szCs w:val="22"/>
        </w:rPr>
        <w:t>Strategic management is the process of determining an organization’s "domain of operations" (William D. Hough, Jr., and Philip Greiner violate this principle in the title), in other words what markets, communities, or industries it will participate in, how it will provide value, and how its resources will be organized to sustain its operations. Why it matters is that there are more opportunities available to the managers than the firm has the funds to support. A strategy then focuses on what should be dealt with first, how external challenges can be matched with internal capability and provides employees with a reference point for decisions on a consistent basis. Grant</w:t>
      </w:r>
      <w:r>
        <w:rPr>
          <w:rFonts w:ascii="Arial" w:eastAsiaTheme="minorEastAsia" w:hAnsi="Arial" w:cstheme="minorBidi"/>
          <w:b w:val="0"/>
          <w:bCs w:val="0"/>
          <w:sz w:val="22"/>
          <w:szCs w:val="22"/>
        </w:rPr>
        <w:t xml:space="preserve"> </w:t>
      </w:r>
      <w:r w:rsidRPr="008211F7">
        <w:rPr>
          <w:rFonts w:ascii="Arial" w:eastAsiaTheme="minorEastAsia" w:hAnsi="Arial" w:cstheme="minorBidi"/>
          <w:b w:val="0"/>
          <w:bCs w:val="0"/>
          <w:sz w:val="22"/>
          <w:szCs w:val="22"/>
        </w:rPr>
        <w:t>(2021) believes there is a relationship between using sound strategy and having clear goals, knowing your competition and having an honest assessment of resources. Whittington et al (2019) also discusses strategy in relation to position, choices and implementation is not simply a planning document but a combination of these. This is particularly important in the automotive world, where the three factors of electrification, software, regulation, and supply chain risks are evolving simultaneously. Another reason why dynamic capabilities are important is the fact that companies are required to be sensitive to change, to allocate resources and redesign business models when conditions change (Teece, 2018). This report draws up a strategy for the BMW Group. It explains about the company, checks its strategy and performance, and then it merges PESTEL, Five Forces, Value Chain, VRIO, SWOT analysis and BCG analysis. The results served as a comparison for strategic options and are used to recommend a new strategy that can be developed and put into practice. Conclusion provides priority actions, controls and risks.</w:t>
      </w:r>
    </w:p>
    <w:p w:rsidR="008211F7" w:rsidRDefault="008211F7" w:rsidP="00D5218A">
      <w:pPr>
        <w:pStyle w:val="Heading1"/>
        <w:jc w:val="left"/>
        <w:rPr>
          <w:rFonts w:ascii="Arial" w:eastAsiaTheme="minorEastAsia" w:hAnsi="Arial" w:cstheme="minorBidi"/>
          <w:b w:val="0"/>
          <w:bCs w:val="0"/>
          <w:sz w:val="22"/>
          <w:szCs w:val="22"/>
        </w:rPr>
      </w:pPr>
    </w:p>
    <w:p w:rsidR="008211F7" w:rsidRDefault="008211F7">
      <w:pPr>
        <w:pStyle w:val="Heading1"/>
        <w:rPr>
          <w:rFonts w:ascii="Arial" w:eastAsiaTheme="minorEastAsia" w:hAnsi="Arial" w:cstheme="minorBidi"/>
          <w:b w:val="0"/>
          <w:bCs w:val="0"/>
          <w:sz w:val="22"/>
          <w:szCs w:val="22"/>
        </w:rPr>
      </w:pPr>
    </w:p>
    <w:p w:rsidR="008211F7" w:rsidRDefault="008211F7">
      <w:pPr>
        <w:pStyle w:val="Heading1"/>
        <w:rPr>
          <w:rFonts w:ascii="Arial" w:eastAsiaTheme="minorEastAsia" w:hAnsi="Arial" w:cstheme="minorBidi"/>
          <w:b w:val="0"/>
          <w:bCs w:val="0"/>
          <w:sz w:val="22"/>
          <w:szCs w:val="22"/>
        </w:rPr>
      </w:pPr>
    </w:p>
    <w:p w:rsidR="008211F7" w:rsidRDefault="008211F7">
      <w:pPr>
        <w:pStyle w:val="Heading1"/>
        <w:rPr>
          <w:rFonts w:ascii="Arial" w:eastAsiaTheme="minorEastAsia" w:hAnsi="Arial" w:cstheme="minorBidi"/>
          <w:b w:val="0"/>
          <w:bCs w:val="0"/>
          <w:sz w:val="22"/>
          <w:szCs w:val="22"/>
        </w:rPr>
      </w:pPr>
    </w:p>
    <w:p w:rsidR="008211F7" w:rsidRDefault="008211F7">
      <w:pPr>
        <w:pStyle w:val="Heading1"/>
        <w:rPr>
          <w:rFonts w:ascii="Arial" w:eastAsiaTheme="minorEastAsia" w:hAnsi="Arial" w:cstheme="minorBidi"/>
          <w:b w:val="0"/>
          <w:bCs w:val="0"/>
          <w:sz w:val="22"/>
          <w:szCs w:val="22"/>
        </w:rPr>
      </w:pPr>
    </w:p>
    <w:p w:rsidR="008211F7" w:rsidRDefault="008211F7">
      <w:pPr>
        <w:pStyle w:val="Heading1"/>
        <w:rPr>
          <w:rFonts w:ascii="Arial" w:eastAsiaTheme="minorEastAsia" w:hAnsi="Arial" w:cstheme="minorBidi"/>
          <w:b w:val="0"/>
          <w:bCs w:val="0"/>
          <w:sz w:val="22"/>
          <w:szCs w:val="22"/>
        </w:rPr>
      </w:pPr>
    </w:p>
    <w:p w:rsidR="008211F7" w:rsidRDefault="008211F7">
      <w:pPr>
        <w:pStyle w:val="Heading1"/>
        <w:rPr>
          <w:rFonts w:ascii="Arial" w:eastAsiaTheme="minorEastAsia" w:hAnsi="Arial" w:cstheme="minorBidi"/>
          <w:b w:val="0"/>
          <w:bCs w:val="0"/>
          <w:sz w:val="22"/>
          <w:szCs w:val="22"/>
        </w:rPr>
      </w:pPr>
    </w:p>
    <w:p w:rsidR="008211F7" w:rsidRDefault="008211F7">
      <w:pPr>
        <w:pStyle w:val="Heading1"/>
        <w:rPr>
          <w:rFonts w:ascii="Arial" w:eastAsiaTheme="minorEastAsia" w:hAnsi="Arial" w:cstheme="minorBidi"/>
          <w:b w:val="0"/>
          <w:bCs w:val="0"/>
          <w:sz w:val="22"/>
          <w:szCs w:val="22"/>
        </w:rPr>
      </w:pPr>
    </w:p>
    <w:p w:rsidR="00416F38" w:rsidRDefault="008555B8">
      <w:pPr>
        <w:pStyle w:val="Heading1"/>
      </w:pPr>
      <w:r>
        <w:lastRenderedPageBreak/>
        <w:t>2. Overview and Background of BMW Group</w:t>
      </w:r>
      <w:bookmarkEnd w:id="2"/>
    </w:p>
    <w:p w:rsidR="00416F38" w:rsidRDefault="0071570F" w:rsidP="0071570F">
      <w:pPr>
        <w:jc w:val="left"/>
      </w:pPr>
      <w:r w:rsidRPr="0071570F">
        <w:t>BMW AG, commonly referred to as Bayerische Motoren Werke Aktiengesellschaft, is a Munich-based company that is a manufacturer of premium-mobility products. It has two automotive brands: BMW, MINI, and Rolls-Royce. The comp</w:t>
      </w:r>
      <w:r>
        <w:t>any has two portfolio segments</w:t>
      </w:r>
      <w:r w:rsidRPr="0071570F">
        <w:t xml:space="preserve"> Petrol, Diesel, Plug-in Hybrid- and Battery elect</w:t>
      </w:r>
      <w:r>
        <w:t xml:space="preserve">ric vehicles and BMW Motorrad </w:t>
      </w:r>
      <w:r w:rsidRPr="0071570F">
        <w:t>Motorcycle production. The Group's offers also include vehicle finance, leasing, vehicle insurance and fleet services, among others, offered by BMW Financial Services. Hence, BMW is not only a manufacturer, but also has a part in designing, manufacturing, digital services, retail assistance, aftersales / customer financing along the life cycle of a car. By 2025, the company had over 32 production sites in 15 countries and nearly 140 markets for vehicle sales. It delivered 2,463,681 vehicles and employed 154,540 people (BMW Group, 2026a). BMW offers premium engineering, brand experience, performance and quality as a standard equally as competitive as its price. Nearby known competition includes Mercedes-Benz, Audi/Porsche and even Tesla and the booming Chinese competition in the EV category. The worldwide phase means that BMW has a size advantage and is able to produce cars all around, but also suffers from tariff exposure, currency volatility, political disturbances and fluctuating demand. Its wide reach across different powertrain families does preserve the choice of the customer, but with so many technologies being developed simultaneously, it can be more difficult to determine the best investment priorities, and also increase the fixed costs of development.</w:t>
      </w:r>
      <w:r w:rsidR="008555B8">
        <w:br w:type="page"/>
      </w:r>
    </w:p>
    <w:p w:rsidR="00416F38" w:rsidRDefault="008555B8">
      <w:pPr>
        <w:pStyle w:val="Heading1"/>
      </w:pPr>
      <w:bookmarkStart w:id="3" w:name="section_3"/>
      <w:r>
        <w:lastRenderedPageBreak/>
        <w:t>3. Strategic Intent</w:t>
      </w:r>
      <w:bookmarkEnd w:id="3"/>
    </w:p>
    <w:p w:rsidR="00416F38" w:rsidRDefault="00507726" w:rsidP="00507726">
      <w:pPr>
        <w:jc w:val="left"/>
      </w:pPr>
      <w:r w:rsidRPr="00507726">
        <w:t>BMW's published guidelines are "profitable premium mobility based on innovation, electrification, digital services and recirculation of materials. The announcement of the Neue Klasse for 2021 unveiled that the future business shall be "uncompromisingly electric, digital and circular" (BMW Group, 2021). This is a working vision, it precludes not only sales that figure but what kind of company is that. It aims to maintain unique premium mobility and to help bring benefits to both the customer experience and a reduced lifecycle impact through technology. The profitability is important because BMW does not want to give up independence and is seeking internal funding for change. The 2030 goals put that intention on the table. BMW are aiming for an Automotive EBIT margin of 8–10% and Automotive return on capital employed of at least 18% and that greater than 50% of their deliveries will be electric. It also aims to reduce Scope 1 and 2 emissions by over 0.5 million tonnes and Scope 3 emissions by over 40 million tonnes of CO2e against 2019 (BMW Group, 2026a). These objectives are consistent, and there is a dichotomy between openness and focus in terms of technology. Combustion, hybrid, battery and future hydrogen options can provide a way to spread the risk of demand while spreading management and capital to present other risks. The strategic intent should then not be assessed based on the number of different technologies that BMW backs, but rather by their profitable customer value that results from them.</w:t>
      </w:r>
      <w:r w:rsidR="008555B8">
        <w:br w:type="page"/>
      </w:r>
    </w:p>
    <w:p w:rsidR="00416F38" w:rsidRDefault="008555B8">
      <w:pPr>
        <w:pStyle w:val="Heading1"/>
      </w:pPr>
      <w:bookmarkStart w:id="4" w:name="section_4"/>
      <w:r>
        <w:lastRenderedPageBreak/>
        <w:t>4. BMW Group's Current Performance</w:t>
      </w:r>
      <w:bookmarkEnd w:id="4"/>
    </w:p>
    <w:p w:rsidR="004B1F51" w:rsidRDefault="004B1F51">
      <w:pPr>
        <w:keepNext/>
        <w:spacing w:before="120" w:after="80"/>
        <w:jc w:val="left"/>
      </w:pPr>
      <w:r w:rsidRPr="004B1F51">
        <w:t xml:space="preserve">BMW vowed to hit the targets in 2025; however, the results indicate resilience. Total deliveries were up 0.5 percent to 2,463,681 vehicles. Battery electric deliveries increased 3.6% to 442,056, accounting for 17.9% of the total. Revenue still decreased by 6.3% to EUR133.453 billion. Profit before tax plunged 6.7% to EUR10.236 billion and net profit dropped 3.0% to EUR7.451 billion. The Automotive EBIT margin was reduced to 5.3% from 6.3% in the corresponding quarter, which was </w:t>
      </w:r>
      <w:r>
        <w:t>below the targeted range of 8-</w:t>
      </w:r>
      <w:r w:rsidRPr="004B1F51">
        <w:t xml:space="preserve">10%. Despite the reduced R&amp;D spending, BMW Group still invested EUR8.319 billion in research and development, which was 8.4% less than in 2024 (BMW Group, 2026a). Milder performance during the first half of 2026. Group revenues decreased 8.0% to EUR62.266 billion, while the Automotive profit before taxes (EBIT) dropped 45.6% to EUR1.974 billion. The segment margin was 3.6% (Q2 2.3%). Automotive free cash flow declined by 45.0 per cent to EUR1.290 billion. Global deliveries decreased 4.2%, including a 20.4% fall in China. Whilst battery-electric deliveries declined 7.4% for the half year, there was a rebound in second-quarter deliveries, as European electric delivery benefits from the iX3 launch (BMW Group, 2026b). The European market is still in favor: In the first half of 2026, 20.7% of vehicles registered in the EU were battery-electric cars (ACEA 2026). So it is not just a BMW reject of its electric products, </w:t>
      </w:r>
      <w:r w:rsidR="00FE0063" w:rsidRPr="004B1F51">
        <w:t>it is</w:t>
      </w:r>
      <w:r w:rsidRPr="004B1F51">
        <w:t xml:space="preserve"> more of a regional profitability issue. With only 52.9% Financial Services penetration and less positive performance on margin, cash flow and in China, </w:t>
      </w:r>
      <w:r w:rsidR="00FE0063" w:rsidRPr="004B1F51">
        <w:t>it is</w:t>
      </w:r>
      <w:r w:rsidRPr="004B1F51">
        <w:t xml:space="preserve"> a helpful customer-side connection but product quality is not yielding enough returns. Strategic control would not be re-established by sales growth unaided by cash generation: the gap is relevant because the investment of Neue Klasse has to improve contribution margin and has to improve capital turnover.</w:t>
      </w:r>
    </w:p>
    <w:p w:rsidR="00416F38" w:rsidRPr="005C23E3" w:rsidRDefault="008555B8" w:rsidP="005C23E3">
      <w:pPr>
        <w:keepNext/>
        <w:spacing w:before="120" w:after="80"/>
        <w:jc w:val="center"/>
      </w:pPr>
      <w:r w:rsidRPr="005C23E3">
        <w:rPr>
          <w:b/>
          <w:sz w:val="20"/>
        </w:rPr>
        <w:t>Figure 1.</w:t>
      </w:r>
      <w:r w:rsidRPr="005C23E3">
        <w:rPr>
          <w:sz w:val="20"/>
        </w:rPr>
        <w:t xml:space="preserve"> BMW Automotive EBIT margin compared with the 8% strategic lower bound</w:t>
      </w:r>
    </w:p>
    <w:p w:rsidR="00416F38" w:rsidRDefault="008555B8">
      <w:pPr>
        <w:spacing w:after="40"/>
        <w:jc w:val="center"/>
      </w:pPr>
      <w:r>
        <w:rPr>
          <w:noProof/>
        </w:rPr>
        <w:drawing>
          <wp:inline distT="0" distB="0" distL="0" distR="0">
            <wp:extent cx="5687219" cy="2695575"/>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mw_automotive_ebit_margin.png"/>
                    <pic:cNvPicPr/>
                  </pic:nvPicPr>
                  <pic:blipFill>
                    <a:blip r:embed="rId9"/>
                    <a:stretch>
                      <a:fillRect/>
                    </a:stretch>
                  </pic:blipFill>
                  <pic:spPr>
                    <a:xfrm>
                      <a:off x="0" y="0"/>
                      <a:ext cx="5689749" cy="2696774"/>
                    </a:xfrm>
                    <a:prstGeom prst="rect">
                      <a:avLst/>
                    </a:prstGeom>
                  </pic:spPr>
                </pic:pic>
              </a:graphicData>
            </a:graphic>
          </wp:inline>
        </w:drawing>
      </w:r>
    </w:p>
    <w:p w:rsidR="00416F38" w:rsidRPr="00D97DFA" w:rsidRDefault="008555B8" w:rsidP="00D97DFA">
      <w:pPr>
        <w:spacing w:before="40" w:after="140" w:line="240" w:lineRule="auto"/>
        <w:jc w:val="center"/>
      </w:pPr>
      <w:r w:rsidRPr="00D97DFA">
        <w:rPr>
          <w:b/>
          <w:sz w:val="19"/>
        </w:rPr>
        <w:t>Source:</w:t>
      </w:r>
      <w:r w:rsidRPr="00D97DFA">
        <w:rPr>
          <w:sz w:val="19"/>
        </w:rPr>
        <w:t xml:space="preserve"> BMW Group (2026a; 2026b). Q2 2026 is a quarterly margin; H1 2026 is year-to-date.</w:t>
      </w:r>
    </w:p>
    <w:p w:rsidR="00416F38" w:rsidRPr="006015A3" w:rsidRDefault="008555B8" w:rsidP="006015A3">
      <w:pPr>
        <w:keepNext/>
        <w:spacing w:before="120" w:after="80"/>
        <w:jc w:val="center"/>
      </w:pPr>
      <w:r w:rsidRPr="006015A3">
        <w:rPr>
          <w:b/>
        </w:rPr>
        <w:lastRenderedPageBreak/>
        <w:t xml:space="preserve">Table 1. </w:t>
      </w:r>
      <w:r w:rsidRPr="006015A3">
        <w:t>BMW performance snapshot</w:t>
      </w:r>
    </w:p>
    <w:tbl>
      <w:tblPr>
        <w:tblW w:w="9029" w:type="dxa"/>
        <w:tblLayout w:type="fixed"/>
        <w:tblLook w:val="04A0" w:firstRow="1" w:lastRow="0" w:firstColumn="1" w:lastColumn="0" w:noHBand="0" w:noVBand="1"/>
      </w:tblPr>
      <w:tblGrid>
        <w:gridCol w:w="1900"/>
        <w:gridCol w:w="1900"/>
        <w:gridCol w:w="1900"/>
        <w:gridCol w:w="3329"/>
      </w:tblGrid>
      <w:tr w:rsidR="00416F38" w:rsidRPr="006015A3">
        <w:trPr>
          <w:cantSplit/>
          <w:tblHeader/>
        </w:trPr>
        <w:tc>
          <w:tcPr>
            <w:tcW w:w="1900" w:type="dxa"/>
            <w:shd w:val="clear" w:color="auto" w:fill="1F4E79"/>
            <w:tcMar>
              <w:top w:w="90" w:type="dxa"/>
              <w:left w:w="100" w:type="dxa"/>
              <w:bottom w:w="90" w:type="dxa"/>
              <w:right w:w="100" w:type="dxa"/>
            </w:tcMar>
            <w:vAlign w:val="center"/>
          </w:tcPr>
          <w:p w:rsidR="00416F38" w:rsidRPr="006015A3" w:rsidRDefault="008555B8" w:rsidP="006015A3">
            <w:pPr>
              <w:spacing w:after="0"/>
              <w:jc w:val="center"/>
            </w:pPr>
            <w:r w:rsidRPr="006015A3">
              <w:rPr>
                <w:b/>
                <w:color w:val="FFFFFF"/>
              </w:rPr>
              <w:t>Measure</w:t>
            </w:r>
          </w:p>
        </w:tc>
        <w:tc>
          <w:tcPr>
            <w:tcW w:w="1900" w:type="dxa"/>
            <w:shd w:val="clear" w:color="auto" w:fill="1F4E79"/>
            <w:tcMar>
              <w:top w:w="90" w:type="dxa"/>
              <w:left w:w="100" w:type="dxa"/>
              <w:bottom w:w="90" w:type="dxa"/>
              <w:right w:w="100" w:type="dxa"/>
            </w:tcMar>
            <w:vAlign w:val="center"/>
          </w:tcPr>
          <w:p w:rsidR="00416F38" w:rsidRPr="006015A3" w:rsidRDefault="008555B8" w:rsidP="006015A3">
            <w:pPr>
              <w:spacing w:after="0"/>
              <w:jc w:val="center"/>
            </w:pPr>
            <w:r w:rsidRPr="006015A3">
              <w:rPr>
                <w:b/>
                <w:color w:val="FFFFFF"/>
              </w:rPr>
              <w:t>2025</w:t>
            </w:r>
          </w:p>
        </w:tc>
        <w:tc>
          <w:tcPr>
            <w:tcW w:w="1900" w:type="dxa"/>
            <w:shd w:val="clear" w:color="auto" w:fill="1F4E79"/>
            <w:tcMar>
              <w:top w:w="90" w:type="dxa"/>
              <w:left w:w="100" w:type="dxa"/>
              <w:bottom w:w="90" w:type="dxa"/>
              <w:right w:w="100" w:type="dxa"/>
            </w:tcMar>
            <w:vAlign w:val="center"/>
          </w:tcPr>
          <w:p w:rsidR="00416F38" w:rsidRPr="006015A3" w:rsidRDefault="008555B8" w:rsidP="006015A3">
            <w:pPr>
              <w:spacing w:after="0"/>
              <w:jc w:val="center"/>
            </w:pPr>
            <w:r w:rsidRPr="006015A3">
              <w:rPr>
                <w:b/>
                <w:color w:val="FFFFFF"/>
              </w:rPr>
              <w:t>H1 2026</w:t>
            </w:r>
          </w:p>
        </w:tc>
        <w:tc>
          <w:tcPr>
            <w:tcW w:w="3329" w:type="dxa"/>
            <w:shd w:val="clear" w:color="auto" w:fill="1F4E79"/>
            <w:tcMar>
              <w:top w:w="90" w:type="dxa"/>
              <w:left w:w="100" w:type="dxa"/>
              <w:bottom w:w="90" w:type="dxa"/>
              <w:right w:w="100" w:type="dxa"/>
            </w:tcMar>
            <w:vAlign w:val="center"/>
          </w:tcPr>
          <w:p w:rsidR="00416F38" w:rsidRPr="006015A3" w:rsidRDefault="008555B8" w:rsidP="006015A3">
            <w:pPr>
              <w:spacing w:after="0"/>
              <w:jc w:val="center"/>
            </w:pPr>
            <w:r w:rsidRPr="006015A3">
              <w:rPr>
                <w:b/>
                <w:color w:val="FFFFFF"/>
              </w:rPr>
              <w:t>Interpretation</w:t>
            </w:r>
          </w:p>
        </w:tc>
      </w:tr>
      <w:tr w:rsidR="00416F38" w:rsidRPr="006015A3">
        <w:tc>
          <w:tcPr>
            <w:tcW w:w="1900" w:type="dxa"/>
            <w:shd w:val="clear" w:color="auto" w:fill="D9EAF7"/>
          </w:tcPr>
          <w:p w:rsidR="00416F38" w:rsidRPr="006015A3" w:rsidRDefault="008555B8" w:rsidP="006015A3">
            <w:pPr>
              <w:spacing w:after="0"/>
              <w:jc w:val="left"/>
            </w:pPr>
            <w:r w:rsidRPr="006015A3">
              <w:rPr>
                <w:b/>
              </w:rPr>
              <w:t>Vehicle deliveries</w:t>
            </w:r>
          </w:p>
        </w:tc>
        <w:tc>
          <w:tcPr>
            <w:tcW w:w="1900" w:type="dxa"/>
          </w:tcPr>
          <w:p w:rsidR="00416F38" w:rsidRPr="006015A3" w:rsidRDefault="008555B8" w:rsidP="006015A3">
            <w:pPr>
              <w:spacing w:after="0"/>
              <w:jc w:val="left"/>
            </w:pPr>
            <w:r w:rsidRPr="006015A3">
              <w:t>2,463,681 (+0.5%)</w:t>
            </w:r>
          </w:p>
        </w:tc>
        <w:tc>
          <w:tcPr>
            <w:tcW w:w="1900" w:type="dxa"/>
          </w:tcPr>
          <w:p w:rsidR="00416F38" w:rsidRPr="006015A3" w:rsidRDefault="008555B8" w:rsidP="006015A3">
            <w:pPr>
              <w:spacing w:after="0"/>
              <w:jc w:val="left"/>
            </w:pPr>
            <w:r w:rsidRPr="006015A3">
              <w:t>1,156,727 (-4.2%)</w:t>
            </w:r>
          </w:p>
        </w:tc>
        <w:tc>
          <w:tcPr>
            <w:tcW w:w="3329" w:type="dxa"/>
          </w:tcPr>
          <w:p w:rsidR="00416F38" w:rsidRPr="006015A3" w:rsidRDefault="008555B8" w:rsidP="006015A3">
            <w:pPr>
              <w:spacing w:after="0"/>
              <w:jc w:val="left"/>
            </w:pPr>
            <w:r w:rsidRPr="006015A3">
              <w:t>Volume resilience weakened</w:t>
            </w:r>
          </w:p>
        </w:tc>
      </w:tr>
      <w:tr w:rsidR="00416F38" w:rsidRPr="006015A3">
        <w:tc>
          <w:tcPr>
            <w:tcW w:w="1900" w:type="dxa"/>
            <w:shd w:val="clear" w:color="auto" w:fill="D9EAF7"/>
          </w:tcPr>
          <w:p w:rsidR="00416F38" w:rsidRPr="006015A3" w:rsidRDefault="008555B8" w:rsidP="006015A3">
            <w:pPr>
              <w:spacing w:after="0"/>
              <w:jc w:val="left"/>
            </w:pPr>
            <w:r w:rsidRPr="006015A3">
              <w:rPr>
                <w:b/>
              </w:rPr>
              <w:t>Automotive EBIT margin</w:t>
            </w:r>
          </w:p>
        </w:tc>
        <w:tc>
          <w:tcPr>
            <w:tcW w:w="1900" w:type="dxa"/>
            <w:shd w:val="clear" w:color="auto" w:fill="F2F2F2"/>
          </w:tcPr>
          <w:p w:rsidR="00416F38" w:rsidRPr="006015A3" w:rsidRDefault="008555B8" w:rsidP="006015A3">
            <w:pPr>
              <w:spacing w:after="0"/>
              <w:jc w:val="left"/>
            </w:pPr>
            <w:r w:rsidRPr="006015A3">
              <w:t>5.3%</w:t>
            </w:r>
          </w:p>
        </w:tc>
        <w:tc>
          <w:tcPr>
            <w:tcW w:w="1900" w:type="dxa"/>
            <w:shd w:val="clear" w:color="auto" w:fill="F2F2F2"/>
          </w:tcPr>
          <w:p w:rsidR="00416F38" w:rsidRPr="006015A3" w:rsidRDefault="008555B8" w:rsidP="006015A3">
            <w:pPr>
              <w:spacing w:after="0"/>
              <w:jc w:val="left"/>
            </w:pPr>
            <w:r w:rsidRPr="006015A3">
              <w:t>3.6%</w:t>
            </w:r>
          </w:p>
        </w:tc>
        <w:tc>
          <w:tcPr>
            <w:tcW w:w="3329" w:type="dxa"/>
            <w:shd w:val="clear" w:color="auto" w:fill="F2F2F2"/>
          </w:tcPr>
          <w:p w:rsidR="00416F38" w:rsidRPr="006015A3" w:rsidRDefault="008555B8" w:rsidP="006015A3">
            <w:pPr>
              <w:spacing w:after="0"/>
              <w:jc w:val="left"/>
            </w:pPr>
            <w:r w:rsidRPr="006015A3">
              <w:t>Below the 8–10% target</w:t>
            </w:r>
          </w:p>
        </w:tc>
      </w:tr>
      <w:tr w:rsidR="00416F38" w:rsidRPr="006015A3">
        <w:tc>
          <w:tcPr>
            <w:tcW w:w="1900" w:type="dxa"/>
            <w:shd w:val="clear" w:color="auto" w:fill="D9EAF7"/>
          </w:tcPr>
          <w:p w:rsidR="00416F38" w:rsidRPr="006015A3" w:rsidRDefault="008555B8" w:rsidP="006015A3">
            <w:pPr>
              <w:spacing w:after="0"/>
              <w:jc w:val="left"/>
            </w:pPr>
            <w:r w:rsidRPr="006015A3">
              <w:rPr>
                <w:b/>
              </w:rPr>
              <w:t>Battery-electric deliveries</w:t>
            </w:r>
          </w:p>
        </w:tc>
        <w:tc>
          <w:tcPr>
            <w:tcW w:w="1900" w:type="dxa"/>
          </w:tcPr>
          <w:p w:rsidR="00416F38" w:rsidRPr="006015A3" w:rsidRDefault="008555B8" w:rsidP="006015A3">
            <w:pPr>
              <w:spacing w:after="0"/>
              <w:jc w:val="left"/>
            </w:pPr>
            <w:r w:rsidRPr="006015A3">
              <w:t>442,056 (+3.6%)</w:t>
            </w:r>
          </w:p>
        </w:tc>
        <w:tc>
          <w:tcPr>
            <w:tcW w:w="1900" w:type="dxa"/>
          </w:tcPr>
          <w:p w:rsidR="00416F38" w:rsidRPr="006015A3" w:rsidRDefault="008555B8" w:rsidP="006015A3">
            <w:pPr>
              <w:spacing w:after="0"/>
              <w:jc w:val="left"/>
            </w:pPr>
            <w:r w:rsidRPr="006015A3">
              <w:t>-7.4% year on year</w:t>
            </w:r>
          </w:p>
        </w:tc>
        <w:tc>
          <w:tcPr>
            <w:tcW w:w="3329" w:type="dxa"/>
          </w:tcPr>
          <w:p w:rsidR="00416F38" w:rsidRPr="006015A3" w:rsidRDefault="008555B8" w:rsidP="006015A3">
            <w:pPr>
              <w:spacing w:after="0"/>
              <w:jc w:val="left"/>
            </w:pPr>
            <w:r w:rsidRPr="006015A3">
              <w:t>Transition is regionally uneven</w:t>
            </w:r>
          </w:p>
        </w:tc>
      </w:tr>
      <w:tr w:rsidR="00416F38" w:rsidRPr="006015A3">
        <w:tc>
          <w:tcPr>
            <w:tcW w:w="1900" w:type="dxa"/>
            <w:shd w:val="clear" w:color="auto" w:fill="D9EAF7"/>
          </w:tcPr>
          <w:p w:rsidR="00416F38" w:rsidRPr="006015A3" w:rsidRDefault="008555B8" w:rsidP="006015A3">
            <w:pPr>
              <w:spacing w:after="0"/>
              <w:jc w:val="left"/>
            </w:pPr>
            <w:r w:rsidRPr="006015A3">
              <w:rPr>
                <w:b/>
              </w:rPr>
              <w:t>Automotive free cash flow</w:t>
            </w:r>
          </w:p>
        </w:tc>
        <w:tc>
          <w:tcPr>
            <w:tcW w:w="1900" w:type="dxa"/>
            <w:shd w:val="clear" w:color="auto" w:fill="F2F2F2"/>
          </w:tcPr>
          <w:p w:rsidR="00416F38" w:rsidRPr="006015A3" w:rsidRDefault="008555B8" w:rsidP="006015A3">
            <w:pPr>
              <w:spacing w:after="0"/>
              <w:jc w:val="left"/>
            </w:pPr>
            <w:r w:rsidRPr="006015A3">
              <w:t>EUR3.24bn</w:t>
            </w:r>
          </w:p>
        </w:tc>
        <w:tc>
          <w:tcPr>
            <w:tcW w:w="1900" w:type="dxa"/>
            <w:shd w:val="clear" w:color="auto" w:fill="F2F2F2"/>
          </w:tcPr>
          <w:p w:rsidR="00416F38" w:rsidRPr="006015A3" w:rsidRDefault="008555B8" w:rsidP="006015A3">
            <w:pPr>
              <w:spacing w:after="0"/>
              <w:jc w:val="left"/>
            </w:pPr>
            <w:r w:rsidRPr="006015A3">
              <w:t>EUR1.29bn (-45.0%)</w:t>
            </w:r>
          </w:p>
        </w:tc>
        <w:tc>
          <w:tcPr>
            <w:tcW w:w="3329" w:type="dxa"/>
            <w:shd w:val="clear" w:color="auto" w:fill="F2F2F2"/>
          </w:tcPr>
          <w:p w:rsidR="00416F38" w:rsidRPr="006015A3" w:rsidRDefault="008555B8" w:rsidP="006015A3">
            <w:pPr>
              <w:spacing w:after="0"/>
              <w:jc w:val="left"/>
            </w:pPr>
            <w:r w:rsidRPr="006015A3">
              <w:t>Less internally funded flexibility</w:t>
            </w:r>
          </w:p>
        </w:tc>
      </w:tr>
      <w:tr w:rsidR="00416F38" w:rsidRPr="006015A3">
        <w:tc>
          <w:tcPr>
            <w:tcW w:w="1900" w:type="dxa"/>
            <w:shd w:val="clear" w:color="auto" w:fill="D9EAF7"/>
          </w:tcPr>
          <w:p w:rsidR="00416F38" w:rsidRPr="006015A3" w:rsidRDefault="008555B8" w:rsidP="006015A3">
            <w:pPr>
              <w:spacing w:after="0"/>
              <w:jc w:val="left"/>
            </w:pPr>
            <w:r w:rsidRPr="006015A3">
              <w:rPr>
                <w:b/>
              </w:rPr>
              <w:t>China deliveries</w:t>
            </w:r>
          </w:p>
        </w:tc>
        <w:tc>
          <w:tcPr>
            <w:tcW w:w="1900" w:type="dxa"/>
          </w:tcPr>
          <w:p w:rsidR="00416F38" w:rsidRPr="006015A3" w:rsidRDefault="008555B8" w:rsidP="006015A3">
            <w:pPr>
              <w:spacing w:after="0"/>
              <w:jc w:val="left"/>
            </w:pPr>
            <w:r w:rsidRPr="006015A3">
              <w:t>Approx. 626,000</w:t>
            </w:r>
          </w:p>
        </w:tc>
        <w:tc>
          <w:tcPr>
            <w:tcW w:w="1900" w:type="dxa"/>
          </w:tcPr>
          <w:p w:rsidR="00416F38" w:rsidRPr="006015A3" w:rsidRDefault="008555B8" w:rsidP="006015A3">
            <w:pPr>
              <w:spacing w:after="0"/>
              <w:jc w:val="left"/>
            </w:pPr>
            <w:r w:rsidRPr="006015A3">
              <w:t>-20.4% year on year</w:t>
            </w:r>
          </w:p>
        </w:tc>
        <w:tc>
          <w:tcPr>
            <w:tcW w:w="3329" w:type="dxa"/>
          </w:tcPr>
          <w:p w:rsidR="00416F38" w:rsidRPr="006015A3" w:rsidRDefault="008555B8" w:rsidP="006015A3">
            <w:pPr>
              <w:spacing w:after="0"/>
              <w:jc w:val="left"/>
            </w:pPr>
            <w:r w:rsidRPr="006015A3">
              <w:t>Largest immediate market weakness</w:t>
            </w:r>
          </w:p>
        </w:tc>
      </w:tr>
    </w:tbl>
    <w:p w:rsidR="00416F38" w:rsidRPr="006015A3" w:rsidRDefault="008555B8" w:rsidP="006015A3">
      <w:pPr>
        <w:spacing w:before="40" w:after="140"/>
        <w:jc w:val="center"/>
      </w:pPr>
      <w:r w:rsidRPr="006015A3">
        <w:rPr>
          <w:b/>
        </w:rPr>
        <w:t>Source:</w:t>
      </w:r>
      <w:r w:rsidRPr="006015A3">
        <w:rPr>
          <w:i/>
        </w:rPr>
        <w:t xml:space="preserve"> BMW Group (2026a; 2026b).</w:t>
      </w:r>
    </w:p>
    <w:p w:rsidR="00416F38" w:rsidRDefault="008555B8">
      <w:r>
        <w:br w:type="page"/>
      </w:r>
    </w:p>
    <w:p w:rsidR="00416F38" w:rsidRDefault="008555B8">
      <w:pPr>
        <w:pStyle w:val="Heading1"/>
      </w:pPr>
      <w:bookmarkStart w:id="5" w:name="section_5"/>
      <w:r>
        <w:lastRenderedPageBreak/>
        <w:t>5. Strategy Analysis</w:t>
      </w:r>
      <w:bookmarkEnd w:id="5"/>
    </w:p>
    <w:p w:rsidR="00416F38" w:rsidRDefault="008555B8">
      <w:pPr>
        <w:pStyle w:val="Heading2"/>
      </w:pPr>
      <w:bookmarkStart w:id="6" w:name="section_5_1"/>
      <w:r>
        <w:t>5.1 External Environmental Audit: PESTEL</w:t>
      </w:r>
      <w:bookmarkEnd w:id="6"/>
    </w:p>
    <w:p w:rsidR="003A17B8" w:rsidRDefault="003A17B8" w:rsidP="003A17B8">
      <w:pPr>
        <w:keepNext/>
        <w:spacing w:before="120" w:after="80"/>
        <w:jc w:val="left"/>
      </w:pPr>
      <w:r w:rsidRPr="003A17B8">
        <w:t>Tariffs, localization incentives and geopolitical tension are eroding and tearing down the global pr</w:t>
      </w:r>
      <w:r>
        <w:t xml:space="preserve">oduction model politically. BMW </w:t>
      </w:r>
      <w:r w:rsidRPr="003A17B8">
        <w:t>estimated at 1.25 percentage points (BMW Group, 2026b) was the corresponding decrease in its automotive margin caused by import duties in 2026. On the economic front, waning Chinese demand, currency fluctuations and high conversion costs are eroding profits despite rising electric demand in Europe. Socially, customers are acquiring a more positive attitude towards electric mobility, which is why they are still unclear about the battery life and resale value. Diouf argues that the pace of technological innovation and a need for fleet owners to replace their vehicles often in part drive the shallow secondary market for EVs. Technologies are rapidly developing: according to the IEA (2026a), the global electric vehicle sales will be approximately 23 million in 2026. It is now pressure from the environment, which includes mining, production, use (including tail pipe) and end of life recovery. Furthermore, there are legal obligations for battery passports for batteries from 2027 onwards and requests for the contenting of used batteries with recycled material from 2031 onwards under the EU Battery Regulation (European Parliament and Council, 2023) and the UNECE R155 (2020), respectively. While these factors add costs, they also provide an opportunity for trusted lifecycle services.</w:t>
      </w:r>
    </w:p>
    <w:p w:rsidR="00416F38" w:rsidRPr="00ED271E" w:rsidRDefault="008555B8" w:rsidP="00ED271E">
      <w:pPr>
        <w:keepNext/>
        <w:spacing w:before="120" w:after="80"/>
        <w:jc w:val="center"/>
      </w:pPr>
      <w:r w:rsidRPr="00ED271E">
        <w:rPr>
          <w:b/>
        </w:rPr>
        <w:t xml:space="preserve">Table 2. </w:t>
      </w:r>
      <w:r w:rsidRPr="00ED271E">
        <w:t>PESTEL summary and strategic implications</w:t>
      </w:r>
    </w:p>
    <w:tbl>
      <w:tblPr>
        <w:tblW w:w="9029" w:type="dxa"/>
        <w:tblLayout w:type="fixed"/>
        <w:tblLook w:val="04A0" w:firstRow="1" w:lastRow="0" w:firstColumn="1" w:lastColumn="0" w:noHBand="0" w:noVBand="1"/>
      </w:tblPr>
      <w:tblGrid>
        <w:gridCol w:w="1900"/>
        <w:gridCol w:w="3300"/>
        <w:gridCol w:w="3829"/>
      </w:tblGrid>
      <w:tr w:rsidR="00416F38" w:rsidRPr="00ED271E">
        <w:trPr>
          <w:cantSplit/>
          <w:tblHeader/>
        </w:trPr>
        <w:tc>
          <w:tcPr>
            <w:tcW w:w="1900" w:type="dxa"/>
            <w:shd w:val="clear" w:color="auto" w:fill="1F4E79"/>
            <w:tcMar>
              <w:top w:w="90" w:type="dxa"/>
              <w:left w:w="100" w:type="dxa"/>
              <w:bottom w:w="90" w:type="dxa"/>
              <w:right w:w="100" w:type="dxa"/>
            </w:tcMar>
            <w:vAlign w:val="center"/>
          </w:tcPr>
          <w:p w:rsidR="00416F38" w:rsidRPr="00ED271E" w:rsidRDefault="008555B8" w:rsidP="00ED271E">
            <w:pPr>
              <w:spacing w:after="0"/>
            </w:pPr>
            <w:r w:rsidRPr="00ED271E">
              <w:rPr>
                <w:b/>
                <w:color w:val="FFFFFF"/>
              </w:rPr>
              <w:t>Factor</w:t>
            </w:r>
          </w:p>
        </w:tc>
        <w:tc>
          <w:tcPr>
            <w:tcW w:w="3300" w:type="dxa"/>
            <w:shd w:val="clear" w:color="auto" w:fill="1F4E79"/>
            <w:tcMar>
              <w:top w:w="90" w:type="dxa"/>
              <w:left w:w="100" w:type="dxa"/>
              <w:bottom w:w="90" w:type="dxa"/>
              <w:right w:w="100" w:type="dxa"/>
            </w:tcMar>
            <w:vAlign w:val="center"/>
          </w:tcPr>
          <w:p w:rsidR="00416F38" w:rsidRPr="00ED271E" w:rsidRDefault="008555B8" w:rsidP="00ED271E">
            <w:pPr>
              <w:spacing w:after="0"/>
            </w:pPr>
            <w:r w:rsidRPr="00ED271E">
              <w:rPr>
                <w:b/>
                <w:color w:val="FFFFFF"/>
              </w:rPr>
              <w:t>Current evidence</w:t>
            </w:r>
          </w:p>
        </w:tc>
        <w:tc>
          <w:tcPr>
            <w:tcW w:w="3829" w:type="dxa"/>
            <w:shd w:val="clear" w:color="auto" w:fill="1F4E79"/>
            <w:tcMar>
              <w:top w:w="90" w:type="dxa"/>
              <w:left w:w="100" w:type="dxa"/>
              <w:bottom w:w="90" w:type="dxa"/>
              <w:right w:w="100" w:type="dxa"/>
            </w:tcMar>
            <w:vAlign w:val="center"/>
          </w:tcPr>
          <w:p w:rsidR="00416F38" w:rsidRPr="00ED271E" w:rsidRDefault="008555B8" w:rsidP="00ED271E">
            <w:pPr>
              <w:spacing w:after="0"/>
            </w:pPr>
            <w:r w:rsidRPr="00ED271E">
              <w:rPr>
                <w:b/>
                <w:color w:val="FFFFFF"/>
              </w:rPr>
              <w:t>Implication for BMW</w:t>
            </w:r>
          </w:p>
        </w:tc>
      </w:tr>
      <w:tr w:rsidR="00416F38" w:rsidRPr="00ED271E">
        <w:tc>
          <w:tcPr>
            <w:tcW w:w="1900" w:type="dxa"/>
            <w:shd w:val="clear" w:color="auto" w:fill="D9EAF7"/>
          </w:tcPr>
          <w:p w:rsidR="00416F38" w:rsidRPr="00ED271E" w:rsidRDefault="008555B8" w:rsidP="008A3EFB">
            <w:pPr>
              <w:spacing w:after="0"/>
              <w:jc w:val="left"/>
            </w:pPr>
            <w:r w:rsidRPr="00ED271E">
              <w:rPr>
                <w:b/>
              </w:rPr>
              <w:t>Political</w:t>
            </w:r>
          </w:p>
        </w:tc>
        <w:tc>
          <w:tcPr>
            <w:tcW w:w="3300" w:type="dxa"/>
          </w:tcPr>
          <w:p w:rsidR="00416F38" w:rsidRPr="00ED271E" w:rsidRDefault="008555B8" w:rsidP="008A3EFB">
            <w:pPr>
              <w:spacing w:after="0"/>
              <w:jc w:val="left"/>
            </w:pPr>
            <w:r w:rsidRPr="00ED271E">
              <w:t xml:space="preserve">Tariffs and </w:t>
            </w:r>
            <w:r w:rsidR="008A3EFB" w:rsidRPr="00ED271E">
              <w:t>localization</w:t>
            </w:r>
            <w:r w:rsidRPr="00ED271E">
              <w:t xml:space="preserve"> policies fragment production</w:t>
            </w:r>
          </w:p>
        </w:tc>
        <w:tc>
          <w:tcPr>
            <w:tcW w:w="3829" w:type="dxa"/>
          </w:tcPr>
          <w:p w:rsidR="00416F38" w:rsidRPr="00ED271E" w:rsidRDefault="008555B8" w:rsidP="008A3EFB">
            <w:pPr>
              <w:spacing w:after="0"/>
              <w:jc w:val="left"/>
            </w:pPr>
            <w:r w:rsidRPr="00ED271E">
              <w:t>Increase regional sourcing and scenario planning</w:t>
            </w:r>
          </w:p>
        </w:tc>
      </w:tr>
      <w:tr w:rsidR="00416F38" w:rsidRPr="00ED271E">
        <w:tc>
          <w:tcPr>
            <w:tcW w:w="1900" w:type="dxa"/>
            <w:shd w:val="clear" w:color="auto" w:fill="D9EAF7"/>
          </w:tcPr>
          <w:p w:rsidR="00416F38" w:rsidRPr="00ED271E" w:rsidRDefault="008555B8" w:rsidP="008A3EFB">
            <w:pPr>
              <w:spacing w:after="0"/>
              <w:jc w:val="left"/>
            </w:pPr>
            <w:r w:rsidRPr="00ED271E">
              <w:rPr>
                <w:b/>
              </w:rPr>
              <w:t>Economic</w:t>
            </w:r>
          </w:p>
        </w:tc>
        <w:tc>
          <w:tcPr>
            <w:tcW w:w="3300" w:type="dxa"/>
            <w:shd w:val="clear" w:color="auto" w:fill="F2F2F2"/>
          </w:tcPr>
          <w:p w:rsidR="00416F38" w:rsidRPr="00ED271E" w:rsidRDefault="008555B8" w:rsidP="008A3EFB">
            <w:pPr>
              <w:spacing w:after="0"/>
              <w:jc w:val="left"/>
            </w:pPr>
            <w:r w:rsidRPr="00ED271E">
              <w:t>China weakness, currency pressure and transition costs</w:t>
            </w:r>
          </w:p>
        </w:tc>
        <w:tc>
          <w:tcPr>
            <w:tcW w:w="3829" w:type="dxa"/>
            <w:shd w:val="clear" w:color="auto" w:fill="F2F2F2"/>
          </w:tcPr>
          <w:p w:rsidR="00416F38" w:rsidRPr="00ED271E" w:rsidRDefault="008555B8" w:rsidP="008A3EFB">
            <w:pPr>
              <w:spacing w:after="0"/>
              <w:jc w:val="left"/>
            </w:pPr>
            <w:r w:rsidRPr="00ED271E">
              <w:t>Protect cash and test capital commitments</w:t>
            </w:r>
          </w:p>
        </w:tc>
      </w:tr>
      <w:tr w:rsidR="00416F38" w:rsidRPr="00ED271E">
        <w:tc>
          <w:tcPr>
            <w:tcW w:w="1900" w:type="dxa"/>
            <w:shd w:val="clear" w:color="auto" w:fill="D9EAF7"/>
          </w:tcPr>
          <w:p w:rsidR="00416F38" w:rsidRPr="00ED271E" w:rsidRDefault="008555B8" w:rsidP="008A3EFB">
            <w:pPr>
              <w:spacing w:after="0"/>
              <w:jc w:val="left"/>
            </w:pPr>
            <w:r w:rsidRPr="00ED271E">
              <w:rPr>
                <w:b/>
              </w:rPr>
              <w:t>Social</w:t>
            </w:r>
          </w:p>
        </w:tc>
        <w:tc>
          <w:tcPr>
            <w:tcW w:w="3300" w:type="dxa"/>
          </w:tcPr>
          <w:p w:rsidR="00416F38" w:rsidRPr="00ED271E" w:rsidRDefault="008555B8" w:rsidP="008A3EFB">
            <w:pPr>
              <w:spacing w:after="0"/>
              <w:jc w:val="left"/>
            </w:pPr>
            <w:r w:rsidRPr="00ED271E">
              <w:t>Battery-life and resale concerns remain</w:t>
            </w:r>
          </w:p>
        </w:tc>
        <w:tc>
          <w:tcPr>
            <w:tcW w:w="3829" w:type="dxa"/>
          </w:tcPr>
          <w:p w:rsidR="00416F38" w:rsidRPr="00ED271E" w:rsidRDefault="008555B8" w:rsidP="008A3EFB">
            <w:pPr>
              <w:spacing w:after="0"/>
              <w:jc w:val="left"/>
            </w:pPr>
            <w:r w:rsidRPr="00ED271E">
              <w:t>Make battery condition and value transparent</w:t>
            </w:r>
          </w:p>
        </w:tc>
      </w:tr>
      <w:tr w:rsidR="00416F38" w:rsidRPr="00ED271E">
        <w:tc>
          <w:tcPr>
            <w:tcW w:w="1900" w:type="dxa"/>
            <w:shd w:val="clear" w:color="auto" w:fill="D9EAF7"/>
          </w:tcPr>
          <w:p w:rsidR="00416F38" w:rsidRPr="00ED271E" w:rsidRDefault="008555B8" w:rsidP="008A3EFB">
            <w:pPr>
              <w:spacing w:after="0"/>
              <w:jc w:val="left"/>
            </w:pPr>
            <w:r w:rsidRPr="00ED271E">
              <w:rPr>
                <w:b/>
              </w:rPr>
              <w:t>Technological</w:t>
            </w:r>
          </w:p>
        </w:tc>
        <w:tc>
          <w:tcPr>
            <w:tcW w:w="3300" w:type="dxa"/>
            <w:shd w:val="clear" w:color="auto" w:fill="F2F2F2"/>
          </w:tcPr>
          <w:p w:rsidR="00416F38" w:rsidRPr="00ED271E" w:rsidRDefault="008555B8" w:rsidP="008A3EFB">
            <w:pPr>
              <w:spacing w:after="0"/>
              <w:jc w:val="left"/>
            </w:pPr>
            <w:r w:rsidRPr="00ED271E">
              <w:t>Fast progress in range, charging and software</w:t>
            </w:r>
          </w:p>
        </w:tc>
        <w:tc>
          <w:tcPr>
            <w:tcW w:w="3829" w:type="dxa"/>
            <w:shd w:val="clear" w:color="auto" w:fill="F2F2F2"/>
          </w:tcPr>
          <w:p w:rsidR="00416F38" w:rsidRPr="00ED271E" w:rsidRDefault="008555B8" w:rsidP="008A3EFB">
            <w:pPr>
              <w:spacing w:after="0"/>
              <w:jc w:val="left"/>
            </w:pPr>
            <w:r w:rsidRPr="00ED271E">
              <w:t>Use updates and diagnostics across the lifecycle</w:t>
            </w:r>
          </w:p>
        </w:tc>
      </w:tr>
      <w:tr w:rsidR="00416F38" w:rsidRPr="00ED271E">
        <w:tc>
          <w:tcPr>
            <w:tcW w:w="1900" w:type="dxa"/>
            <w:shd w:val="clear" w:color="auto" w:fill="D9EAF7"/>
          </w:tcPr>
          <w:p w:rsidR="00416F38" w:rsidRPr="00ED271E" w:rsidRDefault="008555B8" w:rsidP="008A3EFB">
            <w:pPr>
              <w:spacing w:after="0"/>
              <w:jc w:val="left"/>
            </w:pPr>
            <w:r w:rsidRPr="00ED271E">
              <w:rPr>
                <w:b/>
              </w:rPr>
              <w:t>Environmental</w:t>
            </w:r>
          </w:p>
        </w:tc>
        <w:tc>
          <w:tcPr>
            <w:tcW w:w="3300" w:type="dxa"/>
          </w:tcPr>
          <w:p w:rsidR="00416F38" w:rsidRPr="00ED271E" w:rsidRDefault="008555B8" w:rsidP="008A3EFB">
            <w:pPr>
              <w:spacing w:after="0"/>
              <w:jc w:val="left"/>
            </w:pPr>
            <w:r w:rsidRPr="00ED271E">
              <w:t>Pressure covers mining, manufacture and end of life</w:t>
            </w:r>
          </w:p>
        </w:tc>
        <w:tc>
          <w:tcPr>
            <w:tcW w:w="3829" w:type="dxa"/>
          </w:tcPr>
          <w:p w:rsidR="00416F38" w:rsidRPr="00ED271E" w:rsidRDefault="00435314" w:rsidP="008A3EFB">
            <w:pPr>
              <w:spacing w:after="0"/>
              <w:jc w:val="left"/>
            </w:pPr>
            <w:r w:rsidRPr="00ED271E">
              <w:t>Priorities</w:t>
            </w:r>
            <w:r w:rsidR="008555B8" w:rsidRPr="00ED271E">
              <w:t xml:space="preserve"> repair, reuse and material recovery</w:t>
            </w:r>
          </w:p>
        </w:tc>
      </w:tr>
      <w:tr w:rsidR="00416F38" w:rsidRPr="00ED271E">
        <w:tc>
          <w:tcPr>
            <w:tcW w:w="1900" w:type="dxa"/>
            <w:shd w:val="clear" w:color="auto" w:fill="D9EAF7"/>
          </w:tcPr>
          <w:p w:rsidR="00416F38" w:rsidRPr="00ED271E" w:rsidRDefault="008555B8" w:rsidP="008A3EFB">
            <w:pPr>
              <w:spacing w:after="0"/>
              <w:jc w:val="left"/>
            </w:pPr>
            <w:r w:rsidRPr="00ED271E">
              <w:rPr>
                <w:b/>
              </w:rPr>
              <w:t>Legal</w:t>
            </w:r>
          </w:p>
        </w:tc>
        <w:tc>
          <w:tcPr>
            <w:tcW w:w="3300" w:type="dxa"/>
            <w:shd w:val="clear" w:color="auto" w:fill="F2F2F2"/>
          </w:tcPr>
          <w:p w:rsidR="00416F38" w:rsidRPr="00ED271E" w:rsidRDefault="008555B8" w:rsidP="008A3EFB">
            <w:pPr>
              <w:spacing w:after="0"/>
              <w:jc w:val="left"/>
            </w:pPr>
            <w:r w:rsidRPr="00ED271E">
              <w:t>EU passports from 2027; lifecycle cyber-security duties</w:t>
            </w:r>
          </w:p>
        </w:tc>
        <w:tc>
          <w:tcPr>
            <w:tcW w:w="3829" w:type="dxa"/>
            <w:shd w:val="clear" w:color="auto" w:fill="F2F2F2"/>
          </w:tcPr>
          <w:p w:rsidR="00416F38" w:rsidRPr="00ED271E" w:rsidRDefault="008555B8" w:rsidP="008A3EFB">
            <w:pPr>
              <w:spacing w:after="0"/>
              <w:jc w:val="left"/>
            </w:pPr>
            <w:r w:rsidRPr="00ED271E">
              <w:t>Build auditable data and consent controls</w:t>
            </w:r>
          </w:p>
        </w:tc>
      </w:tr>
    </w:tbl>
    <w:p w:rsidR="00B7282C" w:rsidRDefault="00B7282C" w:rsidP="00ED271E">
      <w:pPr>
        <w:spacing w:before="40" w:after="140"/>
        <w:jc w:val="center"/>
      </w:pPr>
    </w:p>
    <w:p w:rsidR="00416F38" w:rsidRPr="00CF5AD3" w:rsidRDefault="008555B8" w:rsidP="00CF5AD3">
      <w:pPr>
        <w:spacing w:before="40" w:after="140"/>
        <w:jc w:val="center"/>
        <w:rPr>
          <w:sz w:val="21"/>
          <w:szCs w:val="21"/>
        </w:rPr>
      </w:pPr>
      <w:r w:rsidRPr="003A17B8">
        <w:rPr>
          <w:b/>
          <w:sz w:val="21"/>
          <w:szCs w:val="21"/>
        </w:rPr>
        <w:t>Source:</w:t>
      </w:r>
      <w:r w:rsidRPr="003A17B8">
        <w:rPr>
          <w:sz w:val="21"/>
          <w:szCs w:val="21"/>
        </w:rPr>
        <w:t xml:space="preserve"> BMW Group (2026b); Diouf (2025); European Parliament and Council (2023); </w:t>
      </w:r>
      <w:r w:rsidR="00B7282C" w:rsidRPr="003A17B8">
        <w:rPr>
          <w:sz w:val="21"/>
          <w:szCs w:val="21"/>
        </w:rPr>
        <w:t xml:space="preserve">                    </w:t>
      </w:r>
      <w:r w:rsidRPr="003A17B8">
        <w:rPr>
          <w:sz w:val="21"/>
          <w:szCs w:val="21"/>
        </w:rPr>
        <w:t>IEA (2026a); UNECE (2020).</w:t>
      </w:r>
      <w:r w:rsidRPr="00ED271E">
        <w:br w:type="page"/>
      </w:r>
      <w:r w:rsidR="004A404C">
        <w:rPr>
          <w:noProof/>
        </w:rPr>
        <w:lastRenderedPageBreak/>
        <w:drawing>
          <wp:inline distT="0" distB="0" distL="0" distR="0" wp14:anchorId="73AD571B" wp14:editId="5BF3A7D5">
            <wp:extent cx="5372100" cy="23812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372100" cy="2381250"/>
                    </a:xfrm>
                    <a:prstGeom prst="rect">
                      <a:avLst/>
                    </a:prstGeom>
                  </pic:spPr>
                </pic:pic>
              </a:graphicData>
            </a:graphic>
          </wp:inline>
        </w:drawing>
      </w:r>
    </w:p>
    <w:p w:rsidR="004A404C" w:rsidRDefault="004A404C" w:rsidP="002505A7">
      <w:pPr>
        <w:spacing w:before="100" w:after="250"/>
        <w:jc w:val="center"/>
      </w:pPr>
      <w:r w:rsidRPr="00CF5AD3">
        <w:rPr>
          <w:rFonts w:eastAsia="Arial" w:cs="Arial"/>
          <w:b/>
          <w:iCs/>
        </w:rPr>
        <w:t>Figure 2:</w:t>
      </w:r>
      <w:r w:rsidRPr="00CF5AD3">
        <w:rPr>
          <w:rFonts w:eastAsia="Arial" w:cs="Arial"/>
          <w:iCs/>
        </w:rPr>
        <w:t xml:space="preserve"> Chinese-brand share of EU/EFTA/UK car registrations, 2025–2026.                                                             Source: compiled from Euronews (2026).</w:t>
      </w:r>
    </w:p>
    <w:p w:rsidR="00416F38" w:rsidRDefault="008555B8">
      <w:pPr>
        <w:pStyle w:val="Heading2"/>
      </w:pPr>
      <w:bookmarkStart w:id="7" w:name="section_5_2"/>
      <w:r>
        <w:t>5.2 Industry Structure: Porter's Five Forces</w:t>
      </w:r>
      <w:bookmarkEnd w:id="7"/>
    </w:p>
    <w:p w:rsidR="00416F38" w:rsidRDefault="008555B8">
      <w:r>
        <w:t>Competitive rivalry is very high because established premium brands, Tesla and Chinese entrants compete on price, range, software and launch speed. Buyer power is high: customers can compare products easily and uncertain residual values transfer risk to owners and leasing companies. Supplier power is medium to high. China produced over 80% of battery cells and over 90% of anode material in 2025, which limits manufacturers' bargaining freedom despite BMW's purchasing scale (IEA, 2026b). Entry barriers remain high in safety approval, capital, brand and service coverage, but modular platforms and outsourced production reduce selected barriers. Substitution is moderate through public transport, shared mobility and remote working. The practical conclusion is that BMW should not fight a broad price war. It needs to reduce buyer uncertainty, secure material access and make its premium ownership system more valuable.</w:t>
      </w:r>
    </w:p>
    <w:p w:rsidR="00416F38" w:rsidRPr="0043376A" w:rsidRDefault="008555B8" w:rsidP="0043376A">
      <w:pPr>
        <w:keepNext/>
        <w:spacing w:before="120" w:after="80"/>
        <w:jc w:val="center"/>
      </w:pPr>
      <w:r w:rsidRPr="0043376A">
        <w:rPr>
          <w:b/>
        </w:rPr>
        <w:t>Table 3.</w:t>
      </w:r>
      <w:r w:rsidRPr="0043376A">
        <w:t xml:space="preserve"> Porter's Five Forces assessment</w:t>
      </w:r>
    </w:p>
    <w:tbl>
      <w:tblPr>
        <w:tblW w:w="9029" w:type="dxa"/>
        <w:tblLayout w:type="fixed"/>
        <w:tblLook w:val="04A0" w:firstRow="1" w:lastRow="0" w:firstColumn="1" w:lastColumn="0" w:noHBand="0" w:noVBand="1"/>
      </w:tblPr>
      <w:tblGrid>
        <w:gridCol w:w="1900"/>
        <w:gridCol w:w="1700"/>
        <w:gridCol w:w="5429"/>
      </w:tblGrid>
      <w:tr w:rsidR="00416F38" w:rsidRPr="0043376A">
        <w:trPr>
          <w:cantSplit/>
          <w:tblHeader/>
        </w:trPr>
        <w:tc>
          <w:tcPr>
            <w:tcW w:w="1900" w:type="dxa"/>
            <w:shd w:val="clear" w:color="auto" w:fill="1F4E79"/>
            <w:tcMar>
              <w:top w:w="90" w:type="dxa"/>
              <w:left w:w="100" w:type="dxa"/>
              <w:bottom w:w="90" w:type="dxa"/>
              <w:right w:w="100" w:type="dxa"/>
            </w:tcMar>
            <w:vAlign w:val="center"/>
          </w:tcPr>
          <w:p w:rsidR="00416F38" w:rsidRPr="0043376A" w:rsidRDefault="008555B8" w:rsidP="00DD6265">
            <w:pPr>
              <w:spacing w:after="0"/>
              <w:jc w:val="center"/>
            </w:pPr>
            <w:r w:rsidRPr="0043376A">
              <w:rPr>
                <w:b/>
                <w:color w:val="FFFFFF"/>
              </w:rPr>
              <w:t>Force</w:t>
            </w:r>
          </w:p>
        </w:tc>
        <w:tc>
          <w:tcPr>
            <w:tcW w:w="1700" w:type="dxa"/>
            <w:shd w:val="clear" w:color="auto" w:fill="1F4E79"/>
            <w:tcMar>
              <w:top w:w="90" w:type="dxa"/>
              <w:left w:w="100" w:type="dxa"/>
              <w:bottom w:w="90" w:type="dxa"/>
              <w:right w:w="100" w:type="dxa"/>
            </w:tcMar>
            <w:vAlign w:val="center"/>
          </w:tcPr>
          <w:p w:rsidR="00416F38" w:rsidRPr="0043376A" w:rsidRDefault="008555B8" w:rsidP="00DD6265">
            <w:pPr>
              <w:spacing w:after="0"/>
              <w:jc w:val="center"/>
            </w:pPr>
            <w:r w:rsidRPr="0043376A">
              <w:rPr>
                <w:b/>
                <w:color w:val="FFFFFF"/>
              </w:rPr>
              <w:t>Assessment</w:t>
            </w:r>
          </w:p>
        </w:tc>
        <w:tc>
          <w:tcPr>
            <w:tcW w:w="5429" w:type="dxa"/>
            <w:shd w:val="clear" w:color="auto" w:fill="1F4E79"/>
            <w:tcMar>
              <w:top w:w="90" w:type="dxa"/>
              <w:left w:w="100" w:type="dxa"/>
              <w:bottom w:w="90" w:type="dxa"/>
              <w:right w:w="100" w:type="dxa"/>
            </w:tcMar>
            <w:vAlign w:val="center"/>
          </w:tcPr>
          <w:p w:rsidR="00416F38" w:rsidRPr="0043376A" w:rsidRDefault="008555B8" w:rsidP="00DD6265">
            <w:pPr>
              <w:spacing w:after="0"/>
              <w:jc w:val="center"/>
            </w:pPr>
            <w:r w:rsidRPr="0043376A">
              <w:rPr>
                <w:b/>
                <w:color w:val="FFFFFF"/>
              </w:rPr>
              <w:t>Strategic consequence</w:t>
            </w:r>
          </w:p>
        </w:tc>
      </w:tr>
      <w:tr w:rsidR="00416F38" w:rsidRPr="0043376A">
        <w:tc>
          <w:tcPr>
            <w:tcW w:w="1900" w:type="dxa"/>
            <w:shd w:val="clear" w:color="auto" w:fill="D9EAF7"/>
          </w:tcPr>
          <w:p w:rsidR="00416F38" w:rsidRPr="0043376A" w:rsidRDefault="008555B8" w:rsidP="00DD6265">
            <w:pPr>
              <w:spacing w:after="0"/>
              <w:jc w:val="left"/>
            </w:pPr>
            <w:r w:rsidRPr="0043376A">
              <w:rPr>
                <w:b/>
              </w:rPr>
              <w:t>Rivalry</w:t>
            </w:r>
          </w:p>
        </w:tc>
        <w:tc>
          <w:tcPr>
            <w:tcW w:w="1700" w:type="dxa"/>
          </w:tcPr>
          <w:p w:rsidR="00416F38" w:rsidRPr="0043376A" w:rsidRDefault="008555B8" w:rsidP="00DD6265">
            <w:pPr>
              <w:spacing w:after="0"/>
              <w:jc w:val="left"/>
            </w:pPr>
            <w:r w:rsidRPr="0043376A">
              <w:t>Very high</w:t>
            </w:r>
          </w:p>
        </w:tc>
        <w:tc>
          <w:tcPr>
            <w:tcW w:w="5429" w:type="dxa"/>
          </w:tcPr>
          <w:p w:rsidR="00416F38" w:rsidRPr="0043376A" w:rsidRDefault="008555B8" w:rsidP="00DD6265">
            <w:pPr>
              <w:spacing w:after="0"/>
              <w:jc w:val="left"/>
            </w:pPr>
            <w:r w:rsidRPr="0043376A">
              <w:t>Differentiate beyond range and transaction price</w:t>
            </w:r>
          </w:p>
        </w:tc>
      </w:tr>
      <w:tr w:rsidR="00416F38" w:rsidRPr="0043376A">
        <w:tc>
          <w:tcPr>
            <w:tcW w:w="1900" w:type="dxa"/>
            <w:shd w:val="clear" w:color="auto" w:fill="D9EAF7"/>
          </w:tcPr>
          <w:p w:rsidR="00416F38" w:rsidRPr="0043376A" w:rsidRDefault="008555B8" w:rsidP="00DD6265">
            <w:pPr>
              <w:spacing w:after="0"/>
              <w:jc w:val="left"/>
            </w:pPr>
            <w:r w:rsidRPr="0043376A">
              <w:rPr>
                <w:b/>
              </w:rPr>
              <w:t>Buyer power</w:t>
            </w:r>
          </w:p>
        </w:tc>
        <w:tc>
          <w:tcPr>
            <w:tcW w:w="1700" w:type="dxa"/>
            <w:shd w:val="clear" w:color="auto" w:fill="F2F2F2"/>
          </w:tcPr>
          <w:p w:rsidR="00416F38" w:rsidRPr="0043376A" w:rsidRDefault="008555B8" w:rsidP="00DD6265">
            <w:pPr>
              <w:spacing w:after="0"/>
              <w:jc w:val="left"/>
            </w:pPr>
            <w:r w:rsidRPr="0043376A">
              <w:t>High</w:t>
            </w:r>
          </w:p>
        </w:tc>
        <w:tc>
          <w:tcPr>
            <w:tcW w:w="5429" w:type="dxa"/>
            <w:shd w:val="clear" w:color="auto" w:fill="F2F2F2"/>
          </w:tcPr>
          <w:p w:rsidR="00416F38" w:rsidRPr="0043376A" w:rsidRDefault="008555B8" w:rsidP="00DD6265">
            <w:pPr>
              <w:spacing w:after="0"/>
              <w:jc w:val="left"/>
            </w:pPr>
            <w:r w:rsidRPr="0043376A">
              <w:t>Reduce ownership and residual-value risk</w:t>
            </w:r>
          </w:p>
        </w:tc>
      </w:tr>
      <w:tr w:rsidR="00416F38" w:rsidRPr="0043376A">
        <w:tc>
          <w:tcPr>
            <w:tcW w:w="1900" w:type="dxa"/>
            <w:shd w:val="clear" w:color="auto" w:fill="D9EAF7"/>
          </w:tcPr>
          <w:p w:rsidR="00416F38" w:rsidRPr="0043376A" w:rsidRDefault="008555B8" w:rsidP="00DD6265">
            <w:pPr>
              <w:spacing w:after="0"/>
              <w:jc w:val="left"/>
            </w:pPr>
            <w:r w:rsidRPr="0043376A">
              <w:rPr>
                <w:b/>
              </w:rPr>
              <w:t>Supplier power</w:t>
            </w:r>
          </w:p>
        </w:tc>
        <w:tc>
          <w:tcPr>
            <w:tcW w:w="1700" w:type="dxa"/>
          </w:tcPr>
          <w:p w:rsidR="00416F38" w:rsidRPr="0043376A" w:rsidRDefault="008555B8" w:rsidP="00DD6265">
            <w:pPr>
              <w:spacing w:after="0"/>
              <w:jc w:val="left"/>
            </w:pPr>
            <w:r w:rsidRPr="0043376A">
              <w:t>Medium–high</w:t>
            </w:r>
          </w:p>
        </w:tc>
        <w:tc>
          <w:tcPr>
            <w:tcW w:w="5429" w:type="dxa"/>
          </w:tcPr>
          <w:p w:rsidR="00416F38" w:rsidRPr="0043376A" w:rsidRDefault="008555B8" w:rsidP="00DD6265">
            <w:pPr>
              <w:spacing w:after="0"/>
              <w:jc w:val="left"/>
            </w:pPr>
            <w:r w:rsidRPr="0043376A">
              <w:t>Recover materials and diversify supply</w:t>
            </w:r>
          </w:p>
        </w:tc>
      </w:tr>
      <w:tr w:rsidR="00416F38" w:rsidRPr="0043376A">
        <w:tc>
          <w:tcPr>
            <w:tcW w:w="1900" w:type="dxa"/>
            <w:shd w:val="clear" w:color="auto" w:fill="D9EAF7"/>
          </w:tcPr>
          <w:p w:rsidR="00416F38" w:rsidRPr="0043376A" w:rsidRDefault="008555B8" w:rsidP="00DD6265">
            <w:pPr>
              <w:spacing w:after="0"/>
              <w:jc w:val="left"/>
            </w:pPr>
            <w:r w:rsidRPr="0043376A">
              <w:rPr>
                <w:b/>
              </w:rPr>
              <w:t>New entry</w:t>
            </w:r>
          </w:p>
        </w:tc>
        <w:tc>
          <w:tcPr>
            <w:tcW w:w="1700" w:type="dxa"/>
            <w:shd w:val="clear" w:color="auto" w:fill="F2F2F2"/>
          </w:tcPr>
          <w:p w:rsidR="00416F38" w:rsidRPr="0043376A" w:rsidRDefault="008555B8" w:rsidP="00DD6265">
            <w:pPr>
              <w:spacing w:after="0"/>
              <w:jc w:val="left"/>
            </w:pPr>
            <w:r w:rsidRPr="0043376A">
              <w:t>Medium</w:t>
            </w:r>
          </w:p>
        </w:tc>
        <w:tc>
          <w:tcPr>
            <w:tcW w:w="5429" w:type="dxa"/>
            <w:shd w:val="clear" w:color="auto" w:fill="F2F2F2"/>
          </w:tcPr>
          <w:p w:rsidR="00416F38" w:rsidRPr="0043376A" w:rsidRDefault="008555B8" w:rsidP="00DD6265">
            <w:pPr>
              <w:spacing w:after="0"/>
              <w:jc w:val="left"/>
            </w:pPr>
            <w:r w:rsidRPr="0043376A">
              <w:t>Use brand, regulation and service coverage as barriers</w:t>
            </w:r>
          </w:p>
        </w:tc>
      </w:tr>
      <w:tr w:rsidR="00416F38" w:rsidRPr="0043376A">
        <w:tc>
          <w:tcPr>
            <w:tcW w:w="1900" w:type="dxa"/>
            <w:shd w:val="clear" w:color="auto" w:fill="D9EAF7"/>
          </w:tcPr>
          <w:p w:rsidR="00416F38" w:rsidRPr="0043376A" w:rsidRDefault="008555B8" w:rsidP="00DD6265">
            <w:pPr>
              <w:spacing w:after="0"/>
              <w:jc w:val="left"/>
            </w:pPr>
            <w:r w:rsidRPr="0043376A">
              <w:rPr>
                <w:b/>
              </w:rPr>
              <w:t>Substitution</w:t>
            </w:r>
          </w:p>
        </w:tc>
        <w:tc>
          <w:tcPr>
            <w:tcW w:w="1700" w:type="dxa"/>
          </w:tcPr>
          <w:p w:rsidR="00416F38" w:rsidRPr="0043376A" w:rsidRDefault="008555B8" w:rsidP="00DD6265">
            <w:pPr>
              <w:spacing w:after="0"/>
              <w:jc w:val="left"/>
            </w:pPr>
            <w:r w:rsidRPr="0043376A">
              <w:t>Medium</w:t>
            </w:r>
          </w:p>
        </w:tc>
        <w:tc>
          <w:tcPr>
            <w:tcW w:w="5429" w:type="dxa"/>
          </w:tcPr>
          <w:p w:rsidR="00416F38" w:rsidRPr="0043376A" w:rsidRDefault="008555B8" w:rsidP="00DD6265">
            <w:pPr>
              <w:spacing w:after="0"/>
              <w:jc w:val="left"/>
            </w:pPr>
            <w:r w:rsidRPr="0043376A">
              <w:t>Strengthen the complete ownership experience</w:t>
            </w:r>
          </w:p>
        </w:tc>
      </w:tr>
    </w:tbl>
    <w:p w:rsidR="000C35D1" w:rsidRDefault="000C35D1" w:rsidP="0043376A">
      <w:pPr>
        <w:spacing w:before="40" w:after="140"/>
        <w:jc w:val="center"/>
        <w:rPr>
          <w:b/>
        </w:rPr>
      </w:pPr>
    </w:p>
    <w:p w:rsidR="00416F38" w:rsidRPr="0043376A" w:rsidRDefault="008555B8" w:rsidP="0043376A">
      <w:pPr>
        <w:spacing w:before="40" w:after="140"/>
        <w:jc w:val="center"/>
      </w:pPr>
      <w:r w:rsidRPr="0043376A">
        <w:rPr>
          <w:b/>
        </w:rPr>
        <w:t>Source:</w:t>
      </w:r>
      <w:r w:rsidRPr="0043376A">
        <w:t xml:space="preserve"> Author's assessment using Grant (2021), BMW Group (2026b) and IEA (2026b).</w:t>
      </w:r>
    </w:p>
    <w:p w:rsidR="00416F38" w:rsidRPr="002505A7" w:rsidRDefault="008555B8" w:rsidP="002505A7">
      <w:pPr>
        <w:rPr>
          <w:rFonts w:asciiTheme="majorHAnsi" w:hAnsiTheme="majorHAnsi" w:cstheme="majorHAnsi"/>
          <w:b/>
        </w:rPr>
      </w:pPr>
      <w:r>
        <w:br w:type="page"/>
      </w:r>
      <w:bookmarkStart w:id="8" w:name="section_5_3"/>
      <w:r w:rsidRPr="00E3252E">
        <w:rPr>
          <w:rFonts w:asciiTheme="majorHAnsi" w:eastAsiaTheme="majorEastAsia" w:hAnsiTheme="majorHAnsi" w:cstheme="majorBidi"/>
          <w:b/>
          <w:bCs/>
          <w:sz w:val="24"/>
          <w:szCs w:val="26"/>
        </w:rPr>
        <w:lastRenderedPageBreak/>
        <w:t>5.3 Internal Environmental Audit: Value Chain and VRIO</w:t>
      </w:r>
      <w:bookmarkEnd w:id="8"/>
    </w:p>
    <w:p w:rsidR="00B83DE2" w:rsidRDefault="00B83DE2" w:rsidP="00B83DE2">
      <w:pPr>
        <w:keepNext/>
        <w:spacing w:before="120" w:after="80"/>
        <w:jc w:val="left"/>
      </w:pPr>
      <w:r w:rsidRPr="00B83DE2">
        <w:t xml:space="preserve">BMW's value chain starts with EUR79.5 billion in purchases, spread across the world, and a global production network, which goes through engineering and brand management, and eventually to the dealers, connected services, aftersales and Finance (BMW Group, 2026a). The greatest strength is the combination of these activities. There is a high value on brand trust, engineering routines, the vehicle data and an existing finance relationship, all of which are relatively scarce. They also incur high reproduction costs due to specificity and reliance on knowledge, regulation, physical service capacity, and long customer histories. BMW is structured to employ them via activities worldwide and Financial Services. </w:t>
      </w:r>
      <w:r w:rsidR="00EF425E" w:rsidRPr="00B83DE2">
        <w:t>However,</w:t>
      </w:r>
      <w:r w:rsidRPr="00B83DE2">
        <w:t xml:space="preserve"> </w:t>
      </w:r>
      <w:r w:rsidR="00EF425E" w:rsidRPr="00B83DE2">
        <w:t>it is</w:t>
      </w:r>
      <w:r w:rsidRPr="00B83DE2">
        <w:t xml:space="preserve"> not reputation, </w:t>
      </w:r>
      <w:r w:rsidR="00EF425E" w:rsidRPr="00B83DE2">
        <w:t>its</w:t>
      </w:r>
      <w:r w:rsidRPr="00B83DE2">
        <w:t xml:space="preserve"> realized value that VRIO analysis lo</w:t>
      </w:r>
      <w:bookmarkStart w:id="9" w:name="_GoBack"/>
      <w:bookmarkEnd w:id="9"/>
      <w:r w:rsidRPr="00B83DE2">
        <w:t xml:space="preserve">oks at. </w:t>
      </w:r>
      <w:r w:rsidR="00EF425E" w:rsidRPr="00EF425E">
        <w:t>The negative impacts of software speed, market response in China and multi-power train complexity are captured in the fading margins.</w:t>
      </w:r>
      <w:r w:rsidRPr="00B83DE2">
        <w:t>. With a change of a business model, the strong assets must undergo dynamic reconfiguration, in order to explain why, according to Teece (2018). BMW needs to tie together engineering, finance, and repair and recycling, rather than viewing them as distinct capabilities.</w:t>
      </w:r>
    </w:p>
    <w:p w:rsidR="00416F38" w:rsidRPr="00C173A7" w:rsidRDefault="008555B8" w:rsidP="00C173A7">
      <w:pPr>
        <w:keepNext/>
        <w:spacing w:before="120" w:after="80"/>
        <w:jc w:val="center"/>
      </w:pPr>
      <w:r w:rsidRPr="00C173A7">
        <w:rPr>
          <w:b/>
        </w:rPr>
        <w:t xml:space="preserve">Table 4. </w:t>
      </w:r>
      <w:r w:rsidRPr="00C173A7">
        <w:t>Internal audit synthesis</w:t>
      </w:r>
    </w:p>
    <w:tbl>
      <w:tblPr>
        <w:tblW w:w="9029" w:type="dxa"/>
        <w:tblLayout w:type="fixed"/>
        <w:tblLook w:val="04A0" w:firstRow="1" w:lastRow="0" w:firstColumn="1" w:lastColumn="0" w:noHBand="0" w:noVBand="1"/>
      </w:tblPr>
      <w:tblGrid>
        <w:gridCol w:w="1750"/>
        <w:gridCol w:w="3600"/>
        <w:gridCol w:w="3679"/>
      </w:tblGrid>
      <w:tr w:rsidR="00416F38" w:rsidRPr="00C173A7">
        <w:trPr>
          <w:cantSplit/>
          <w:tblHeader/>
        </w:trPr>
        <w:tc>
          <w:tcPr>
            <w:tcW w:w="1750" w:type="dxa"/>
            <w:shd w:val="clear" w:color="auto" w:fill="1F4E79"/>
            <w:tcMar>
              <w:top w:w="90" w:type="dxa"/>
              <w:left w:w="100" w:type="dxa"/>
              <w:bottom w:w="90" w:type="dxa"/>
              <w:right w:w="100" w:type="dxa"/>
            </w:tcMar>
            <w:vAlign w:val="center"/>
          </w:tcPr>
          <w:p w:rsidR="00416F38" w:rsidRPr="00C173A7" w:rsidRDefault="008555B8" w:rsidP="00C173A7">
            <w:pPr>
              <w:spacing w:after="0"/>
              <w:jc w:val="center"/>
            </w:pPr>
            <w:r w:rsidRPr="00C173A7">
              <w:rPr>
                <w:b/>
                <w:color w:val="FFFFFF"/>
              </w:rPr>
              <w:t>Framework</w:t>
            </w:r>
          </w:p>
        </w:tc>
        <w:tc>
          <w:tcPr>
            <w:tcW w:w="3600" w:type="dxa"/>
            <w:shd w:val="clear" w:color="auto" w:fill="1F4E79"/>
            <w:tcMar>
              <w:top w:w="90" w:type="dxa"/>
              <w:left w:w="100" w:type="dxa"/>
              <w:bottom w:w="90" w:type="dxa"/>
              <w:right w:w="100" w:type="dxa"/>
            </w:tcMar>
            <w:vAlign w:val="center"/>
          </w:tcPr>
          <w:p w:rsidR="00416F38" w:rsidRPr="00C173A7" w:rsidRDefault="008555B8" w:rsidP="00C173A7">
            <w:pPr>
              <w:spacing w:after="0"/>
              <w:jc w:val="center"/>
            </w:pPr>
            <w:r w:rsidRPr="00C173A7">
              <w:rPr>
                <w:b/>
                <w:color w:val="FFFFFF"/>
              </w:rPr>
              <w:t>Finding</w:t>
            </w:r>
          </w:p>
        </w:tc>
        <w:tc>
          <w:tcPr>
            <w:tcW w:w="3679" w:type="dxa"/>
            <w:shd w:val="clear" w:color="auto" w:fill="1F4E79"/>
            <w:tcMar>
              <w:top w:w="90" w:type="dxa"/>
              <w:left w:w="100" w:type="dxa"/>
              <w:bottom w:w="90" w:type="dxa"/>
              <w:right w:w="100" w:type="dxa"/>
            </w:tcMar>
            <w:vAlign w:val="center"/>
          </w:tcPr>
          <w:p w:rsidR="00416F38" w:rsidRPr="00C173A7" w:rsidRDefault="008555B8" w:rsidP="00C173A7">
            <w:pPr>
              <w:spacing w:after="0"/>
              <w:jc w:val="center"/>
            </w:pPr>
            <w:r w:rsidRPr="00C173A7">
              <w:rPr>
                <w:b/>
                <w:color w:val="FFFFFF"/>
              </w:rPr>
              <w:t>Strategic meaning</w:t>
            </w:r>
          </w:p>
        </w:tc>
      </w:tr>
      <w:tr w:rsidR="00416F38" w:rsidRPr="00C173A7">
        <w:tc>
          <w:tcPr>
            <w:tcW w:w="1750" w:type="dxa"/>
            <w:shd w:val="clear" w:color="auto" w:fill="D9EAF7"/>
          </w:tcPr>
          <w:p w:rsidR="00416F38" w:rsidRPr="00C173A7" w:rsidRDefault="008555B8" w:rsidP="00C173A7">
            <w:pPr>
              <w:spacing w:after="0"/>
              <w:jc w:val="left"/>
            </w:pPr>
            <w:r w:rsidRPr="00C173A7">
              <w:rPr>
                <w:b/>
              </w:rPr>
              <w:t>Value Chain</w:t>
            </w:r>
          </w:p>
        </w:tc>
        <w:tc>
          <w:tcPr>
            <w:tcW w:w="3600" w:type="dxa"/>
          </w:tcPr>
          <w:p w:rsidR="00416F38" w:rsidRPr="00C173A7" w:rsidRDefault="008555B8" w:rsidP="00C173A7">
            <w:pPr>
              <w:spacing w:after="0"/>
              <w:jc w:val="left"/>
            </w:pPr>
            <w:r w:rsidRPr="00C173A7">
              <w:t>Engineering, production, data, aftersales and finance span the lifecycle</w:t>
            </w:r>
          </w:p>
        </w:tc>
        <w:tc>
          <w:tcPr>
            <w:tcW w:w="3679" w:type="dxa"/>
          </w:tcPr>
          <w:p w:rsidR="00416F38" w:rsidRPr="00C173A7" w:rsidRDefault="008555B8" w:rsidP="00C173A7">
            <w:pPr>
              <w:spacing w:after="0"/>
              <w:jc w:val="left"/>
            </w:pPr>
            <w:r w:rsidRPr="00C173A7">
              <w:t>Integration can create recurring value</w:t>
            </w:r>
          </w:p>
        </w:tc>
      </w:tr>
      <w:tr w:rsidR="00416F38" w:rsidRPr="00C173A7">
        <w:tc>
          <w:tcPr>
            <w:tcW w:w="1750" w:type="dxa"/>
            <w:shd w:val="clear" w:color="auto" w:fill="D9EAF7"/>
          </w:tcPr>
          <w:p w:rsidR="00416F38" w:rsidRPr="00C173A7" w:rsidRDefault="008555B8" w:rsidP="00C173A7">
            <w:pPr>
              <w:spacing w:after="0"/>
              <w:jc w:val="left"/>
            </w:pPr>
            <w:r w:rsidRPr="00C173A7">
              <w:rPr>
                <w:b/>
              </w:rPr>
              <w:t>VRIO</w:t>
            </w:r>
          </w:p>
        </w:tc>
        <w:tc>
          <w:tcPr>
            <w:tcW w:w="3600" w:type="dxa"/>
            <w:shd w:val="clear" w:color="auto" w:fill="F2F2F2"/>
          </w:tcPr>
          <w:p w:rsidR="00416F38" w:rsidRPr="00C173A7" w:rsidRDefault="008555B8" w:rsidP="00C173A7">
            <w:pPr>
              <w:spacing w:after="0"/>
              <w:jc w:val="left"/>
            </w:pPr>
            <w:r w:rsidRPr="00C173A7">
              <w:t>Brand, engineering routines and finance relationships are hard to copy</w:t>
            </w:r>
          </w:p>
        </w:tc>
        <w:tc>
          <w:tcPr>
            <w:tcW w:w="3679" w:type="dxa"/>
            <w:shd w:val="clear" w:color="auto" w:fill="F2F2F2"/>
          </w:tcPr>
          <w:p w:rsidR="00416F38" w:rsidRPr="00C173A7" w:rsidRDefault="008555B8" w:rsidP="00C173A7">
            <w:pPr>
              <w:spacing w:after="0"/>
              <w:jc w:val="left"/>
            </w:pPr>
            <w:r w:rsidRPr="00C173A7">
              <w:t>Potential advantage, but current margins show weak capture</w:t>
            </w:r>
          </w:p>
        </w:tc>
      </w:tr>
      <w:tr w:rsidR="00416F38" w:rsidRPr="00C173A7">
        <w:tc>
          <w:tcPr>
            <w:tcW w:w="1750" w:type="dxa"/>
            <w:shd w:val="clear" w:color="auto" w:fill="D9EAF7"/>
          </w:tcPr>
          <w:p w:rsidR="00416F38" w:rsidRPr="00C173A7" w:rsidRDefault="008555B8" w:rsidP="00C173A7">
            <w:pPr>
              <w:spacing w:after="0"/>
              <w:jc w:val="left"/>
            </w:pPr>
            <w:r w:rsidRPr="00C173A7">
              <w:rPr>
                <w:b/>
              </w:rPr>
              <w:t>SWOT</w:t>
            </w:r>
          </w:p>
        </w:tc>
        <w:tc>
          <w:tcPr>
            <w:tcW w:w="3600" w:type="dxa"/>
          </w:tcPr>
          <w:p w:rsidR="00416F38" w:rsidRPr="00C173A7" w:rsidRDefault="008555B8" w:rsidP="00C173A7">
            <w:pPr>
              <w:spacing w:after="0"/>
              <w:jc w:val="left"/>
            </w:pPr>
            <w:r w:rsidRPr="00C173A7">
              <w:t>Strong premium assets face China, cost, tariff and cyber threats</w:t>
            </w:r>
          </w:p>
        </w:tc>
        <w:tc>
          <w:tcPr>
            <w:tcW w:w="3679" w:type="dxa"/>
          </w:tcPr>
          <w:p w:rsidR="00416F38" w:rsidRPr="00C173A7" w:rsidRDefault="008555B8" w:rsidP="00C173A7">
            <w:pPr>
              <w:spacing w:after="0"/>
              <w:jc w:val="left"/>
            </w:pPr>
            <w:r w:rsidRPr="00C173A7">
              <w:t>Use strengths against specific external problems</w:t>
            </w:r>
          </w:p>
        </w:tc>
      </w:tr>
      <w:tr w:rsidR="00416F38" w:rsidRPr="00C173A7">
        <w:tc>
          <w:tcPr>
            <w:tcW w:w="1750" w:type="dxa"/>
            <w:shd w:val="clear" w:color="auto" w:fill="D9EAF7"/>
          </w:tcPr>
          <w:p w:rsidR="00416F38" w:rsidRPr="00C173A7" w:rsidRDefault="008555B8" w:rsidP="00C173A7">
            <w:pPr>
              <w:spacing w:after="0"/>
              <w:jc w:val="left"/>
            </w:pPr>
            <w:r w:rsidRPr="00C173A7">
              <w:rPr>
                <w:b/>
              </w:rPr>
              <w:t>BCG</w:t>
            </w:r>
          </w:p>
        </w:tc>
        <w:tc>
          <w:tcPr>
            <w:tcW w:w="3600" w:type="dxa"/>
            <w:shd w:val="clear" w:color="auto" w:fill="F2F2F2"/>
          </w:tcPr>
          <w:p w:rsidR="00416F38" w:rsidRPr="00C173A7" w:rsidRDefault="008555B8" w:rsidP="00C173A7">
            <w:pPr>
              <w:spacing w:after="0"/>
              <w:jc w:val="left"/>
            </w:pPr>
            <w:r w:rsidRPr="00C173A7">
              <w:t>Legacy models fund growth; Neue Klasse must earn star status</w:t>
            </w:r>
          </w:p>
        </w:tc>
        <w:tc>
          <w:tcPr>
            <w:tcW w:w="3679" w:type="dxa"/>
            <w:shd w:val="clear" w:color="auto" w:fill="F2F2F2"/>
          </w:tcPr>
          <w:p w:rsidR="00416F38" w:rsidRPr="00C173A7" w:rsidRDefault="008555B8" w:rsidP="00C173A7">
            <w:pPr>
              <w:spacing w:after="0"/>
              <w:jc w:val="left"/>
            </w:pPr>
            <w:r w:rsidRPr="00C173A7">
              <w:t>Concentrate capital and apply performance gates</w:t>
            </w:r>
          </w:p>
        </w:tc>
      </w:tr>
    </w:tbl>
    <w:p w:rsidR="00251F17" w:rsidRPr="00251F17" w:rsidRDefault="00251F17" w:rsidP="00C173A7">
      <w:pPr>
        <w:spacing w:before="40" w:after="140"/>
        <w:jc w:val="center"/>
        <w:rPr>
          <w:b/>
        </w:rPr>
      </w:pPr>
    </w:p>
    <w:p w:rsidR="00416F38" w:rsidRPr="00251F17" w:rsidRDefault="008555B8" w:rsidP="00C173A7">
      <w:pPr>
        <w:spacing w:before="40" w:after="140"/>
        <w:jc w:val="center"/>
      </w:pPr>
      <w:r w:rsidRPr="00251F17">
        <w:rPr>
          <w:b/>
        </w:rPr>
        <w:t>Source:</w:t>
      </w:r>
      <w:r w:rsidRPr="00251F17">
        <w:t xml:space="preserve"> Author's synthesis using BMW Group (2026a; 2026b), Grant (2021) </w:t>
      </w:r>
      <w:r w:rsidR="00251F17">
        <w:t xml:space="preserve">                                   </w:t>
      </w:r>
      <w:r w:rsidRPr="00251F17">
        <w:t>and Teece (2018).</w:t>
      </w:r>
    </w:p>
    <w:p w:rsidR="00416F38" w:rsidRDefault="008555B8">
      <w:r>
        <w:br w:type="page"/>
      </w:r>
    </w:p>
    <w:p w:rsidR="00416F38" w:rsidRDefault="008555B8">
      <w:pPr>
        <w:pStyle w:val="Heading2"/>
      </w:pPr>
      <w:bookmarkStart w:id="10" w:name="section_5_4"/>
      <w:r>
        <w:lastRenderedPageBreak/>
        <w:t>5.4 SWOT and BCG Synthesis</w:t>
      </w:r>
      <w:bookmarkEnd w:id="10"/>
    </w:p>
    <w:p w:rsidR="00416F38" w:rsidRDefault="0064657A" w:rsidP="0064657A">
      <w:pPr>
        <w:jc w:val="left"/>
      </w:pPr>
      <w:r w:rsidRPr="0064657A">
        <w:t>BMW's key assets include a strong brand, a deep engineering base, large manufacturing capability, the financial reach and after treatment network. Concerns are its high fixed costs and vulnerability to China and sub-target margins and a still far-to-be-achieved electric share it would like to reach in 2030. New opportunities from European electric growth, battery passports, repair, second-life use and recurring digital services. Tariffs, the cost advantage of China, as well as failures in cyber and concentrated battery supply are among the threats. In the case of BCG logic, you have mature combustion products as cash generators, and captain Neue Klasse electric models as high growth investments that need to be stars. Due to the lack of product-level relative market data from BMW, it was not possible to show an exact classification. As Washington Grant (2021), cautions that frames do not replace judgement. The sum of evidence points in the direction of making efficient use of legacy cash flow and investing in different features of electric vehicle life cycle value rather than putting money into all the options without distinction.</w:t>
      </w:r>
      <w:r w:rsidR="008555B8">
        <w:br w:type="page"/>
      </w:r>
    </w:p>
    <w:p w:rsidR="00416F38" w:rsidRDefault="008555B8">
      <w:pPr>
        <w:pStyle w:val="Heading1"/>
      </w:pPr>
      <w:bookmarkStart w:id="11" w:name="section_6"/>
      <w:r>
        <w:lastRenderedPageBreak/>
        <w:t>6. Strategy Formulation</w:t>
      </w:r>
      <w:bookmarkEnd w:id="11"/>
    </w:p>
    <w:p w:rsidR="00EE7019" w:rsidRDefault="00EE7019">
      <w:pPr>
        <w:keepNext/>
        <w:spacing w:before="120" w:after="80"/>
        <w:jc w:val="left"/>
      </w:pPr>
      <w:r w:rsidRPr="00EE7019">
        <w:t xml:space="preserve">We want to see </w:t>
      </w:r>
      <w:r w:rsidRPr="00EE7019">
        <w:rPr>
          <w:b/>
        </w:rPr>
        <w:t>Battery Loop</w:t>
      </w:r>
      <w:r w:rsidRPr="00EE7019">
        <w:t xml:space="preserve"> Assurance, a transferable lifecycle service for Neue Klasse electric cars in the EU, brought to life by BMW. The offer would include a battery-health certificate, predictive diagnostics, guarantees for the battery's repair, a residual-value schedule, and contractual battery returns, including the take-back guarantee and allocation of returned batteries for repair, second-life or closed-loop recycling. BMW Financial Services would resell the service at the time of purchase and/or lease, and the customer relationship would be kept at the subsequent transfer of ownership. The three alternatives explored were broad price discounting, just increasing recycling capacity and the integrated assurance service. Discounting would be helpful to sales volume but would be harmful to premium positioning and margin. Chasing customers' uncertainty by recycling only helps recovery rate of the material. For that reason, </w:t>
      </w:r>
      <w:r w:rsidRPr="00EE7019">
        <w:rPr>
          <w:b/>
        </w:rPr>
        <w:t>Battery Loop</w:t>
      </w:r>
      <w:r w:rsidRPr="00EE7019">
        <w:t xml:space="preserve"> is more applicable, since it works solely with buyer power, regulation, supply danger and difference. Acceptable if it cannot be guaranteed because of the following battery-health rules: transparent provisions, independent assurance, and conservative rules. This is achievable due to BMW's already connected vehicles, good finance reach, coverage in repair service, and BMW Group's European closed-loop partnership with SK tes (BMW Group, 2025). However, circular models still have some challenges to address, such as shared data standards and risk allocation within an ecosystem (Toorajipour et al., 2024). Germany, France and the Netherlands should be included in a pilot for 2027–2029. Rasheal should be based on 20% customer uptake, recovery of more than 90% of the packs under booking rate and positive Unit contribution by the third year and higher with re-purchase. Named executive ownership of Data quality, Cyber-security, Competition law and Provisioning. The fact that the pilot is small also helps BMW to understand the reactions of owners to the reassurance it brings, how dealers deal with battery repair and how the relevant guarantees costs develop before it invests in a broad large-scale rollout programme across Europe.</w:t>
      </w:r>
    </w:p>
    <w:p w:rsidR="00416F38" w:rsidRPr="00EE7019" w:rsidRDefault="008555B8" w:rsidP="00EE7019">
      <w:pPr>
        <w:keepNext/>
        <w:spacing w:before="120" w:after="80"/>
        <w:jc w:val="center"/>
      </w:pPr>
      <w:r w:rsidRPr="00EE7019">
        <w:rPr>
          <w:b/>
        </w:rPr>
        <w:t>Table 5. Strategic choice evaluation</w:t>
      </w:r>
    </w:p>
    <w:tbl>
      <w:tblPr>
        <w:tblW w:w="9029" w:type="dxa"/>
        <w:tblLayout w:type="fixed"/>
        <w:tblLook w:val="04A0" w:firstRow="1" w:lastRow="0" w:firstColumn="1" w:lastColumn="0" w:noHBand="0" w:noVBand="1"/>
      </w:tblPr>
      <w:tblGrid>
        <w:gridCol w:w="1800"/>
        <w:gridCol w:w="2500"/>
        <w:gridCol w:w="2500"/>
        <w:gridCol w:w="2229"/>
      </w:tblGrid>
      <w:tr w:rsidR="00416F38">
        <w:trPr>
          <w:cantSplit/>
          <w:tblHeader/>
        </w:trPr>
        <w:tc>
          <w:tcPr>
            <w:tcW w:w="1800" w:type="dxa"/>
            <w:shd w:val="clear" w:color="auto" w:fill="1F4E79"/>
            <w:tcMar>
              <w:top w:w="90" w:type="dxa"/>
              <w:left w:w="100" w:type="dxa"/>
              <w:bottom w:w="90" w:type="dxa"/>
              <w:right w:w="100" w:type="dxa"/>
            </w:tcMar>
            <w:vAlign w:val="center"/>
          </w:tcPr>
          <w:p w:rsidR="00416F38" w:rsidRPr="00EE7019" w:rsidRDefault="008555B8" w:rsidP="00EE7019">
            <w:pPr>
              <w:spacing w:after="0" w:line="276" w:lineRule="auto"/>
              <w:jc w:val="center"/>
            </w:pPr>
            <w:r w:rsidRPr="00EE7019">
              <w:rPr>
                <w:b/>
                <w:color w:val="FFFFFF"/>
              </w:rPr>
              <w:t>Option</w:t>
            </w:r>
          </w:p>
        </w:tc>
        <w:tc>
          <w:tcPr>
            <w:tcW w:w="2500" w:type="dxa"/>
            <w:shd w:val="clear" w:color="auto" w:fill="1F4E79"/>
            <w:tcMar>
              <w:top w:w="90" w:type="dxa"/>
              <w:left w:w="100" w:type="dxa"/>
              <w:bottom w:w="90" w:type="dxa"/>
              <w:right w:w="100" w:type="dxa"/>
            </w:tcMar>
            <w:vAlign w:val="center"/>
          </w:tcPr>
          <w:p w:rsidR="00416F38" w:rsidRPr="00EE7019" w:rsidRDefault="008555B8" w:rsidP="00EE7019">
            <w:pPr>
              <w:spacing w:after="0" w:line="276" w:lineRule="auto"/>
              <w:jc w:val="center"/>
            </w:pPr>
            <w:r w:rsidRPr="00EE7019">
              <w:rPr>
                <w:b/>
                <w:color w:val="FFFFFF"/>
              </w:rPr>
              <w:t>Suitability</w:t>
            </w:r>
          </w:p>
        </w:tc>
        <w:tc>
          <w:tcPr>
            <w:tcW w:w="2500" w:type="dxa"/>
            <w:shd w:val="clear" w:color="auto" w:fill="1F4E79"/>
            <w:tcMar>
              <w:top w:w="90" w:type="dxa"/>
              <w:left w:w="100" w:type="dxa"/>
              <w:bottom w:w="90" w:type="dxa"/>
              <w:right w:w="100" w:type="dxa"/>
            </w:tcMar>
            <w:vAlign w:val="center"/>
          </w:tcPr>
          <w:p w:rsidR="00416F38" w:rsidRPr="00EE7019" w:rsidRDefault="008555B8" w:rsidP="00EE7019">
            <w:pPr>
              <w:spacing w:after="0" w:line="276" w:lineRule="auto"/>
              <w:jc w:val="center"/>
            </w:pPr>
            <w:r w:rsidRPr="00EE7019">
              <w:rPr>
                <w:b/>
                <w:color w:val="FFFFFF"/>
              </w:rPr>
              <w:t>Acceptability</w:t>
            </w:r>
          </w:p>
        </w:tc>
        <w:tc>
          <w:tcPr>
            <w:tcW w:w="2229" w:type="dxa"/>
            <w:shd w:val="clear" w:color="auto" w:fill="1F4E79"/>
            <w:tcMar>
              <w:top w:w="90" w:type="dxa"/>
              <w:left w:w="100" w:type="dxa"/>
              <w:bottom w:w="90" w:type="dxa"/>
              <w:right w:w="100" w:type="dxa"/>
            </w:tcMar>
            <w:vAlign w:val="center"/>
          </w:tcPr>
          <w:p w:rsidR="00416F38" w:rsidRPr="00EE7019" w:rsidRDefault="008555B8" w:rsidP="00EE7019">
            <w:pPr>
              <w:spacing w:after="0" w:line="276" w:lineRule="auto"/>
              <w:jc w:val="center"/>
            </w:pPr>
            <w:r w:rsidRPr="00EE7019">
              <w:rPr>
                <w:b/>
                <w:color w:val="FFFFFF"/>
              </w:rPr>
              <w:t>Feasibility</w:t>
            </w:r>
          </w:p>
        </w:tc>
      </w:tr>
      <w:tr w:rsidR="00416F38">
        <w:tc>
          <w:tcPr>
            <w:tcW w:w="1800" w:type="dxa"/>
            <w:shd w:val="clear" w:color="auto" w:fill="D9EAF7"/>
          </w:tcPr>
          <w:p w:rsidR="00416F38" w:rsidRPr="00EE7019" w:rsidRDefault="008555B8" w:rsidP="00EE7019">
            <w:pPr>
              <w:spacing w:after="0" w:line="276" w:lineRule="auto"/>
              <w:jc w:val="left"/>
            </w:pPr>
            <w:r w:rsidRPr="00EE7019">
              <w:rPr>
                <w:b/>
              </w:rPr>
              <w:t>Broad price discounting</w:t>
            </w:r>
          </w:p>
        </w:tc>
        <w:tc>
          <w:tcPr>
            <w:tcW w:w="2500" w:type="dxa"/>
          </w:tcPr>
          <w:p w:rsidR="00416F38" w:rsidRPr="00EE7019" w:rsidRDefault="008555B8" w:rsidP="00EE7019">
            <w:pPr>
              <w:spacing w:after="0" w:line="276" w:lineRule="auto"/>
              <w:jc w:val="left"/>
            </w:pPr>
            <w:r w:rsidRPr="00EE7019">
              <w:t>Low: follows rivals</w:t>
            </w:r>
          </w:p>
        </w:tc>
        <w:tc>
          <w:tcPr>
            <w:tcW w:w="2500" w:type="dxa"/>
          </w:tcPr>
          <w:p w:rsidR="00416F38" w:rsidRPr="00EE7019" w:rsidRDefault="008555B8" w:rsidP="00EE7019">
            <w:pPr>
              <w:spacing w:after="0" w:line="276" w:lineRule="auto"/>
              <w:jc w:val="left"/>
            </w:pPr>
            <w:r w:rsidRPr="00EE7019">
              <w:t>Low: damages margin and brand</w:t>
            </w:r>
          </w:p>
        </w:tc>
        <w:tc>
          <w:tcPr>
            <w:tcW w:w="2229" w:type="dxa"/>
          </w:tcPr>
          <w:p w:rsidR="00416F38" w:rsidRPr="00EE7019" w:rsidRDefault="008555B8" w:rsidP="00EE7019">
            <w:pPr>
              <w:spacing w:after="0" w:line="276" w:lineRule="auto"/>
              <w:jc w:val="left"/>
            </w:pPr>
            <w:r w:rsidRPr="00EE7019">
              <w:t>High operationally</w:t>
            </w:r>
          </w:p>
        </w:tc>
      </w:tr>
      <w:tr w:rsidR="00416F38">
        <w:tc>
          <w:tcPr>
            <w:tcW w:w="1800" w:type="dxa"/>
            <w:shd w:val="clear" w:color="auto" w:fill="D9EAF7"/>
          </w:tcPr>
          <w:p w:rsidR="00416F38" w:rsidRPr="00EE7019" w:rsidRDefault="008555B8" w:rsidP="00EE7019">
            <w:pPr>
              <w:spacing w:after="0" w:line="276" w:lineRule="auto"/>
              <w:jc w:val="left"/>
            </w:pPr>
            <w:r w:rsidRPr="00EE7019">
              <w:rPr>
                <w:b/>
              </w:rPr>
              <w:t>Recycling expansion only</w:t>
            </w:r>
          </w:p>
        </w:tc>
        <w:tc>
          <w:tcPr>
            <w:tcW w:w="2500" w:type="dxa"/>
            <w:shd w:val="clear" w:color="auto" w:fill="F2F2F2"/>
          </w:tcPr>
          <w:p w:rsidR="00416F38" w:rsidRPr="00EE7019" w:rsidRDefault="008555B8" w:rsidP="00EE7019">
            <w:pPr>
              <w:spacing w:after="0" w:line="276" w:lineRule="auto"/>
              <w:jc w:val="left"/>
            </w:pPr>
            <w:r w:rsidRPr="00EE7019">
              <w:t>Medium: reduces material risk</w:t>
            </w:r>
          </w:p>
        </w:tc>
        <w:tc>
          <w:tcPr>
            <w:tcW w:w="2500" w:type="dxa"/>
            <w:shd w:val="clear" w:color="auto" w:fill="F2F2F2"/>
          </w:tcPr>
          <w:p w:rsidR="00416F38" w:rsidRPr="00EE7019" w:rsidRDefault="008555B8" w:rsidP="00EE7019">
            <w:pPr>
              <w:spacing w:after="0" w:line="276" w:lineRule="auto"/>
              <w:jc w:val="left"/>
            </w:pPr>
            <w:r w:rsidRPr="00EE7019">
              <w:t>Medium: limited customer benefit</w:t>
            </w:r>
          </w:p>
        </w:tc>
        <w:tc>
          <w:tcPr>
            <w:tcW w:w="2229" w:type="dxa"/>
            <w:shd w:val="clear" w:color="auto" w:fill="F2F2F2"/>
          </w:tcPr>
          <w:p w:rsidR="00416F38" w:rsidRPr="00EE7019" w:rsidRDefault="008555B8" w:rsidP="00EE7019">
            <w:pPr>
              <w:spacing w:after="0" w:line="276" w:lineRule="auto"/>
              <w:jc w:val="left"/>
            </w:pPr>
            <w:r w:rsidRPr="00EE7019">
              <w:t>High with existing partner</w:t>
            </w:r>
          </w:p>
        </w:tc>
      </w:tr>
      <w:tr w:rsidR="00416F38">
        <w:tc>
          <w:tcPr>
            <w:tcW w:w="1800" w:type="dxa"/>
            <w:shd w:val="clear" w:color="auto" w:fill="D9EAF7"/>
          </w:tcPr>
          <w:p w:rsidR="00416F38" w:rsidRPr="00EE7019" w:rsidRDefault="008555B8" w:rsidP="00EE7019">
            <w:pPr>
              <w:spacing w:after="0" w:line="276" w:lineRule="auto"/>
              <w:jc w:val="left"/>
            </w:pPr>
            <w:r w:rsidRPr="00EE7019">
              <w:rPr>
                <w:b/>
              </w:rPr>
              <w:t>BatteryLoop Assurance</w:t>
            </w:r>
          </w:p>
        </w:tc>
        <w:tc>
          <w:tcPr>
            <w:tcW w:w="2500" w:type="dxa"/>
          </w:tcPr>
          <w:p w:rsidR="00416F38" w:rsidRPr="00EE7019" w:rsidRDefault="008555B8" w:rsidP="00EE7019">
            <w:pPr>
              <w:spacing w:after="0" w:line="276" w:lineRule="auto"/>
              <w:jc w:val="left"/>
            </w:pPr>
            <w:r w:rsidRPr="00EE7019">
              <w:t>High: joins customer, regulatory and supply needs</w:t>
            </w:r>
          </w:p>
        </w:tc>
        <w:tc>
          <w:tcPr>
            <w:tcW w:w="2500" w:type="dxa"/>
          </w:tcPr>
          <w:p w:rsidR="00416F38" w:rsidRPr="00EE7019" w:rsidRDefault="008555B8" w:rsidP="00EE7019">
            <w:pPr>
              <w:spacing w:after="0" w:line="276" w:lineRule="auto"/>
              <w:jc w:val="left"/>
            </w:pPr>
            <w:r w:rsidRPr="00EE7019">
              <w:t>Medium–high with capped guarantees</w:t>
            </w:r>
          </w:p>
        </w:tc>
        <w:tc>
          <w:tcPr>
            <w:tcW w:w="2229" w:type="dxa"/>
          </w:tcPr>
          <w:p w:rsidR="00416F38" w:rsidRPr="00EE7019" w:rsidRDefault="008555B8" w:rsidP="00EE7019">
            <w:pPr>
              <w:spacing w:after="0" w:line="276" w:lineRule="auto"/>
              <w:jc w:val="left"/>
            </w:pPr>
            <w:r w:rsidRPr="00EE7019">
              <w:t>Medium–high through BMW assets</w:t>
            </w:r>
          </w:p>
        </w:tc>
      </w:tr>
    </w:tbl>
    <w:p w:rsidR="00416F38" w:rsidRPr="00EE7019" w:rsidRDefault="008555B8" w:rsidP="00EE7019">
      <w:pPr>
        <w:spacing w:before="40" w:after="140" w:line="240" w:lineRule="auto"/>
        <w:jc w:val="center"/>
        <w:rPr>
          <w:sz w:val="20"/>
          <w:szCs w:val="20"/>
        </w:rPr>
      </w:pPr>
      <w:r w:rsidRPr="00EE7019">
        <w:rPr>
          <w:sz w:val="20"/>
          <w:szCs w:val="20"/>
        </w:rPr>
        <w:t xml:space="preserve">Source: Author's evaluation using Whittington et al. (2019), BMW Group (2025) </w:t>
      </w:r>
      <w:r w:rsidR="00EE7019">
        <w:rPr>
          <w:sz w:val="20"/>
          <w:szCs w:val="20"/>
        </w:rPr>
        <w:t xml:space="preserve">                                            </w:t>
      </w:r>
      <w:r w:rsidRPr="00EE7019">
        <w:rPr>
          <w:sz w:val="20"/>
          <w:szCs w:val="20"/>
        </w:rPr>
        <w:t>and Toorajipour et al. (2024).</w:t>
      </w:r>
    </w:p>
    <w:p w:rsidR="00416F38" w:rsidRDefault="008555B8" w:rsidP="00EE1472">
      <w:r>
        <w:br w:type="page"/>
      </w:r>
      <w:bookmarkStart w:id="12" w:name="section_7"/>
      <w:r w:rsidRPr="00ED6583">
        <w:rPr>
          <w:rFonts w:asciiTheme="majorHAnsi" w:eastAsiaTheme="majorEastAsia" w:hAnsiTheme="majorHAnsi" w:cstheme="majorBidi"/>
          <w:b/>
          <w:bCs/>
          <w:sz w:val="28"/>
          <w:szCs w:val="28"/>
        </w:rPr>
        <w:lastRenderedPageBreak/>
        <w:t>7. Conclusion and Recommendations</w:t>
      </w:r>
      <w:bookmarkEnd w:id="12"/>
    </w:p>
    <w:p w:rsidR="00416F38" w:rsidRDefault="00ED6583" w:rsidP="00ED6583">
      <w:pPr>
        <w:jc w:val="left"/>
      </w:pPr>
      <w:r w:rsidRPr="00ED6583">
        <w:t>That the margin is going down, that cash flow is going down, that deliveries in China are going down, they've got good resources but they're not necessarily giving them the advantage. Electrification enabled by external factors, greater competition, regulation and battery-chain dependency. The overall pr</w:t>
      </w:r>
      <w:r>
        <w:t xml:space="preserve">ice reaction would be limited </w:t>
      </w:r>
      <w:r w:rsidRPr="00ED6583">
        <w:t xml:space="preserve">and the Chinese scale provides a better baseline for other competitors. Further diversifying investments across technologies while failing to test returns would also delay a fundamental decision. That is a less defensible answer from </w:t>
      </w:r>
      <w:r w:rsidRPr="00ED6583">
        <w:rPr>
          <w:b/>
        </w:rPr>
        <w:t>Battery Loop</w:t>
      </w:r>
      <w:r w:rsidRPr="00ED6583">
        <w:t xml:space="preserve"> Assurance. It's all grouped together with other BMW functions, engineering, connected data, Financial Services, partner repair and recycling network and centered</w:t>
      </w:r>
      <w:r>
        <w:t xml:space="preserve"> on a single customer concern</w:t>
      </w:r>
      <w:r w:rsidRPr="00ED6583">
        <w:t xml:space="preserve"> the lack of battery condition and future value. BMW should appoint one executive Owner in Finance, Digital, Purchasing and Aftersales; have set standards for health and consent which will be auditable; pilot the transferable product in three EU markets; have repair and reuse as a default option for the product before considering material recycling; and avoid expansion if financial and/or data gates are missed. For a truly circular economy, new approaches should not be equated with marketing terms but should have the ability to slow down, reduce, or close resource flows, thus supporting sustainability (Geissdoerfer et al., 2017). Independent assurance and conservative provisioning is crucial as this trust would be lost if inaccurate health data or uncontrolled guarantees were given. With trust in lifetime economics extended to BMW, it can battle competition from the transaction price, increase its customer retention, save strategic materials, and restore the margins enjoyed by premiums.</w:t>
      </w:r>
      <w:r w:rsidR="008555B8">
        <w:br w:type="page"/>
      </w:r>
    </w:p>
    <w:p w:rsidR="00416F38" w:rsidRDefault="008555B8">
      <w:pPr>
        <w:pStyle w:val="Heading1"/>
        <w:spacing w:before="0"/>
      </w:pPr>
      <w:bookmarkStart w:id="13" w:name="references"/>
      <w:r>
        <w:lastRenderedPageBreak/>
        <w:t>Reference List</w:t>
      </w:r>
      <w:bookmarkEnd w:id="13"/>
    </w:p>
    <w:p w:rsidR="00416F38" w:rsidRPr="008136C3" w:rsidRDefault="008555B8" w:rsidP="00706A7D">
      <w:pPr>
        <w:pStyle w:val="Reference"/>
        <w:numPr>
          <w:ilvl w:val="0"/>
          <w:numId w:val="10"/>
        </w:numPr>
      </w:pPr>
      <w:r w:rsidRPr="008136C3">
        <w:t xml:space="preserve">ACEA (2026) 'New car registrations: +5.7% in H1 2026; battery-electric 20.7% market share', 23 July. Available at: </w:t>
      </w:r>
      <w:hyperlink r:id="rId11" w:history="1">
        <w:r w:rsidR="00706A7D" w:rsidRPr="008136C3">
          <w:rPr>
            <w:rStyle w:val="Hyperlink"/>
          </w:rPr>
          <w:t>https://www.acea.auto/pc-registrations/new-car-registrations-5-7-in-h1-2026-battery-electric-20-7-market-share/</w:t>
        </w:r>
      </w:hyperlink>
      <w:r w:rsidR="00706A7D" w:rsidRPr="008136C3">
        <w:t xml:space="preserve"> </w:t>
      </w:r>
      <w:r w:rsidR="00C82746" w:rsidRPr="008136C3">
        <w:t xml:space="preserve"> (Accessed: 14 </w:t>
      </w:r>
      <w:r w:rsidRPr="008136C3">
        <w:t>August 2026).</w:t>
      </w:r>
    </w:p>
    <w:p w:rsidR="00416F38" w:rsidRPr="008136C3" w:rsidRDefault="008555B8" w:rsidP="00706A7D">
      <w:pPr>
        <w:pStyle w:val="Reference"/>
        <w:numPr>
          <w:ilvl w:val="0"/>
          <w:numId w:val="10"/>
        </w:numPr>
      </w:pPr>
      <w:r w:rsidRPr="008136C3">
        <w:t xml:space="preserve">BMW Group (2021) 'A new era, a new class: BMW Group steps up technology offensive with comprehensive realignment – uncompromisingly electric, digital and circular', 17 March. Available at: </w:t>
      </w:r>
      <w:hyperlink r:id="rId12" w:history="1">
        <w:r w:rsidR="005C2919" w:rsidRPr="008136C3">
          <w:rPr>
            <w:rStyle w:val="Hyperlink"/>
          </w:rPr>
          <w:t>https://www.press.bmwgroup.com/global/article/detail/T0327929EN/a-new-era-a-new-class%3A-bmw-group-steps-up-technology-offensive-with-comprehensive-realignment-%E2%80%93-uncompromisingly-electric-digital-and-circular?language=en</w:t>
        </w:r>
      </w:hyperlink>
      <w:r w:rsidR="00C82746" w:rsidRPr="008136C3">
        <w:t xml:space="preserve"> (Accessed: 14</w:t>
      </w:r>
      <w:r w:rsidRPr="008136C3">
        <w:t xml:space="preserve"> August 2026).</w:t>
      </w:r>
    </w:p>
    <w:p w:rsidR="00416F38" w:rsidRPr="008136C3" w:rsidRDefault="008555B8" w:rsidP="00706A7D">
      <w:pPr>
        <w:pStyle w:val="Reference"/>
        <w:numPr>
          <w:ilvl w:val="0"/>
          <w:numId w:val="10"/>
        </w:numPr>
      </w:pPr>
      <w:r w:rsidRPr="008136C3">
        <w:t xml:space="preserve">BMW Group (2025) 'BMW Group scores circular economy win with high-voltage batteries', 13 January. Available at: </w:t>
      </w:r>
      <w:hyperlink r:id="rId13" w:history="1">
        <w:r w:rsidR="00C82746" w:rsidRPr="008136C3">
          <w:rPr>
            <w:rStyle w:val="Hyperlink"/>
          </w:rPr>
          <w:t>https://www.press.bmwgroup.com/united-kingdom/article/detail/T0447326EN_GB/bmw-group-scores-circular-economy-win-with-high-voltage-batteries</w:t>
        </w:r>
      </w:hyperlink>
      <w:r w:rsidR="00C82746" w:rsidRPr="008136C3">
        <w:t xml:space="preserve"> (Accessed: 14</w:t>
      </w:r>
      <w:r w:rsidRPr="008136C3">
        <w:t xml:space="preserve"> August 2026).</w:t>
      </w:r>
    </w:p>
    <w:p w:rsidR="00416F38" w:rsidRPr="008136C3" w:rsidRDefault="008555B8" w:rsidP="00706A7D">
      <w:pPr>
        <w:pStyle w:val="Reference"/>
        <w:numPr>
          <w:ilvl w:val="0"/>
          <w:numId w:val="10"/>
        </w:numPr>
      </w:pPr>
      <w:r w:rsidRPr="008136C3">
        <w:t xml:space="preserve">BMW Group (2026a) BMW Group Report 2025. Available at: </w:t>
      </w:r>
      <w:hyperlink r:id="rId14" w:history="1">
        <w:r w:rsidR="00C82746" w:rsidRPr="008136C3">
          <w:rPr>
            <w:rStyle w:val="Hyperlink"/>
          </w:rPr>
          <w:t>https://www.bmwgroup.com/en/report/2025/index.html</w:t>
        </w:r>
      </w:hyperlink>
      <w:r w:rsidR="00C82746" w:rsidRPr="008136C3">
        <w:t xml:space="preserve"> (Accessed: 14</w:t>
      </w:r>
      <w:r w:rsidRPr="008136C3">
        <w:t xml:space="preserve"> August 2026).</w:t>
      </w:r>
    </w:p>
    <w:p w:rsidR="00416F38" w:rsidRPr="008136C3" w:rsidRDefault="008555B8" w:rsidP="00706A7D">
      <w:pPr>
        <w:pStyle w:val="Reference"/>
        <w:numPr>
          <w:ilvl w:val="0"/>
          <w:numId w:val="10"/>
        </w:numPr>
      </w:pPr>
      <w:r w:rsidRPr="008136C3">
        <w:t xml:space="preserve">BMW Group (2026b) Half-Year Report to 30 June 2026. Available at: </w:t>
      </w:r>
      <w:hyperlink r:id="rId15" w:history="1">
        <w:r w:rsidR="00C82746" w:rsidRPr="008136C3">
          <w:rPr>
            <w:rStyle w:val="Hyperlink"/>
          </w:rPr>
          <w:t>https://www.press.bmwgroup.com/global/article/detail/T0459732EN/bmw-group-half-year-report-to-30-june-2026</w:t>
        </w:r>
      </w:hyperlink>
      <w:r w:rsidRPr="008136C3">
        <w:t xml:space="preserve"> (Accessed: 16 August 2026).</w:t>
      </w:r>
    </w:p>
    <w:p w:rsidR="00416F38" w:rsidRPr="008136C3" w:rsidRDefault="008555B8" w:rsidP="00706A7D">
      <w:pPr>
        <w:pStyle w:val="Reference"/>
        <w:numPr>
          <w:ilvl w:val="0"/>
          <w:numId w:val="10"/>
        </w:numPr>
      </w:pPr>
      <w:r w:rsidRPr="008136C3">
        <w:t xml:space="preserve">Diouf, B. (2025) 'The second-hand market in the electric vehicle transition', World Electric Vehicle Journal, 16(7), 397. Available at: </w:t>
      </w:r>
      <w:hyperlink r:id="rId16" w:history="1">
        <w:r w:rsidR="00C82746" w:rsidRPr="008136C3">
          <w:rPr>
            <w:rStyle w:val="Hyperlink"/>
          </w:rPr>
          <w:t>https://www.mdpi.com/2032-6653/16/7/397</w:t>
        </w:r>
      </w:hyperlink>
      <w:r w:rsidR="00C82746" w:rsidRPr="008136C3">
        <w:t xml:space="preserve"> (Accessed: 15</w:t>
      </w:r>
      <w:r w:rsidRPr="008136C3">
        <w:t xml:space="preserve"> August 2026).</w:t>
      </w:r>
    </w:p>
    <w:p w:rsidR="00416F38" w:rsidRPr="008136C3" w:rsidRDefault="008555B8" w:rsidP="00706A7D">
      <w:pPr>
        <w:pStyle w:val="Reference"/>
        <w:numPr>
          <w:ilvl w:val="0"/>
          <w:numId w:val="10"/>
        </w:numPr>
      </w:pPr>
      <w:r w:rsidRPr="008136C3">
        <w:t xml:space="preserve">European Parliament and Council (2023) 'Regulation (EU) 2023/1542 concerning batteries and waste batteries', Official Journal of the European Union, L191, pp. 1–117. Available at: </w:t>
      </w:r>
      <w:hyperlink r:id="rId17" w:history="1">
        <w:r w:rsidR="00C82746" w:rsidRPr="008136C3">
          <w:rPr>
            <w:rStyle w:val="Hyperlink"/>
          </w:rPr>
          <w:t>https://eur-lex.europa.eu/legal-content/EN/TXT/?uri=CELEX:32023R1542</w:t>
        </w:r>
      </w:hyperlink>
      <w:r w:rsidR="00C82746" w:rsidRPr="008136C3">
        <w:t xml:space="preserve"> (Accessed: 15</w:t>
      </w:r>
      <w:r w:rsidRPr="008136C3">
        <w:t xml:space="preserve"> August 2026).</w:t>
      </w:r>
    </w:p>
    <w:p w:rsidR="00416F38" w:rsidRPr="008136C3" w:rsidRDefault="008555B8" w:rsidP="00706A7D">
      <w:pPr>
        <w:pStyle w:val="Reference"/>
        <w:numPr>
          <w:ilvl w:val="0"/>
          <w:numId w:val="10"/>
        </w:numPr>
      </w:pPr>
      <w:r w:rsidRPr="008136C3">
        <w:t xml:space="preserve">Geissdoerfer, M., Savaget, P., Bocken, N.M.P. and Hultink, E.J. (2017) 'The circular economy – a new sustainability paradigm?', Journal of Cleaner Production, 143, pp. 757–768. Available at: </w:t>
      </w:r>
      <w:hyperlink r:id="rId18" w:history="1">
        <w:r w:rsidR="00C82746" w:rsidRPr="008136C3">
          <w:rPr>
            <w:rStyle w:val="Hyperlink"/>
          </w:rPr>
          <w:t>https://www.sciencedirect.com/science/article/pii/S0959652616321023</w:t>
        </w:r>
      </w:hyperlink>
      <w:r w:rsidR="00C82746" w:rsidRPr="008136C3">
        <w:t xml:space="preserve"> (Accessed: 15 </w:t>
      </w:r>
      <w:r w:rsidRPr="008136C3">
        <w:t>August 2026).</w:t>
      </w:r>
    </w:p>
    <w:p w:rsidR="00416F38" w:rsidRPr="008136C3" w:rsidRDefault="008555B8" w:rsidP="00706A7D">
      <w:pPr>
        <w:pStyle w:val="Reference"/>
        <w:numPr>
          <w:ilvl w:val="0"/>
          <w:numId w:val="10"/>
        </w:numPr>
      </w:pPr>
      <w:r w:rsidRPr="008136C3">
        <w:lastRenderedPageBreak/>
        <w:t xml:space="preserve">Grant, R.M. (2021) Contemporary Strategy Analysis. 11th edn. Hoboken, NJ: Wiley. Available at: </w:t>
      </w:r>
      <w:hyperlink r:id="rId19" w:history="1">
        <w:r w:rsidR="00C82746" w:rsidRPr="008136C3">
          <w:rPr>
            <w:rStyle w:val="Hyperlink"/>
          </w:rPr>
          <w:t>https://www.wiley.com/en-us/Contemporary%2BStrategy%2BAnalysis%2C%2B11th%2BEdition-p-00370630</w:t>
        </w:r>
      </w:hyperlink>
      <w:r w:rsidRPr="008136C3">
        <w:t xml:space="preserve"> (Accessed: 16 August 2026).</w:t>
      </w:r>
    </w:p>
    <w:p w:rsidR="00416F38" w:rsidRPr="008136C3" w:rsidRDefault="008555B8" w:rsidP="00706A7D">
      <w:pPr>
        <w:pStyle w:val="Reference"/>
        <w:numPr>
          <w:ilvl w:val="0"/>
          <w:numId w:val="10"/>
        </w:numPr>
      </w:pPr>
      <w:r w:rsidRPr="008136C3">
        <w:t xml:space="preserve">International Energy Agency (IEA) (2026a) Global EV Outlook 2026. Paris: IEA. Available at: </w:t>
      </w:r>
      <w:hyperlink r:id="rId20" w:history="1">
        <w:r w:rsidR="00C82746" w:rsidRPr="008136C3">
          <w:rPr>
            <w:rStyle w:val="Hyperlink"/>
          </w:rPr>
          <w:t>https://www.iea.org/reports/global-ev-outlook-2026</w:t>
        </w:r>
      </w:hyperlink>
      <w:r w:rsidRPr="008136C3">
        <w:t xml:space="preserve"> (Accessed: 16 August 2026).</w:t>
      </w:r>
    </w:p>
    <w:p w:rsidR="00416F38" w:rsidRPr="008136C3" w:rsidRDefault="008555B8" w:rsidP="00706A7D">
      <w:pPr>
        <w:pStyle w:val="Reference"/>
        <w:numPr>
          <w:ilvl w:val="0"/>
          <w:numId w:val="10"/>
        </w:numPr>
      </w:pPr>
      <w:r w:rsidRPr="008136C3">
        <w:t xml:space="preserve">International Energy Agency (IEA) (2026b) 'Manufacturing and trade', Global EV Outlook 2026. Available at: </w:t>
      </w:r>
      <w:hyperlink r:id="rId21" w:history="1">
        <w:r w:rsidR="00C82746" w:rsidRPr="008136C3">
          <w:rPr>
            <w:rStyle w:val="Hyperlink"/>
          </w:rPr>
          <w:t>https://www.iea.org/reports/global-ev-outlook-2026/manufacturing-and-trade</w:t>
        </w:r>
      </w:hyperlink>
      <w:r w:rsidRPr="008136C3">
        <w:t xml:space="preserve"> (Accessed: 16 August 2026).</w:t>
      </w:r>
    </w:p>
    <w:p w:rsidR="00416F38" w:rsidRPr="008136C3" w:rsidRDefault="008555B8" w:rsidP="00706A7D">
      <w:pPr>
        <w:pStyle w:val="Reference"/>
        <w:numPr>
          <w:ilvl w:val="0"/>
          <w:numId w:val="10"/>
        </w:numPr>
      </w:pPr>
      <w:r w:rsidRPr="008136C3">
        <w:t xml:space="preserve">Teece, D.J. (2018) 'Business models and dynamic capabilities', Long Range Planning, 51(1), pp. 40–49. Available at: </w:t>
      </w:r>
      <w:hyperlink r:id="rId22" w:history="1">
        <w:r w:rsidR="00C82746" w:rsidRPr="008136C3">
          <w:rPr>
            <w:rStyle w:val="Hyperlink"/>
          </w:rPr>
          <w:t>https://www.sciencedirect.com/science/article/pii/S0024630117302868</w:t>
        </w:r>
      </w:hyperlink>
      <w:r w:rsidRPr="008136C3">
        <w:t xml:space="preserve"> (Accessed: 16 August 2026).</w:t>
      </w:r>
    </w:p>
    <w:p w:rsidR="00416F38" w:rsidRPr="008136C3" w:rsidRDefault="008555B8" w:rsidP="00706A7D">
      <w:pPr>
        <w:pStyle w:val="Reference"/>
        <w:numPr>
          <w:ilvl w:val="0"/>
          <w:numId w:val="10"/>
        </w:numPr>
      </w:pPr>
      <w:r w:rsidRPr="008136C3">
        <w:t xml:space="preserve">Toorajipour, R., Chirumalla, K., Johansson, G., Dahlquist, E. and Wallin, F. (2024) 'Implementing circular business models for the second-life battery of electric vehicles: challenges and enablers from an ecosystem perspective', Business Strategy and the Environment, 33(8), pp. 8637–8655. Available at: </w:t>
      </w:r>
      <w:hyperlink r:id="rId23" w:history="1">
        <w:r w:rsidR="00C82746" w:rsidRPr="008136C3">
          <w:rPr>
            <w:rStyle w:val="Hyperlink"/>
          </w:rPr>
          <w:t>https://onlinelibrary.wiley.com/doi/full/10.1002/bse.3941</w:t>
        </w:r>
      </w:hyperlink>
      <w:r w:rsidRPr="008136C3">
        <w:t xml:space="preserve"> (Accessed: 16 August 2026).</w:t>
      </w:r>
    </w:p>
    <w:p w:rsidR="00416F38" w:rsidRPr="008136C3" w:rsidRDefault="008555B8" w:rsidP="00706A7D">
      <w:pPr>
        <w:pStyle w:val="Reference"/>
        <w:numPr>
          <w:ilvl w:val="0"/>
          <w:numId w:val="10"/>
        </w:numPr>
      </w:pPr>
      <w:r w:rsidRPr="008136C3">
        <w:t xml:space="preserve">United Nations Economic Commission for Europe (UNECE) (2020) 'UN Regulations on Cybersecurity and Software Updates to pave the way for mass roll out of connected vehicles', 24 June. Available at: </w:t>
      </w:r>
      <w:hyperlink r:id="rId24" w:history="1">
        <w:r w:rsidR="00C82746" w:rsidRPr="008136C3">
          <w:rPr>
            <w:rStyle w:val="Hyperlink"/>
          </w:rPr>
          <w:t>https://unece.org/sustainable-development/press/un-regulations-cybersecurity-and-software-updates-pave-way-mass-roll</w:t>
        </w:r>
      </w:hyperlink>
      <w:r w:rsidRPr="008136C3">
        <w:t xml:space="preserve"> (Accessed: 16 August 2026).</w:t>
      </w:r>
    </w:p>
    <w:p w:rsidR="00416F38" w:rsidRPr="008136C3" w:rsidRDefault="008555B8" w:rsidP="00706A7D">
      <w:pPr>
        <w:pStyle w:val="Reference"/>
        <w:numPr>
          <w:ilvl w:val="0"/>
          <w:numId w:val="10"/>
        </w:numPr>
      </w:pPr>
      <w:r w:rsidRPr="008136C3">
        <w:t xml:space="preserve">Whittington, R., Angwin, D., Regner, P., Johnson, G. and Scholes, K. (2019) Exploring Strategy: Text and Cases. 12th edn. Harlow: Pearson. Available at: </w:t>
      </w:r>
      <w:hyperlink r:id="rId25" w:history="1">
        <w:r w:rsidR="00C82746" w:rsidRPr="008136C3">
          <w:rPr>
            <w:rStyle w:val="Hyperlink"/>
          </w:rPr>
          <w:t>https://www.pearson.com/en-gb/subject-catalog/p/exploring-strategy-text-and-cases/P200000004559/9781292282503</w:t>
        </w:r>
      </w:hyperlink>
      <w:r w:rsidRPr="008136C3">
        <w:t xml:space="preserve"> (Accessed: 16 August 2026).</w:t>
      </w:r>
    </w:p>
    <w:p w:rsidR="00416F38" w:rsidRDefault="008555B8" w:rsidP="00706A7D">
      <w:pPr>
        <w:jc w:val="left"/>
      </w:pPr>
      <w:r>
        <w:br w:type="page"/>
      </w:r>
    </w:p>
    <w:p w:rsidR="00416F38" w:rsidRDefault="008555B8">
      <w:pPr>
        <w:pStyle w:val="Heading1"/>
        <w:spacing w:before="0"/>
      </w:pPr>
      <w:bookmarkStart w:id="14" w:name="appendix_a"/>
      <w:r>
        <w:lastRenderedPageBreak/>
        <w:t>Appendix A: Battery</w:t>
      </w:r>
      <w:r w:rsidR="0068396D">
        <w:t xml:space="preserve"> </w:t>
      </w:r>
      <w:r>
        <w:t>Loop Assurance Implementation Dashboard</w:t>
      </w:r>
      <w:bookmarkEnd w:id="14"/>
    </w:p>
    <w:p w:rsidR="00615BBB" w:rsidRPr="00615BBB" w:rsidRDefault="00615BBB" w:rsidP="00615BBB"/>
    <w:p w:rsidR="00416F38" w:rsidRDefault="008555B8" w:rsidP="00615BBB">
      <w:pPr>
        <w:keepNext/>
        <w:spacing w:before="120" w:after="80"/>
        <w:jc w:val="center"/>
      </w:pPr>
      <w:r w:rsidRPr="00615BBB">
        <w:rPr>
          <w:b/>
        </w:rPr>
        <w:t xml:space="preserve">Table A1. </w:t>
      </w:r>
      <w:r w:rsidRPr="00615BBB">
        <w:t>Battery</w:t>
      </w:r>
      <w:r w:rsidR="00615BBB" w:rsidRPr="00615BBB">
        <w:t xml:space="preserve"> </w:t>
      </w:r>
      <w:r w:rsidRPr="00615BBB">
        <w:t>Loop Assurance phased implementation dashboard</w:t>
      </w:r>
    </w:p>
    <w:p w:rsidR="00615BBB" w:rsidRPr="00615BBB" w:rsidRDefault="00615BBB" w:rsidP="00615BBB">
      <w:pPr>
        <w:keepNext/>
        <w:spacing w:before="120" w:after="80"/>
        <w:jc w:val="center"/>
      </w:pPr>
    </w:p>
    <w:tbl>
      <w:tblPr>
        <w:tblW w:w="9029" w:type="dxa"/>
        <w:tblLayout w:type="fixed"/>
        <w:tblLook w:val="04A0" w:firstRow="1" w:lastRow="0" w:firstColumn="1" w:lastColumn="0" w:noHBand="0" w:noVBand="1"/>
      </w:tblPr>
      <w:tblGrid>
        <w:gridCol w:w="1500"/>
        <w:gridCol w:w="1500"/>
        <w:gridCol w:w="3800"/>
        <w:gridCol w:w="2229"/>
      </w:tblGrid>
      <w:tr w:rsidR="00416F38">
        <w:trPr>
          <w:cantSplit/>
          <w:tblHeader/>
        </w:trPr>
        <w:tc>
          <w:tcPr>
            <w:tcW w:w="1500" w:type="dxa"/>
            <w:shd w:val="clear" w:color="auto" w:fill="1F4E79"/>
            <w:tcMar>
              <w:top w:w="90" w:type="dxa"/>
              <w:left w:w="100" w:type="dxa"/>
              <w:bottom w:w="90" w:type="dxa"/>
              <w:right w:w="100" w:type="dxa"/>
            </w:tcMar>
            <w:vAlign w:val="center"/>
          </w:tcPr>
          <w:p w:rsidR="00416F38" w:rsidRPr="00D87F0E" w:rsidRDefault="008555B8" w:rsidP="00D87F0E">
            <w:pPr>
              <w:spacing w:after="0"/>
              <w:jc w:val="left"/>
            </w:pPr>
            <w:r w:rsidRPr="00D87F0E">
              <w:rPr>
                <w:b/>
                <w:color w:val="FFFFFF"/>
              </w:rPr>
              <w:t>Stage</w:t>
            </w:r>
          </w:p>
        </w:tc>
        <w:tc>
          <w:tcPr>
            <w:tcW w:w="1500" w:type="dxa"/>
            <w:shd w:val="clear" w:color="auto" w:fill="1F4E79"/>
            <w:tcMar>
              <w:top w:w="90" w:type="dxa"/>
              <w:left w:w="100" w:type="dxa"/>
              <w:bottom w:w="90" w:type="dxa"/>
              <w:right w:w="100" w:type="dxa"/>
            </w:tcMar>
            <w:vAlign w:val="center"/>
          </w:tcPr>
          <w:p w:rsidR="00416F38" w:rsidRPr="00D87F0E" w:rsidRDefault="008555B8" w:rsidP="00D87F0E">
            <w:pPr>
              <w:spacing w:after="0"/>
              <w:jc w:val="left"/>
            </w:pPr>
            <w:r w:rsidRPr="00D87F0E">
              <w:rPr>
                <w:b/>
                <w:color w:val="FFFFFF"/>
              </w:rPr>
              <w:t>Timing</w:t>
            </w:r>
          </w:p>
        </w:tc>
        <w:tc>
          <w:tcPr>
            <w:tcW w:w="3800" w:type="dxa"/>
            <w:shd w:val="clear" w:color="auto" w:fill="1F4E79"/>
            <w:tcMar>
              <w:top w:w="90" w:type="dxa"/>
              <w:left w:w="100" w:type="dxa"/>
              <w:bottom w:w="90" w:type="dxa"/>
              <w:right w:w="100" w:type="dxa"/>
            </w:tcMar>
            <w:vAlign w:val="center"/>
          </w:tcPr>
          <w:p w:rsidR="00416F38" w:rsidRPr="00D87F0E" w:rsidRDefault="008555B8" w:rsidP="00D87F0E">
            <w:pPr>
              <w:spacing w:after="0"/>
              <w:jc w:val="left"/>
            </w:pPr>
            <w:r w:rsidRPr="00D87F0E">
              <w:rPr>
                <w:b/>
                <w:color w:val="FFFFFF"/>
              </w:rPr>
              <w:t>Core actions</w:t>
            </w:r>
          </w:p>
        </w:tc>
        <w:tc>
          <w:tcPr>
            <w:tcW w:w="2229" w:type="dxa"/>
            <w:shd w:val="clear" w:color="auto" w:fill="1F4E79"/>
            <w:tcMar>
              <w:top w:w="90" w:type="dxa"/>
              <w:left w:w="100" w:type="dxa"/>
              <w:bottom w:w="90" w:type="dxa"/>
              <w:right w:w="100" w:type="dxa"/>
            </w:tcMar>
            <w:vAlign w:val="center"/>
          </w:tcPr>
          <w:p w:rsidR="00416F38" w:rsidRPr="00D87F0E" w:rsidRDefault="008555B8" w:rsidP="00D87F0E">
            <w:pPr>
              <w:spacing w:after="0"/>
              <w:jc w:val="left"/>
            </w:pPr>
            <w:r w:rsidRPr="00D87F0E">
              <w:rPr>
                <w:b/>
                <w:color w:val="FFFFFF"/>
              </w:rPr>
              <w:t>Decision gate</w:t>
            </w:r>
          </w:p>
        </w:tc>
      </w:tr>
      <w:tr w:rsidR="00416F38">
        <w:tc>
          <w:tcPr>
            <w:tcW w:w="1500" w:type="dxa"/>
            <w:shd w:val="clear" w:color="auto" w:fill="D9EAF7"/>
          </w:tcPr>
          <w:p w:rsidR="00416F38" w:rsidRPr="00D87F0E" w:rsidRDefault="008555B8" w:rsidP="00D87F0E">
            <w:pPr>
              <w:spacing w:after="0"/>
              <w:jc w:val="left"/>
            </w:pPr>
            <w:r w:rsidRPr="00D87F0E">
              <w:rPr>
                <w:b/>
              </w:rPr>
              <w:t>1. Design</w:t>
            </w:r>
          </w:p>
        </w:tc>
        <w:tc>
          <w:tcPr>
            <w:tcW w:w="1500" w:type="dxa"/>
          </w:tcPr>
          <w:p w:rsidR="00416F38" w:rsidRPr="00D87F0E" w:rsidRDefault="00D87F0E" w:rsidP="00D87F0E">
            <w:pPr>
              <w:spacing w:after="0"/>
              <w:jc w:val="left"/>
            </w:pPr>
            <w:r>
              <w:t>Q1-</w:t>
            </w:r>
            <w:r w:rsidR="008555B8" w:rsidRPr="00D87F0E">
              <w:t>Q4 2027</w:t>
            </w:r>
          </w:p>
        </w:tc>
        <w:tc>
          <w:tcPr>
            <w:tcW w:w="3800" w:type="dxa"/>
          </w:tcPr>
          <w:p w:rsidR="00416F38" w:rsidRPr="00D87F0E" w:rsidRDefault="008555B8" w:rsidP="00D87F0E">
            <w:pPr>
              <w:spacing w:after="0"/>
              <w:jc w:val="left"/>
            </w:pPr>
            <w:r w:rsidRPr="00D87F0E">
              <w:t>Set health metric, consent, repair rules, pricing and accounting treatment</w:t>
            </w:r>
          </w:p>
        </w:tc>
        <w:tc>
          <w:tcPr>
            <w:tcW w:w="2229" w:type="dxa"/>
          </w:tcPr>
          <w:p w:rsidR="00416F38" w:rsidRPr="00D87F0E" w:rsidRDefault="008555B8" w:rsidP="00D87F0E">
            <w:pPr>
              <w:spacing w:after="0"/>
              <w:jc w:val="left"/>
            </w:pPr>
            <w:r w:rsidRPr="00D87F0E">
              <w:t>Independent data and actuarial validation</w:t>
            </w:r>
          </w:p>
        </w:tc>
      </w:tr>
      <w:tr w:rsidR="00416F38">
        <w:tc>
          <w:tcPr>
            <w:tcW w:w="1500" w:type="dxa"/>
            <w:shd w:val="clear" w:color="auto" w:fill="D9EAF7"/>
          </w:tcPr>
          <w:p w:rsidR="00416F38" w:rsidRPr="00D87F0E" w:rsidRDefault="008555B8" w:rsidP="00D87F0E">
            <w:pPr>
              <w:spacing w:after="0"/>
              <w:jc w:val="left"/>
            </w:pPr>
            <w:r w:rsidRPr="00D87F0E">
              <w:rPr>
                <w:b/>
              </w:rPr>
              <w:t>2. Pilot</w:t>
            </w:r>
          </w:p>
        </w:tc>
        <w:tc>
          <w:tcPr>
            <w:tcW w:w="1500" w:type="dxa"/>
            <w:shd w:val="clear" w:color="auto" w:fill="F2F2F2"/>
          </w:tcPr>
          <w:p w:rsidR="00416F38" w:rsidRPr="00D87F0E" w:rsidRDefault="008555B8" w:rsidP="00D87F0E">
            <w:pPr>
              <w:spacing w:after="0"/>
              <w:jc w:val="left"/>
            </w:pPr>
            <w:r w:rsidRPr="00D87F0E">
              <w:t>2028</w:t>
            </w:r>
          </w:p>
        </w:tc>
        <w:tc>
          <w:tcPr>
            <w:tcW w:w="3800" w:type="dxa"/>
            <w:shd w:val="clear" w:color="auto" w:fill="F2F2F2"/>
          </w:tcPr>
          <w:p w:rsidR="00416F38" w:rsidRPr="00D87F0E" w:rsidRDefault="008555B8" w:rsidP="00D87F0E">
            <w:pPr>
              <w:spacing w:after="0"/>
              <w:jc w:val="left"/>
            </w:pPr>
            <w:r w:rsidRPr="00D87F0E">
              <w:t>Launch through dealers and Financial Services in Germany, France and the Netherlands</w:t>
            </w:r>
          </w:p>
        </w:tc>
        <w:tc>
          <w:tcPr>
            <w:tcW w:w="2229" w:type="dxa"/>
            <w:shd w:val="clear" w:color="auto" w:fill="F2F2F2"/>
          </w:tcPr>
          <w:p w:rsidR="00416F38" w:rsidRPr="00D87F0E" w:rsidRDefault="008555B8" w:rsidP="00D87F0E">
            <w:pPr>
              <w:spacing w:after="0"/>
              <w:jc w:val="left"/>
            </w:pPr>
            <w:r w:rsidRPr="00D87F0E">
              <w:t>At least 20% uptake; complaints within tolerance</w:t>
            </w:r>
          </w:p>
        </w:tc>
      </w:tr>
      <w:tr w:rsidR="00416F38">
        <w:tc>
          <w:tcPr>
            <w:tcW w:w="1500" w:type="dxa"/>
            <w:shd w:val="clear" w:color="auto" w:fill="D9EAF7"/>
          </w:tcPr>
          <w:p w:rsidR="00416F38" w:rsidRPr="00D87F0E" w:rsidRDefault="008555B8" w:rsidP="00D87F0E">
            <w:pPr>
              <w:spacing w:after="0"/>
              <w:jc w:val="left"/>
            </w:pPr>
            <w:r w:rsidRPr="00D87F0E">
              <w:rPr>
                <w:b/>
              </w:rPr>
              <w:t>3. Recover</w:t>
            </w:r>
          </w:p>
        </w:tc>
        <w:tc>
          <w:tcPr>
            <w:tcW w:w="1500" w:type="dxa"/>
          </w:tcPr>
          <w:p w:rsidR="00416F38" w:rsidRPr="00D87F0E" w:rsidRDefault="00D87F0E" w:rsidP="00D87F0E">
            <w:pPr>
              <w:spacing w:after="0"/>
              <w:jc w:val="left"/>
            </w:pPr>
            <w:r>
              <w:t>2028-</w:t>
            </w:r>
            <w:r w:rsidR="008555B8" w:rsidRPr="00D87F0E">
              <w:t>2029</w:t>
            </w:r>
          </w:p>
        </w:tc>
        <w:tc>
          <w:tcPr>
            <w:tcW w:w="3800" w:type="dxa"/>
          </w:tcPr>
          <w:p w:rsidR="00416F38" w:rsidRPr="00D87F0E" w:rsidRDefault="008555B8" w:rsidP="00D87F0E">
            <w:pPr>
              <w:spacing w:after="0"/>
              <w:jc w:val="left"/>
            </w:pPr>
            <w:r w:rsidRPr="00D87F0E">
              <w:t>Track transfers, take-back, module repair, reuse and recycling allocation</w:t>
            </w:r>
          </w:p>
        </w:tc>
        <w:tc>
          <w:tcPr>
            <w:tcW w:w="2229" w:type="dxa"/>
          </w:tcPr>
          <w:p w:rsidR="00416F38" w:rsidRPr="00D87F0E" w:rsidRDefault="008555B8" w:rsidP="00D87F0E">
            <w:pPr>
              <w:spacing w:after="0"/>
              <w:jc w:val="left"/>
            </w:pPr>
            <w:r w:rsidRPr="00D87F0E">
              <w:t>Over 90% contracted-pack recovery</w:t>
            </w:r>
          </w:p>
        </w:tc>
      </w:tr>
      <w:tr w:rsidR="00416F38">
        <w:tc>
          <w:tcPr>
            <w:tcW w:w="1500" w:type="dxa"/>
            <w:shd w:val="clear" w:color="auto" w:fill="D9EAF7"/>
          </w:tcPr>
          <w:p w:rsidR="00416F38" w:rsidRPr="00D87F0E" w:rsidRDefault="008555B8" w:rsidP="00D87F0E">
            <w:pPr>
              <w:spacing w:after="0"/>
              <w:jc w:val="left"/>
            </w:pPr>
            <w:r w:rsidRPr="00D87F0E">
              <w:rPr>
                <w:b/>
              </w:rPr>
              <w:t>4. Scale</w:t>
            </w:r>
          </w:p>
        </w:tc>
        <w:tc>
          <w:tcPr>
            <w:tcW w:w="1500" w:type="dxa"/>
            <w:shd w:val="clear" w:color="auto" w:fill="F2F2F2"/>
          </w:tcPr>
          <w:p w:rsidR="00416F38" w:rsidRPr="00D87F0E" w:rsidRDefault="008555B8" w:rsidP="00D87F0E">
            <w:pPr>
              <w:spacing w:after="0"/>
              <w:jc w:val="left"/>
            </w:pPr>
            <w:r w:rsidRPr="00D87F0E">
              <w:t>End 2029</w:t>
            </w:r>
          </w:p>
        </w:tc>
        <w:tc>
          <w:tcPr>
            <w:tcW w:w="3800" w:type="dxa"/>
            <w:shd w:val="clear" w:color="auto" w:fill="F2F2F2"/>
          </w:tcPr>
          <w:p w:rsidR="00416F38" w:rsidRPr="00D87F0E" w:rsidRDefault="008555B8" w:rsidP="00D87F0E">
            <w:pPr>
              <w:spacing w:after="0"/>
              <w:jc w:val="left"/>
            </w:pPr>
            <w:r w:rsidRPr="00D87F0E">
              <w:t>Extend to further EU models and markets only if economics are proven</w:t>
            </w:r>
          </w:p>
        </w:tc>
        <w:tc>
          <w:tcPr>
            <w:tcW w:w="2229" w:type="dxa"/>
            <w:shd w:val="clear" w:color="auto" w:fill="F2F2F2"/>
          </w:tcPr>
          <w:p w:rsidR="00416F38" w:rsidRPr="00D87F0E" w:rsidRDefault="008555B8" w:rsidP="00D87F0E">
            <w:pPr>
              <w:spacing w:after="0"/>
              <w:jc w:val="left"/>
            </w:pPr>
            <w:r w:rsidRPr="00D87F0E">
              <w:t>Positive unit contribution and improved repurchase</w:t>
            </w:r>
          </w:p>
        </w:tc>
      </w:tr>
    </w:tbl>
    <w:p w:rsidR="00D87F0E" w:rsidRPr="00D87F0E" w:rsidRDefault="00D87F0E">
      <w:pPr>
        <w:spacing w:before="40" w:after="140" w:line="240" w:lineRule="auto"/>
        <w:rPr>
          <w:sz w:val="19"/>
          <w:szCs w:val="19"/>
        </w:rPr>
      </w:pPr>
    </w:p>
    <w:p w:rsidR="00416F38" w:rsidRPr="00D87F0E" w:rsidRDefault="008555B8" w:rsidP="00D87F0E">
      <w:pPr>
        <w:spacing w:before="40" w:after="140"/>
        <w:jc w:val="center"/>
      </w:pPr>
      <w:r w:rsidRPr="00D87F0E">
        <w:rPr>
          <w:b/>
        </w:rPr>
        <w:t>Source:</w:t>
      </w:r>
      <w:r w:rsidRPr="00D87F0E">
        <w:t xml:space="preserve"> Author's proposal informed by BMW Group (2025), European Parliament </w:t>
      </w:r>
      <w:r w:rsidR="00D87F0E">
        <w:t xml:space="preserve">                             </w:t>
      </w:r>
      <w:r w:rsidRPr="00D87F0E">
        <w:t>and Council (2023),</w:t>
      </w:r>
      <w:r w:rsidR="00D87F0E">
        <w:t xml:space="preserve"> </w:t>
      </w:r>
      <w:r w:rsidRPr="00D87F0E">
        <w:t>and Toorajipour et al. (2024).</w:t>
      </w:r>
    </w:p>
    <w:sectPr w:rsidR="00416F38" w:rsidRPr="00D87F0E" w:rsidSect="00034616">
      <w:footerReference w:type="default" r:id="rId26"/>
      <w:pgSz w:w="11906" w:h="16838"/>
      <w:pgMar w:top="1304" w:right="1440" w:bottom="1304" w:left="1440" w:header="680" w:footer="68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D69C7" w:rsidRDefault="001D69C7">
      <w:pPr>
        <w:spacing w:after="0" w:line="240" w:lineRule="auto"/>
      </w:pPr>
      <w:r>
        <w:separator/>
      </w:r>
    </w:p>
  </w:endnote>
  <w:endnote w:type="continuationSeparator" w:id="0">
    <w:p w:rsidR="001D69C7" w:rsidRDefault="001D69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A00002BF" w:usb1="68C7FCFB" w:usb2="00000010"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16F38" w:rsidRDefault="008555B8">
    <w:pPr>
      <w:pStyle w:val="Footer"/>
      <w:jc w:val="right"/>
    </w:pPr>
    <w:r>
      <w:rPr>
        <w:color w:val="464646"/>
        <w:sz w:val="18"/>
      </w:rPr>
      <w:t xml:space="preserve">Page </w:t>
    </w:r>
    <w:r>
      <w:rPr>
        <w:color w:val="464646"/>
        <w:sz w:val="18"/>
      </w:rPr>
      <w:fldChar w:fldCharType="begin"/>
    </w:r>
    <w:r>
      <w:rPr>
        <w:color w:val="464646"/>
        <w:sz w:val="18"/>
      </w:rPr>
      <w:instrText xml:space="preserve"> PAGE </w:instrText>
    </w:r>
    <w:r>
      <w:rPr>
        <w:color w:val="464646"/>
        <w:sz w:val="18"/>
      </w:rPr>
      <w:fldChar w:fldCharType="separate"/>
    </w:r>
    <w:r w:rsidR="00EF425E">
      <w:rPr>
        <w:noProof/>
        <w:color w:val="464646"/>
        <w:sz w:val="18"/>
      </w:rPr>
      <w:t>10</w:t>
    </w:r>
    <w:r>
      <w:rPr>
        <w:color w:val="464646"/>
        <w:sz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D69C7" w:rsidRDefault="001D69C7">
      <w:pPr>
        <w:spacing w:after="0" w:line="240" w:lineRule="auto"/>
      </w:pPr>
      <w:r>
        <w:separator/>
      </w:r>
    </w:p>
  </w:footnote>
  <w:footnote w:type="continuationSeparator" w:id="0">
    <w:p w:rsidR="001D69C7" w:rsidRDefault="001D69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66161C8B"/>
    <w:multiLevelType w:val="hybridMultilevel"/>
    <w:tmpl w:val="940E73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46EE5"/>
    <w:rsid w:val="0006063C"/>
    <w:rsid w:val="00064D24"/>
    <w:rsid w:val="000A3F1E"/>
    <w:rsid w:val="000C35D1"/>
    <w:rsid w:val="000C5886"/>
    <w:rsid w:val="000D7E43"/>
    <w:rsid w:val="0015074B"/>
    <w:rsid w:val="001613BB"/>
    <w:rsid w:val="001A070E"/>
    <w:rsid w:val="001A0AA8"/>
    <w:rsid w:val="001D69C7"/>
    <w:rsid w:val="0021695A"/>
    <w:rsid w:val="0024189A"/>
    <w:rsid w:val="002505A7"/>
    <w:rsid w:val="00251F17"/>
    <w:rsid w:val="00256C34"/>
    <w:rsid w:val="00262BE0"/>
    <w:rsid w:val="0029639D"/>
    <w:rsid w:val="002C3214"/>
    <w:rsid w:val="00326F90"/>
    <w:rsid w:val="00331E8F"/>
    <w:rsid w:val="00357744"/>
    <w:rsid w:val="003A17B8"/>
    <w:rsid w:val="003A482E"/>
    <w:rsid w:val="00416F38"/>
    <w:rsid w:val="0043376A"/>
    <w:rsid w:val="00435314"/>
    <w:rsid w:val="00492C18"/>
    <w:rsid w:val="004A404C"/>
    <w:rsid w:val="004B1F51"/>
    <w:rsid w:val="004D6EC3"/>
    <w:rsid w:val="004E313B"/>
    <w:rsid w:val="00500C2B"/>
    <w:rsid w:val="00503BA7"/>
    <w:rsid w:val="00507726"/>
    <w:rsid w:val="005564A8"/>
    <w:rsid w:val="0056598B"/>
    <w:rsid w:val="005814CD"/>
    <w:rsid w:val="005A222A"/>
    <w:rsid w:val="005A7933"/>
    <w:rsid w:val="005C23E3"/>
    <w:rsid w:val="005C2919"/>
    <w:rsid w:val="006015A3"/>
    <w:rsid w:val="0061259A"/>
    <w:rsid w:val="00615BBB"/>
    <w:rsid w:val="0064657A"/>
    <w:rsid w:val="0065399E"/>
    <w:rsid w:val="006700EC"/>
    <w:rsid w:val="006711B6"/>
    <w:rsid w:val="0068396D"/>
    <w:rsid w:val="00696812"/>
    <w:rsid w:val="006B3ECA"/>
    <w:rsid w:val="006E4E0E"/>
    <w:rsid w:val="006F45F5"/>
    <w:rsid w:val="00706A7D"/>
    <w:rsid w:val="0071570F"/>
    <w:rsid w:val="00720315"/>
    <w:rsid w:val="00741ED6"/>
    <w:rsid w:val="00753FF9"/>
    <w:rsid w:val="00767D13"/>
    <w:rsid w:val="00770E13"/>
    <w:rsid w:val="007B0452"/>
    <w:rsid w:val="007D20A5"/>
    <w:rsid w:val="008136C3"/>
    <w:rsid w:val="008211F7"/>
    <w:rsid w:val="0085222C"/>
    <w:rsid w:val="008555B8"/>
    <w:rsid w:val="00864007"/>
    <w:rsid w:val="008644A0"/>
    <w:rsid w:val="008A3EFB"/>
    <w:rsid w:val="008E6256"/>
    <w:rsid w:val="00907670"/>
    <w:rsid w:val="00921861"/>
    <w:rsid w:val="00922F32"/>
    <w:rsid w:val="009C154E"/>
    <w:rsid w:val="009E4274"/>
    <w:rsid w:val="009F7030"/>
    <w:rsid w:val="00AA1D8D"/>
    <w:rsid w:val="00AF6655"/>
    <w:rsid w:val="00B06AEA"/>
    <w:rsid w:val="00B34825"/>
    <w:rsid w:val="00B4693D"/>
    <w:rsid w:val="00B47730"/>
    <w:rsid w:val="00B7282C"/>
    <w:rsid w:val="00B83DE2"/>
    <w:rsid w:val="00B91B87"/>
    <w:rsid w:val="00BC0DD1"/>
    <w:rsid w:val="00C173A7"/>
    <w:rsid w:val="00C82746"/>
    <w:rsid w:val="00C92E2A"/>
    <w:rsid w:val="00CB0664"/>
    <w:rsid w:val="00CC4B77"/>
    <w:rsid w:val="00CF5AD3"/>
    <w:rsid w:val="00D264CC"/>
    <w:rsid w:val="00D5218A"/>
    <w:rsid w:val="00D87F0E"/>
    <w:rsid w:val="00D97DFA"/>
    <w:rsid w:val="00D97E0F"/>
    <w:rsid w:val="00DA564B"/>
    <w:rsid w:val="00DD6265"/>
    <w:rsid w:val="00DF0964"/>
    <w:rsid w:val="00E3252E"/>
    <w:rsid w:val="00E55CBE"/>
    <w:rsid w:val="00EC6523"/>
    <w:rsid w:val="00ED271E"/>
    <w:rsid w:val="00ED6583"/>
    <w:rsid w:val="00EE1472"/>
    <w:rsid w:val="00EE7019"/>
    <w:rsid w:val="00EF425E"/>
    <w:rsid w:val="00F25CAB"/>
    <w:rsid w:val="00F36D54"/>
    <w:rsid w:val="00F524E7"/>
    <w:rsid w:val="00F90A2A"/>
    <w:rsid w:val="00FA176E"/>
    <w:rsid w:val="00FC29C7"/>
    <w:rsid w:val="00FC693F"/>
    <w:rsid w:val="00FE006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efaultImageDpi w14:val="300"/>
  <w15:docId w15:val="{6AD79865-BA8B-41A2-B1E4-81F0445F69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C693F"/>
    <w:pPr>
      <w:spacing w:after="120" w:line="360" w:lineRule="auto"/>
      <w:jc w:val="both"/>
    </w:pPr>
    <w:rPr>
      <w:rFonts w:ascii="Arial" w:hAnsi="Arial"/>
      <w:color w:val="000000"/>
    </w:rPr>
  </w:style>
  <w:style w:type="paragraph" w:styleId="Heading1">
    <w:name w:val="heading 1"/>
    <w:basedOn w:val="Normal"/>
    <w:next w:val="Normal"/>
    <w:link w:val="Heading1Char"/>
    <w:uiPriority w:val="9"/>
    <w:qFormat/>
    <w:rsid w:val="00FC693F"/>
    <w:pPr>
      <w:keepNext/>
      <w:keepLines/>
      <w:spacing w:before="280" w:after="140"/>
      <w:outlineLvl w:val="0"/>
    </w:pPr>
    <w:rPr>
      <w:rFonts w:asciiTheme="majorHAnsi" w:eastAsiaTheme="majorEastAsia" w:hAnsiTheme="majorHAnsi" w:cstheme="majorBidi"/>
      <w:b/>
      <w:bCs/>
      <w:sz w:val="28"/>
      <w:szCs w:val="28"/>
    </w:rPr>
  </w:style>
  <w:style w:type="paragraph" w:styleId="Heading2">
    <w:name w:val="heading 2"/>
    <w:basedOn w:val="Normal"/>
    <w:next w:val="Normal"/>
    <w:link w:val="Heading2Char"/>
    <w:uiPriority w:val="9"/>
    <w:unhideWhenUsed/>
    <w:qFormat/>
    <w:rsid w:val="00FC693F"/>
    <w:pPr>
      <w:keepNext/>
      <w:keepLines/>
      <w:spacing w:before="220" w:after="100"/>
      <w:outlineLvl w:val="1"/>
    </w:pPr>
    <w:rPr>
      <w:rFonts w:asciiTheme="majorHAnsi" w:eastAsiaTheme="majorEastAsia" w:hAnsiTheme="majorHAnsi" w:cstheme="majorBidi"/>
      <w:b/>
      <w:bCs/>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spacing w:after="160" w:line="240" w:lineRule="auto"/>
      <w:contextualSpacing/>
      <w:jc w:val="center"/>
    </w:pPr>
    <w:rPr>
      <w:rFonts w:asciiTheme="majorHAnsi" w:eastAsiaTheme="majorEastAsia" w:hAnsiTheme="majorHAnsi" w:cstheme="majorBidi"/>
      <w:b/>
      <w:spacing w:val="5"/>
      <w:kern w:val="28"/>
      <w:sz w:val="46"/>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Reference">
    <w:name w:val="Reference"/>
    <w:pPr>
      <w:spacing w:after="140" w:line="360" w:lineRule="auto"/>
      <w:ind w:left="567" w:hanging="567"/>
    </w:pPr>
    <w:rPr>
      <w:rFonts w:ascii="Arial" w:hAnsi="Arial"/>
      <w:color w:val="000000"/>
    </w:rPr>
  </w:style>
  <w:style w:type="character" w:styleId="Hyperlink">
    <w:name w:val="Hyperlink"/>
    <w:basedOn w:val="DefaultParagraphFont"/>
    <w:uiPriority w:val="99"/>
    <w:unhideWhenUsed/>
    <w:rsid w:val="00706A7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ress.bmwgroup.com/united-kingdom/article/detail/T0447326EN_GB/bmw-group-scores-circular-economy-win-with-high-voltage-batteries" TargetMode="External"/><Relationship Id="rId18" Type="http://schemas.openxmlformats.org/officeDocument/2006/relationships/hyperlink" Target="https://www.sciencedirect.com/science/article/pii/S0959652616321023"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iea.org/reports/global-ev-outlook-2026/manufacturing-and-trade" TargetMode="External"/><Relationship Id="rId7" Type="http://schemas.openxmlformats.org/officeDocument/2006/relationships/endnotes" Target="endnotes.xml"/><Relationship Id="rId12" Type="http://schemas.openxmlformats.org/officeDocument/2006/relationships/hyperlink" Target="https://www.press.bmwgroup.com/global/article/detail/T0327929EN/a-new-era-a-new-class%3A-bmw-group-steps-up-technology-offensive-with-comprehensive-realignment-%E2%80%93-uncompromisingly-electric-digital-and-circular?language=en" TargetMode="External"/><Relationship Id="rId17" Type="http://schemas.openxmlformats.org/officeDocument/2006/relationships/hyperlink" Target="https://eur-lex.europa.eu/legal-content/EN/TXT/?uri=CELEX:32023R1542" TargetMode="External"/><Relationship Id="rId25" Type="http://schemas.openxmlformats.org/officeDocument/2006/relationships/hyperlink" Target="https://www.pearson.com/en-gb/subject-catalog/p/exploring-strategy-text-and-cases/P200000004559/9781292282503" TargetMode="External"/><Relationship Id="rId2" Type="http://schemas.openxmlformats.org/officeDocument/2006/relationships/numbering" Target="numbering.xml"/><Relationship Id="rId16" Type="http://schemas.openxmlformats.org/officeDocument/2006/relationships/hyperlink" Target="https://www.mdpi.com/2032-6653/16/7/397" TargetMode="External"/><Relationship Id="rId20" Type="http://schemas.openxmlformats.org/officeDocument/2006/relationships/hyperlink" Target="https://www.iea.org/reports/global-ev-outlook-202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ea.auto/pc-registrations/new-car-registrations-5-7-in-h1-2026-battery-electric-20-7-market-share/" TargetMode="External"/><Relationship Id="rId24" Type="http://schemas.openxmlformats.org/officeDocument/2006/relationships/hyperlink" Target="https://unece.org/sustainable-development/press/un-regulations-cybersecurity-and-software-updates-pave-way-mass-roll" TargetMode="External"/><Relationship Id="rId5" Type="http://schemas.openxmlformats.org/officeDocument/2006/relationships/webSettings" Target="webSettings.xml"/><Relationship Id="rId15" Type="http://schemas.openxmlformats.org/officeDocument/2006/relationships/hyperlink" Target="https://www.press.bmwgroup.com/global/article/detail/T0459732EN/bmw-group-half-year-report-to-30-june-2026" TargetMode="External"/><Relationship Id="rId23" Type="http://schemas.openxmlformats.org/officeDocument/2006/relationships/hyperlink" Target="https://onlinelibrary.wiley.com/doi/full/10.1002/bse.3941"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wiley.com/en-us/Contemporary%2BStrategy%2BAnalysis%2C%2B11th%2BEdition-p-0037063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mwgroup.com/en/report/2025/index.html" TargetMode="External"/><Relationship Id="rId22" Type="http://schemas.openxmlformats.org/officeDocument/2006/relationships/hyperlink" Target="https://www.sciencedirect.com/science/article/pii/S0024630117302868"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8A32AF2-DE8F-4D54-8A75-C54438A1FB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TotalTime>
  <Pages>17</Pages>
  <Words>4316</Words>
  <Characters>24607</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Automotive Industry Trends and Strategy - BMW Group</vt:lpstr>
    </vt:vector>
  </TitlesOfParts>
  <Manager/>
  <Company/>
  <LinksUpToDate>false</LinksUpToDate>
  <CharactersWithSpaces>28866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Automotive Industry Trends and Strategy - BMW Group</dc:title>
  <dc:subject>LCBB6015 Component 2 Strategy Formulation Report</dc:subject>
  <dc:creator>[INSERT NAME]</dc:creator>
  <cp:keywords>BMW, strategy formulation, sustainability, automotive industry</cp:keywords>
  <dc:description>generated by python-docx</dc:description>
  <cp:lastModifiedBy>Digital laptop</cp:lastModifiedBy>
  <cp:revision>140</cp:revision>
  <dcterms:created xsi:type="dcterms:W3CDTF">2013-12-23T23:15:00Z</dcterms:created>
  <dcterms:modified xsi:type="dcterms:W3CDTF">2026-08-16T21:32:00Z</dcterms:modified>
  <cp:category/>
</cp:coreProperties>
</file>