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F3EF0FE" w:rsidR="00DD5969" w:rsidRPr="00E55212" w:rsidRDefault="00DD5969" w:rsidP="00DD5969">
      <w:pPr>
        <w:spacing w:before="212"/>
        <w:rPr>
          <w:rFonts w:ascii="Arial"/>
          <w:b/>
          <w:sz w:val="40"/>
          <w:szCs w:val="40"/>
          <w:highlight w:val="yellow"/>
        </w:rPr>
      </w:pPr>
      <w:r w:rsidRPr="00E55212">
        <w:rPr>
          <w:rFonts w:ascii="Arial"/>
          <w:b/>
          <w:bCs/>
          <w:sz w:val="48"/>
          <w:szCs w:val="48"/>
        </w:rPr>
        <w:t>MODULE CODE:</w:t>
      </w:r>
      <w:r w:rsidR="095D05C6" w:rsidRPr="00E55212">
        <w:rPr>
          <w:rFonts w:ascii="Arial"/>
          <w:b/>
          <w:bCs/>
          <w:sz w:val="48"/>
          <w:szCs w:val="48"/>
        </w:rPr>
        <w:t xml:space="preserve"> </w:t>
      </w:r>
      <w:r w:rsidR="00545AD7" w:rsidRPr="00E55212">
        <w:rPr>
          <w:rFonts w:ascii="Arial"/>
          <w:b/>
          <w:bCs/>
          <w:sz w:val="40"/>
          <w:szCs w:val="40"/>
        </w:rPr>
        <w:t>EC</w:t>
      </w:r>
      <w:r w:rsidR="00D0262E" w:rsidRPr="00E55212">
        <w:rPr>
          <w:rFonts w:ascii="Arial"/>
          <w:b/>
          <w:bCs/>
          <w:sz w:val="40"/>
          <w:szCs w:val="40"/>
        </w:rPr>
        <w:t>PT600</w:t>
      </w:r>
      <w:r w:rsidR="00E55212" w:rsidRPr="00E55212">
        <w:rPr>
          <w:rFonts w:ascii="Arial"/>
          <w:b/>
          <w:bCs/>
          <w:sz w:val="40"/>
          <w:szCs w:val="40"/>
        </w:rPr>
        <w:t>7</w:t>
      </w:r>
      <w:r w:rsidR="00A6013A" w:rsidRPr="00E55212">
        <w:rPr>
          <w:rFonts w:ascii="Arial"/>
          <w:b/>
          <w:bCs/>
          <w:sz w:val="40"/>
          <w:szCs w:val="40"/>
        </w:rPr>
        <w:t xml:space="preserve"> </w:t>
      </w:r>
    </w:p>
    <w:p w14:paraId="5051A2D5" w14:textId="77777777" w:rsidR="00347EA1" w:rsidRPr="00E55212" w:rsidRDefault="00347EA1" w:rsidP="00DD5969">
      <w:pPr>
        <w:spacing w:before="212"/>
        <w:rPr>
          <w:rFonts w:ascii="Arial"/>
          <w:b/>
          <w:sz w:val="48"/>
          <w:szCs w:val="48"/>
        </w:rPr>
      </w:pPr>
    </w:p>
    <w:p w14:paraId="52D012F0" w14:textId="0D1B7609" w:rsidR="00347EA1" w:rsidRPr="00353860" w:rsidRDefault="00347EA1" w:rsidP="00DD5969">
      <w:pPr>
        <w:spacing w:before="212"/>
        <w:rPr>
          <w:rFonts w:ascii="Arial"/>
          <w:b/>
          <w:sz w:val="40"/>
          <w:szCs w:val="40"/>
          <w:highlight w:val="yellow"/>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5E5B97">
        <w:rPr>
          <w:rFonts w:ascii="Arial"/>
          <w:b/>
          <w:bCs/>
          <w:sz w:val="40"/>
          <w:szCs w:val="40"/>
        </w:rPr>
        <w:t>2</w:t>
      </w:r>
      <w:r w:rsidR="00353860" w:rsidRPr="00353860">
        <w:rPr>
          <w:rFonts w:ascii="Arial"/>
          <w:b/>
          <w:bCs/>
          <w:sz w:val="40"/>
          <w:szCs w:val="40"/>
        </w:rPr>
        <w:t xml:space="preserve"> </w:t>
      </w:r>
      <w:r w:rsidR="00E55212">
        <w:rPr>
          <w:rFonts w:ascii="Arial"/>
          <w:b/>
          <w:bCs/>
          <w:sz w:val="40"/>
          <w:szCs w:val="40"/>
        </w:rPr>
        <w:t>Written Reflection &amp; Peer Review</w:t>
      </w:r>
    </w:p>
    <w:p w14:paraId="6AA1A7DC" w14:textId="77777777" w:rsidR="00DD5969" w:rsidRPr="00353860" w:rsidRDefault="00DD5969" w:rsidP="00DD5969">
      <w:pPr>
        <w:spacing w:before="7"/>
        <w:jc w:val="center"/>
        <w:rPr>
          <w:rFonts w:ascii="Arial"/>
          <w:b/>
          <w:sz w:val="44"/>
        </w:rPr>
      </w:pPr>
    </w:p>
    <w:p w14:paraId="7681432B" w14:textId="6385515C" w:rsidR="00DD5969" w:rsidRPr="00DD5969" w:rsidRDefault="00DD5969" w:rsidP="00DD5969">
      <w:pPr>
        <w:spacing w:before="3"/>
        <w:rPr>
          <w:rFonts w:ascii="Arial"/>
          <w:b/>
          <w:sz w:val="48"/>
          <w:szCs w:val="48"/>
        </w:rPr>
      </w:pPr>
      <w:r w:rsidRPr="00DD5969">
        <w:rPr>
          <w:rFonts w:ascii="Arial"/>
          <w:b/>
          <w:sz w:val="48"/>
          <w:szCs w:val="48"/>
        </w:rPr>
        <w:t>STUDENT NAME:</w:t>
      </w:r>
      <w:r w:rsidR="002E669A">
        <w:rPr>
          <w:rFonts w:ascii="Arial"/>
          <w:b/>
          <w:sz w:val="48"/>
          <w:szCs w:val="48"/>
        </w:rPr>
        <w:t xml:space="preserve"> Elyse Hopkins </w:t>
      </w:r>
    </w:p>
    <w:p w14:paraId="0D16D138" w14:textId="77777777" w:rsidR="00DD5969" w:rsidRPr="00DD5969" w:rsidRDefault="00DD5969" w:rsidP="00DD5969">
      <w:pPr>
        <w:spacing w:before="3"/>
        <w:rPr>
          <w:rFonts w:ascii="Arial"/>
          <w:b/>
          <w:sz w:val="48"/>
          <w:szCs w:val="48"/>
        </w:rPr>
      </w:pPr>
    </w:p>
    <w:p w14:paraId="18107AFF" w14:textId="74A4B2FC"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2E669A">
        <w:rPr>
          <w:rFonts w:ascii="Arial"/>
          <w:b/>
          <w:sz w:val="48"/>
          <w:szCs w:val="48"/>
        </w:rPr>
        <w:t xml:space="preserve"> 1550604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492B16D" w14:textId="496FE393" w:rsidR="00164156" w:rsidRPr="00164156" w:rsidRDefault="00164156" w:rsidP="002E669A">
      <w:pPr>
        <w:spacing w:after="0" w:line="240" w:lineRule="auto"/>
        <w:jc w:val="both"/>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7D7790D3" w14:textId="77777777" w:rsidR="002E669A" w:rsidRDefault="002E669A" w:rsidP="00724112">
      <w:pPr>
        <w:rPr>
          <w:b/>
          <w:bCs/>
          <w:sz w:val="32"/>
          <w:szCs w:val="32"/>
          <w:u w:val="single"/>
        </w:rPr>
      </w:pPr>
    </w:p>
    <w:p w14:paraId="5A38292B" w14:textId="6D735B0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06DD2EE7" w14:textId="77777777" w:rsidR="002E669A" w:rsidRDefault="002E669A" w:rsidP="00E243A8"/>
    <w:p w14:paraId="013F4763" w14:textId="77777777" w:rsidR="002E669A" w:rsidRDefault="002E669A" w:rsidP="00E243A8"/>
    <w:p w14:paraId="3388DC01" w14:textId="77777777" w:rsidR="002E669A" w:rsidRDefault="002E669A" w:rsidP="00E243A8"/>
    <w:p w14:paraId="35FEE56A" w14:textId="5D77034F" w:rsidR="002E669A" w:rsidRDefault="002E669A" w:rsidP="002E669A">
      <w:pPr>
        <w:jc w:val="both"/>
      </w:pPr>
    </w:p>
    <w:p w14:paraId="1B90F769" w14:textId="12DE1C49" w:rsidR="002E669A" w:rsidRPr="002E669A" w:rsidRDefault="002E669A" w:rsidP="002E669A">
      <w:pPr>
        <w:jc w:val="both"/>
        <w:rPr>
          <w:b/>
          <w:bCs/>
          <w:u w:val="single"/>
        </w:rPr>
      </w:pPr>
      <w:r>
        <w:lastRenderedPageBreak/>
        <w:tab/>
      </w:r>
      <w:r>
        <w:tab/>
      </w:r>
      <w:r>
        <w:tab/>
      </w:r>
      <w:r>
        <w:tab/>
      </w:r>
      <w:r>
        <w:tab/>
      </w:r>
      <w:r w:rsidRPr="002E669A">
        <w:rPr>
          <w:b/>
          <w:bCs/>
          <w:u w:val="single"/>
        </w:rPr>
        <w:t>Reflective Report</w:t>
      </w:r>
    </w:p>
    <w:p w14:paraId="0B58ADEC" w14:textId="2594F767"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This essay is a reflective report on my experience of building a curriculum aimed at the higher education degree course for professional policing at Gwent Police. I identified a gap in the current provision and proposed a ten-week module focused on statement writing and case file building which I feel are key skills that are required in various areas of policing, but may be underdeveloped in early training. The module was aimed to be delivered within the first three months of initial training to strengthen officers’ written communication, attention to detail, and understanding of procedural requirements. I will be referring to the Driscoll’s model of reflection using subheadings of ‘What? So What? Now what?’ to break down the structure of my thoughts on the experience (</w:t>
      </w:r>
      <w:r w:rsidR="00E64770">
        <w:rPr>
          <w:rFonts w:ascii="Arial" w:hAnsi="Arial" w:cs="Arial"/>
          <w:color w:val="000000"/>
          <w:kern w:val="0"/>
          <w:sz w:val="22"/>
          <w:szCs w:val="22"/>
          <w:lang w:eastAsia="en-GB"/>
          <w14:ligatures w14:val="none"/>
        </w:rPr>
        <w:t>EBSCO</w:t>
      </w:r>
      <w:r w:rsidRPr="002E669A">
        <w:rPr>
          <w:rFonts w:ascii="Arial" w:hAnsi="Arial" w:cs="Arial"/>
          <w:color w:val="000000"/>
          <w:kern w:val="0"/>
          <w:sz w:val="22"/>
          <w:szCs w:val="22"/>
          <w:lang w:eastAsia="en-GB"/>
          <w14:ligatures w14:val="none"/>
        </w:rPr>
        <w:t>, 2024). ‘What?’ describing the decisions made to design the curriculum and the method of teaching and learning strategies. ‘So What?’ will draw upon the experience on providing and receiving feedback, and ‘Now What?’ describes the actions I will be taking forward which can further my professional development and inform my future practice in educational planning and collaboration with institutions.</w:t>
      </w:r>
    </w:p>
    <w:p w14:paraId="5A9DA3FA" w14:textId="77777777" w:rsidR="002E669A" w:rsidRPr="002E669A" w:rsidRDefault="002E669A" w:rsidP="002E669A">
      <w:pPr>
        <w:spacing w:after="161" w:line="360" w:lineRule="auto"/>
        <w:divId w:val="802890357"/>
        <w:rPr>
          <w:rFonts w:ascii="Arial" w:hAnsi="Arial" w:cs="Arial"/>
          <w:color w:val="000000"/>
          <w:kern w:val="0"/>
          <w:sz w:val="22"/>
          <w:szCs w:val="22"/>
          <w:lang w:eastAsia="en-GB"/>
          <w14:ligatures w14:val="none"/>
        </w:rPr>
      </w:pPr>
    </w:p>
    <w:p w14:paraId="6414F154" w14:textId="77777777" w:rsidR="002E669A" w:rsidRPr="002E669A" w:rsidRDefault="002E669A" w:rsidP="002E669A">
      <w:pPr>
        <w:spacing w:after="161" w:line="360" w:lineRule="auto"/>
        <w:divId w:val="802890357"/>
        <w:rPr>
          <w:rFonts w:ascii="Arial" w:hAnsi="Arial" w:cs="Arial"/>
          <w:b/>
          <w:bCs/>
          <w:color w:val="000000"/>
          <w:kern w:val="0"/>
          <w:sz w:val="22"/>
          <w:szCs w:val="22"/>
          <w:lang w:eastAsia="en-GB"/>
          <w14:ligatures w14:val="none"/>
        </w:rPr>
      </w:pPr>
      <w:r w:rsidRPr="002E669A">
        <w:rPr>
          <w:rFonts w:ascii="Arial" w:hAnsi="Arial" w:cs="Arial"/>
          <w:b/>
          <w:bCs/>
          <w:color w:val="000000"/>
          <w:kern w:val="0"/>
          <w:sz w:val="22"/>
          <w:szCs w:val="22"/>
          <w:lang w:eastAsia="en-GB"/>
          <w14:ligatures w14:val="none"/>
        </w:rPr>
        <w:t>What? </w:t>
      </w:r>
    </w:p>
    <w:p w14:paraId="719AC1EF" w14:textId="59899A8A"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I designed and produced a ten-week curriculum aimed at training police officers at Gwent Police who are three months into their probationary period, it was designed to link with other modules and disciplines where it would prepare them operationally once they graduate from the training facility. The course is in collaboration with University of South Wales which explores various aspects within policing in combination with theory and practice, by having the curriculum design with those elements I felt were appropriate to implement practical activities in hand with theory, research and  demonstration to build a range of skills that align with the College of Policing practices and the Competency Values Framework (College of Policing, 202</w:t>
      </w:r>
      <w:r w:rsidR="00E64770">
        <w:rPr>
          <w:rFonts w:ascii="Arial" w:hAnsi="Arial" w:cs="Arial"/>
          <w:color w:val="000000"/>
          <w:kern w:val="0"/>
          <w:sz w:val="22"/>
          <w:szCs w:val="22"/>
          <w:lang w:eastAsia="en-GB"/>
          <w14:ligatures w14:val="none"/>
        </w:rPr>
        <w:t>4</w:t>
      </w:r>
      <w:r w:rsidRPr="002E669A">
        <w:rPr>
          <w:rFonts w:ascii="Arial" w:hAnsi="Arial" w:cs="Arial"/>
          <w:color w:val="000000"/>
          <w:kern w:val="0"/>
          <w:sz w:val="22"/>
          <w:szCs w:val="22"/>
          <w:lang w:eastAsia="en-GB"/>
          <w14:ligatures w14:val="none"/>
        </w:rPr>
        <w:t xml:space="preserve">). This was to equip the learners from the beginning which would then foster their professionalism further by recognising and responding, enhancing performance and skills with communication and organisational awareness. This can also resonate with catering to various learning styles by bringing in and enhancing already established skills from experiences as Mondal et al states that adults have diverse ways of learning, by having different methods of teaching it caters to all learners (2024). In addition to this, I feel this is line with professional standards to K1 and K2 by knowing how learners learn, along with applying different teaching methods to support the learning supports best practice (Advance HE, 2023). </w:t>
      </w:r>
    </w:p>
    <w:p w14:paraId="0D0D8E67" w14:textId="77777777"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 xml:space="preserve">When designing out the schemes of work for the ten weeks, the approach to build up the learning was through scaffolding, which according van de Pol et al (2018) refers the method </w:t>
      </w:r>
      <w:r w:rsidRPr="002E669A">
        <w:rPr>
          <w:rFonts w:ascii="Arial" w:hAnsi="Arial" w:cs="Arial"/>
          <w:color w:val="000000"/>
          <w:kern w:val="0"/>
          <w:sz w:val="22"/>
          <w:szCs w:val="22"/>
          <w:lang w:eastAsia="en-GB"/>
          <w14:ligatures w14:val="none"/>
        </w:rPr>
        <w:lastRenderedPageBreak/>
        <w:t xml:space="preserve">to Vygotsky’s theory zone of proximal development, where the learner initially learns from others before independently learning themselves (Vygotsky, 1978 cited in Pol </w:t>
      </w:r>
      <w:r w:rsidRPr="002E669A">
        <w:rPr>
          <w:rFonts w:ascii="Arial-ItalicMT" w:hAnsi="Arial-ItalicMT" w:cs="Arial"/>
          <w:i/>
          <w:iCs/>
          <w:color w:val="000000"/>
          <w:kern w:val="0"/>
          <w:sz w:val="22"/>
          <w:szCs w:val="22"/>
          <w:lang w:eastAsia="en-GB"/>
          <w14:ligatures w14:val="none"/>
        </w:rPr>
        <w:t>et al</w:t>
      </w:r>
      <w:r w:rsidRPr="002E669A">
        <w:rPr>
          <w:rFonts w:ascii="Arial" w:hAnsi="Arial" w:cs="Arial"/>
          <w:color w:val="000000"/>
          <w:kern w:val="0"/>
          <w:sz w:val="22"/>
          <w:szCs w:val="22"/>
          <w:lang w:eastAsia="en-GB"/>
          <w14:ligatures w14:val="none"/>
        </w:rPr>
        <w:t xml:space="preserve">, 2018). By setting out the weeks to progress from the teacher showing and demonstrating, to the learners demonstrating their learning towards the end of the curriculum. I felt initially this was an appropriate way to assess the learning to see progress or to provide additional support, the learning strategies, aims and outcomes would gradually be directed towards the learner’s autonomy of researching themselves, writing up statements from role playing assessments and independently building a case file. This also aligns with professional standards A1,  A2 and V3 by designing and planning learning activities and support learning through evidence informed approaches by using various methods and practices (Advance HE, 2023). </w:t>
      </w:r>
    </w:p>
    <w:p w14:paraId="127AFF02" w14:textId="3B3A0AB7"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The decision to specify on inclusivity within the curriculum was to bring in awareness for the new officers who would be met with varying needs of victims once they are operational and it is a core requirement to uphold police professional values through the Competency Values Framework (College of Policing, 202</w:t>
      </w:r>
      <w:r w:rsidR="00E64770">
        <w:rPr>
          <w:rFonts w:ascii="Arial" w:hAnsi="Arial" w:cs="Arial"/>
          <w:color w:val="000000"/>
          <w:kern w:val="0"/>
          <w:sz w:val="22"/>
          <w:szCs w:val="22"/>
          <w:lang w:eastAsia="en-GB"/>
          <w14:ligatures w14:val="none"/>
        </w:rPr>
        <w:t>4</w:t>
      </w:r>
      <w:r w:rsidRPr="002E669A">
        <w:rPr>
          <w:rFonts w:ascii="Arial" w:hAnsi="Arial" w:cs="Arial"/>
          <w:color w:val="000000"/>
          <w:kern w:val="0"/>
          <w:sz w:val="22"/>
          <w:szCs w:val="22"/>
          <w:lang w:eastAsia="en-GB"/>
          <w14:ligatures w14:val="none"/>
        </w:rPr>
        <w:t>) and the Strategic Equality Plan within Gwent Police 2024-2028 (Gwent Police, 2024). Therefore, I felt it was justified by specifying topics and tasks around equality and inclusion was relevant for the institution’s provisions, assigning a realistic case study to be assessed would demonstrate the learners’ knowledge and professionalism. Once the curriculum was completed, I was then assigned to complete a peer review of three different curricul</w:t>
      </w:r>
      <w:r>
        <w:rPr>
          <w:rFonts w:ascii="Arial" w:hAnsi="Arial" w:cs="Arial"/>
          <w:color w:val="000000"/>
          <w:kern w:val="0"/>
          <w:sz w:val="22"/>
          <w:szCs w:val="22"/>
          <w:lang w:eastAsia="en-GB"/>
          <w14:ligatures w14:val="none"/>
        </w:rPr>
        <w:t>a</w:t>
      </w:r>
      <w:r w:rsidRPr="002E669A">
        <w:rPr>
          <w:rFonts w:ascii="Arial" w:hAnsi="Arial" w:cs="Arial"/>
          <w:color w:val="000000"/>
          <w:kern w:val="0"/>
          <w:sz w:val="22"/>
          <w:szCs w:val="22"/>
          <w:lang w:eastAsia="en-GB"/>
          <w14:ligatures w14:val="none"/>
        </w:rPr>
        <w:t xml:space="preserve"> within my cohort whilst also receiving feedback.  </w:t>
      </w:r>
    </w:p>
    <w:p w14:paraId="79430A94" w14:textId="77777777" w:rsidR="002E669A" w:rsidRPr="002E669A" w:rsidRDefault="002E669A" w:rsidP="002E669A">
      <w:pPr>
        <w:spacing w:after="161" w:line="360" w:lineRule="auto"/>
        <w:divId w:val="802890357"/>
        <w:rPr>
          <w:rFonts w:ascii="Arial" w:hAnsi="Arial" w:cs="Arial"/>
          <w:color w:val="000000"/>
          <w:kern w:val="0"/>
          <w:sz w:val="22"/>
          <w:szCs w:val="22"/>
          <w:lang w:eastAsia="en-GB"/>
          <w14:ligatures w14:val="none"/>
        </w:rPr>
      </w:pPr>
    </w:p>
    <w:p w14:paraId="13959AE3" w14:textId="77777777" w:rsidR="002E669A" w:rsidRPr="002E669A" w:rsidRDefault="002E669A" w:rsidP="002E669A">
      <w:pPr>
        <w:spacing w:after="161" w:line="360" w:lineRule="auto"/>
        <w:divId w:val="802890357"/>
        <w:rPr>
          <w:rFonts w:ascii="Arial" w:hAnsi="Arial" w:cs="Arial"/>
          <w:b/>
          <w:bCs/>
          <w:color w:val="000000"/>
          <w:kern w:val="0"/>
          <w:sz w:val="22"/>
          <w:szCs w:val="22"/>
          <w:lang w:eastAsia="en-GB"/>
          <w14:ligatures w14:val="none"/>
        </w:rPr>
      </w:pPr>
      <w:r w:rsidRPr="002E669A">
        <w:rPr>
          <w:rFonts w:ascii="Arial" w:hAnsi="Arial" w:cs="Arial"/>
          <w:b/>
          <w:bCs/>
          <w:color w:val="000000"/>
          <w:kern w:val="0"/>
          <w:sz w:val="22"/>
          <w:szCs w:val="22"/>
          <w:lang w:eastAsia="en-GB"/>
          <w14:ligatures w14:val="none"/>
        </w:rPr>
        <w:t>So What?</w:t>
      </w:r>
    </w:p>
    <w:p w14:paraId="3A74A45F" w14:textId="77777777"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sidRPr="002E669A">
        <w:rPr>
          <w:rFonts w:ascii="Arial" w:hAnsi="Arial" w:cs="Arial"/>
          <w:color w:val="000000"/>
          <w:kern w:val="0"/>
          <w:sz w:val="22"/>
          <w:szCs w:val="22"/>
          <w:lang w:eastAsia="en-GB"/>
          <w14:ligatures w14:val="none"/>
        </w:rPr>
        <w:t xml:space="preserve">I was assigned three curricula to review, each specified in different topics such as art and design, illustration and sports science. Although the curricula were different in their own specialism, they shared a commonality of proposing the curriculum towards higher education. Therefore when reviewing the work, I was focusing into the appropriateness of the topics suited to level four to eight that aligns with the framework for higher education qualifications (FHEQ), this framework applies to higher education course within England and Wales (QAA, 2024, p.2). This was to ensure there is alignment in the intended delivery, the appropriate stage of learning for their target audience learners, and review the measurability of their proposed learning aims and outcomes. I felt this  further developed my professional skills as a training practitioner to create a curriculum in a structured and methodical way, as it enabled me to challenge myself to create something I have not done before. Producing peer review feedback enhanced my critical skills, to consider all aspects of what was being proposed along with showing other ways curricula can be delivered for specific subjects, this </w:t>
      </w:r>
      <w:r w:rsidRPr="002E669A">
        <w:rPr>
          <w:rFonts w:ascii="Arial" w:hAnsi="Arial" w:cs="Arial"/>
          <w:color w:val="000000"/>
          <w:kern w:val="0"/>
          <w:sz w:val="22"/>
          <w:szCs w:val="22"/>
          <w:lang w:eastAsia="en-GB"/>
          <w14:ligatures w14:val="none"/>
        </w:rPr>
        <w:lastRenderedPageBreak/>
        <w:t xml:space="preserve">broadened my perspective on how to create an effective learning plan. This aligns with the professional standards A5 by being aware of these developments in myself, I am enhancing my professional practice (Advance HE, 2023). </w:t>
      </w:r>
    </w:p>
    <w:p w14:paraId="6D63C1EA" w14:textId="27D2B66A"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 xml:space="preserve">Once I had submitted my reviews, I then received feedback from my curriculum. Upon receiving the feedback, although I felt I provided a balance of positive reviews with areas of improvement,  felt that I should have explained further in my own reviews to others, I did not consider to use feedback and feed forward. Now upon reflection, I could have adapted this to give a clearer breakdown structure for my peers to get a well informed opinion on the curriculum, as expressed by Sadler et al (2022) who states feed back focuses on the outputs of the assessment, whilst feed forward focuses on the future goals and the steps towards improvement. By implementing this, it gives more clearer guidance to the learners to better interpret how they could improve as means to prevent ambiguous or vague commentary to an assignment or assessment (Sadler </w:t>
      </w:r>
      <w:r w:rsidRPr="002E669A">
        <w:rPr>
          <w:rFonts w:ascii="Arial" w:hAnsi="Arial" w:cs="Arial"/>
          <w:i/>
          <w:iCs/>
          <w:color w:val="000000"/>
          <w:kern w:val="0"/>
          <w:sz w:val="22"/>
          <w:szCs w:val="22"/>
          <w:lang w:eastAsia="en-GB"/>
          <w14:ligatures w14:val="none"/>
        </w:rPr>
        <w:t>et al,</w:t>
      </w:r>
      <w:r w:rsidRPr="002E669A">
        <w:rPr>
          <w:rFonts w:ascii="Arial" w:hAnsi="Arial" w:cs="Arial"/>
          <w:color w:val="000000"/>
          <w:kern w:val="0"/>
          <w:sz w:val="22"/>
          <w:szCs w:val="22"/>
          <w:lang w:eastAsia="en-GB"/>
          <w14:ligatures w14:val="none"/>
        </w:rPr>
        <w:t xml:space="preserve"> 2022). </w:t>
      </w:r>
    </w:p>
    <w:p w14:paraId="576F57EF" w14:textId="77777777" w:rsidR="002E669A" w:rsidRPr="002E669A" w:rsidRDefault="002E669A" w:rsidP="002E669A">
      <w:pPr>
        <w:spacing w:after="161" w:line="360" w:lineRule="auto"/>
        <w:divId w:val="802890357"/>
        <w:rPr>
          <w:rFonts w:ascii="Arial" w:hAnsi="Arial" w:cs="Arial"/>
          <w:color w:val="000000"/>
          <w:kern w:val="0"/>
          <w:sz w:val="22"/>
          <w:szCs w:val="22"/>
          <w:lang w:eastAsia="en-GB"/>
          <w14:ligatures w14:val="none"/>
        </w:rPr>
      </w:pPr>
    </w:p>
    <w:p w14:paraId="27132AD7" w14:textId="77777777" w:rsidR="002E669A" w:rsidRPr="002E669A" w:rsidRDefault="002E669A" w:rsidP="002E669A">
      <w:pPr>
        <w:spacing w:after="161" w:line="360" w:lineRule="auto"/>
        <w:divId w:val="802890357"/>
        <w:rPr>
          <w:rFonts w:ascii="Arial" w:hAnsi="Arial" w:cs="Arial"/>
          <w:b/>
          <w:bCs/>
          <w:color w:val="000000"/>
          <w:kern w:val="0"/>
          <w:sz w:val="22"/>
          <w:szCs w:val="22"/>
          <w:lang w:eastAsia="en-GB"/>
          <w14:ligatures w14:val="none"/>
        </w:rPr>
      </w:pPr>
      <w:r w:rsidRPr="002E669A">
        <w:rPr>
          <w:rFonts w:ascii="Arial" w:hAnsi="Arial" w:cs="Arial"/>
          <w:b/>
          <w:bCs/>
          <w:color w:val="000000"/>
          <w:kern w:val="0"/>
          <w:sz w:val="22"/>
          <w:szCs w:val="22"/>
          <w:lang w:eastAsia="en-GB"/>
          <w14:ligatures w14:val="none"/>
        </w:rPr>
        <w:t>Now What? </w:t>
      </w:r>
    </w:p>
    <w:p w14:paraId="6506DB70" w14:textId="77777777"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For the future, I will be implementing feed forward into assessments as this will further my professional development, this aligns with professional standards A5 to continually develop and improve my practice (Advance HE, 2023). From the feedback I received, overall, I felt positive from the reviews as it seemed that where in some areas I felt I could have further improved on such as the depth of the topic within a ten week time frame,  it appeared to be suitable for the curriculum I proposed to deliver to. It was noted from the peer review that I was considerate and inclusive for all learners with differentiated deadlines and student support, this is an aspect I will continue to use and enhance in future practice as it aligns with professional standards V1 respecting individual and diverse group of learners (Advance HE, 2023).</w:t>
      </w:r>
    </w:p>
    <w:p w14:paraId="102192A7" w14:textId="77777777"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 xml:space="preserve">  I acknowledge that there were some aspects of my curriculum where I could have provided more clarity and structure; specifically in the schemes of work, the layout could have been clearer which was noted in the reviews such as presenting through a table format of the ten weeks. Despite this, the structure breakdown was detailed and it was suggested to provide a curriculum overview table for each week. I agree with this suggestion as it could be used as a learner aid for the training officers and provides clarity of what to expect each week in the duration of the course which would be in line with professional standards, A4 demonstrating support and guide learners throughout the learning (Advance HE, 2023). In addition to this, it was suggested to provide a glossary of key police terms and phrases to show transparency, </w:t>
      </w:r>
      <w:r w:rsidRPr="002E669A">
        <w:rPr>
          <w:rFonts w:ascii="Arial" w:hAnsi="Arial" w:cs="Arial"/>
          <w:color w:val="000000"/>
          <w:kern w:val="0"/>
          <w:sz w:val="22"/>
          <w:szCs w:val="22"/>
          <w:lang w:eastAsia="en-GB"/>
          <w14:ligatures w14:val="none"/>
        </w:rPr>
        <w:lastRenderedPageBreak/>
        <w:t>specifically for those who are unfamiliar with the language it provides quality assurance to the curriculum and again could be used as guidance for learners. This aligns with the professional standards K5 demonstrating my knowledge of implementing quality assurance and awareness to enhancements (Advance HE, 2023).</w:t>
      </w:r>
    </w:p>
    <w:p w14:paraId="255F451C" w14:textId="7303BAB3" w:rsidR="002E669A" w:rsidRDefault="002E669A"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w:t>
      </w:r>
      <w:r w:rsidRPr="002E669A">
        <w:rPr>
          <w:rFonts w:ascii="Arial" w:hAnsi="Arial" w:cs="Arial"/>
          <w:color w:val="000000"/>
          <w:kern w:val="0"/>
          <w:sz w:val="22"/>
          <w:szCs w:val="22"/>
          <w:lang w:eastAsia="en-GB"/>
          <w14:ligatures w14:val="none"/>
        </w:rPr>
        <w:t xml:space="preserve"> Another noted suggestion to the curriculum was to consider using reflective elements as a writing task or to have review check-ins for the learner’s progression. Although I did note this into the scheme of work to ascertain any additional support, perhaps to do more reviews or reflective tasks leading up to the summative assessment may have been more beneficial to ready the learners into the independent case file build and assessed case study. This would also align with professional standards A3 to assess and give feedback to the learners in hand with A2 supporting the learners through appropriate teaching approaches (Advance HE, 2023). To conclude this essay, I have identified areas where I could further improve my development, recognising alignments with the advance HE professional standards through the design of the curriculum and future targets I will be setting to enhance my practice.</w:t>
      </w:r>
    </w:p>
    <w:p w14:paraId="54FB0154" w14:textId="33BF7AED"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WC: 1540</w:t>
      </w:r>
    </w:p>
    <w:p w14:paraId="65379DB3"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0A51DDA7"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01537747"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5C102789"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3B96B227"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0D8726DA"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7A52AB07"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C361B84"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192B2661"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7B08906E"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D7D03FF"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4F08B4E6"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4933C80B"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022AF376"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658A4511" w14:textId="20F99718"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sidRPr="00E64770">
        <w:rPr>
          <w:rFonts w:ascii="Arial" w:hAnsi="Arial" w:cs="Arial"/>
          <w:b/>
          <w:bCs/>
          <w:color w:val="000000"/>
          <w:kern w:val="0"/>
          <w:sz w:val="22"/>
          <w:szCs w:val="22"/>
          <w:lang w:eastAsia="en-GB"/>
          <w14:ligatures w14:val="none"/>
        </w:rPr>
        <w:lastRenderedPageBreak/>
        <w:t>References</w:t>
      </w:r>
      <w:r>
        <w:rPr>
          <w:rFonts w:ascii="Arial" w:hAnsi="Arial" w:cs="Arial"/>
          <w:color w:val="000000"/>
          <w:kern w:val="0"/>
          <w:sz w:val="22"/>
          <w:szCs w:val="22"/>
          <w:lang w:eastAsia="en-GB"/>
          <w14:ligatures w14:val="none"/>
        </w:rPr>
        <w:t xml:space="preserve">: </w:t>
      </w:r>
    </w:p>
    <w:p w14:paraId="2B6CD938" w14:textId="0CA54A32" w:rsidR="00E64770" w:rsidRDefault="00E64770" w:rsidP="00E64770">
      <w:pPr>
        <w:spacing w:after="0" w:line="240" w:lineRule="auto"/>
        <w:rPr>
          <w:rFonts w:ascii="Arial" w:hAnsi="Arial" w:cs="Arial"/>
          <w:color w:val="000000"/>
          <w:kern w:val="0"/>
          <w:sz w:val="22"/>
          <w:szCs w:val="22"/>
          <w:lang w:eastAsia="en-GB"/>
          <w14:ligatures w14:val="none"/>
        </w:rPr>
      </w:pPr>
      <w:r w:rsidRPr="00E64770">
        <w:rPr>
          <w:rFonts w:ascii="Arial" w:hAnsi="Arial" w:cs="Arial"/>
          <w:color w:val="000000"/>
          <w:kern w:val="0"/>
          <w:sz w:val="22"/>
          <w:szCs w:val="22"/>
          <w:lang w:eastAsia="en-GB"/>
          <w14:ligatures w14:val="none"/>
        </w:rPr>
        <w:t>Advance HE (2023)</w:t>
      </w:r>
      <w:r>
        <w:rPr>
          <w:rFonts w:ascii="Arial" w:hAnsi="Arial" w:cs="Arial"/>
          <w:color w:val="000000"/>
          <w:kern w:val="0"/>
          <w:sz w:val="22"/>
          <w:szCs w:val="22"/>
          <w:lang w:eastAsia="en-GB"/>
          <w14:ligatures w14:val="none"/>
        </w:rPr>
        <w:t>.</w:t>
      </w:r>
      <w:r w:rsidRPr="00E64770">
        <w:rPr>
          <w:rFonts w:ascii="Arial" w:hAnsi="Arial" w:cs="Arial"/>
          <w:color w:val="000000"/>
          <w:kern w:val="0"/>
          <w:sz w:val="22"/>
          <w:szCs w:val="22"/>
          <w:lang w:eastAsia="en-GB"/>
          <w14:ligatures w14:val="none"/>
        </w:rPr>
        <w:t xml:space="preserve"> </w:t>
      </w:r>
      <w:r w:rsidRPr="00E64770">
        <w:rPr>
          <w:rFonts w:ascii="Arial" w:hAnsi="Arial" w:cs="Arial"/>
          <w:i/>
          <w:iCs/>
          <w:color w:val="000000"/>
          <w:kern w:val="0"/>
          <w:sz w:val="22"/>
          <w:szCs w:val="22"/>
          <w:lang w:eastAsia="en-GB"/>
          <w14:ligatures w14:val="none"/>
        </w:rPr>
        <w:t>UK Professional Standards Framework</w:t>
      </w:r>
      <w:r>
        <w:rPr>
          <w:rFonts w:ascii="Arial" w:hAnsi="Arial" w:cs="Arial"/>
          <w:color w:val="000000"/>
          <w:kern w:val="0"/>
          <w:sz w:val="22"/>
          <w:szCs w:val="22"/>
          <w:lang w:eastAsia="en-GB"/>
          <w14:ligatures w14:val="none"/>
        </w:rPr>
        <w:t xml:space="preserve">. Available at: </w:t>
      </w:r>
      <w:hyperlink r:id="rId10" w:history="1">
        <w:r w:rsidRPr="00F30F48">
          <w:rPr>
            <w:rStyle w:val="Hyperlink"/>
            <w:rFonts w:ascii="Arial" w:hAnsi="Arial" w:cs="Arial"/>
            <w:kern w:val="0"/>
            <w:sz w:val="22"/>
            <w:szCs w:val="22"/>
            <w:lang w:eastAsia="en-GB"/>
            <w14:ligatures w14:val="none"/>
          </w:rPr>
          <w:t>https://s3.eu-west-2.amazonaws.com/assets.creode.advancehe-document-manager/documents/advance-he/PSF%202023%20-%20Screen%20Reader%20Compatible%20-%20final_1675089549.pdf</w:t>
        </w:r>
      </w:hyperlink>
      <w:r>
        <w:rPr>
          <w:rFonts w:ascii="Arial" w:hAnsi="Arial" w:cs="Arial"/>
          <w:color w:val="000000"/>
          <w:kern w:val="0"/>
          <w:sz w:val="22"/>
          <w:szCs w:val="22"/>
          <w:lang w:eastAsia="en-GB"/>
          <w14:ligatures w14:val="none"/>
        </w:rPr>
        <w:t xml:space="preserve"> (Accessed 23 May 2025)</w:t>
      </w:r>
    </w:p>
    <w:p w14:paraId="24FC626A" w14:textId="77777777" w:rsidR="00E64770" w:rsidRDefault="00E64770" w:rsidP="00E64770">
      <w:pPr>
        <w:spacing w:after="0" w:line="240" w:lineRule="auto"/>
        <w:rPr>
          <w:rFonts w:ascii="Arial" w:hAnsi="Arial" w:cs="Arial"/>
          <w:color w:val="000000"/>
          <w:kern w:val="0"/>
          <w:sz w:val="22"/>
          <w:szCs w:val="22"/>
          <w:lang w:eastAsia="en-GB"/>
          <w14:ligatures w14:val="none"/>
        </w:rPr>
      </w:pPr>
    </w:p>
    <w:p w14:paraId="67E99EAB" w14:textId="6C1ED839" w:rsidR="00E64770" w:rsidRDefault="00E64770" w:rsidP="00E64770">
      <w:pPr>
        <w:spacing w:after="0" w:line="240" w:lineRule="auto"/>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College of Policing (2024). </w:t>
      </w:r>
      <w:r w:rsidRPr="00E64770">
        <w:rPr>
          <w:rFonts w:ascii="Arial" w:hAnsi="Arial" w:cs="Arial"/>
          <w:i/>
          <w:iCs/>
          <w:color w:val="000000"/>
          <w:kern w:val="0"/>
          <w:sz w:val="22"/>
          <w:szCs w:val="22"/>
          <w:lang w:eastAsia="en-GB"/>
          <w14:ligatures w14:val="none"/>
        </w:rPr>
        <w:t>Competency and Values Framework.</w:t>
      </w:r>
      <w:r>
        <w:rPr>
          <w:rFonts w:ascii="Arial" w:hAnsi="Arial" w:cs="Arial"/>
          <w:color w:val="000000"/>
          <w:kern w:val="0"/>
          <w:sz w:val="22"/>
          <w:szCs w:val="22"/>
          <w:lang w:eastAsia="en-GB"/>
          <w14:ligatures w14:val="none"/>
        </w:rPr>
        <w:t xml:space="preserve"> Available at: </w:t>
      </w:r>
      <w:hyperlink r:id="rId11" w:history="1">
        <w:r w:rsidRPr="00F30F48">
          <w:rPr>
            <w:rStyle w:val="Hyperlink"/>
            <w:rFonts w:ascii="Arial" w:hAnsi="Arial" w:cs="Arial"/>
            <w:kern w:val="0"/>
            <w:sz w:val="22"/>
            <w:szCs w:val="22"/>
            <w:lang w:eastAsia="en-GB"/>
            <w14:ligatures w14:val="none"/>
          </w:rPr>
          <w:t>https://www.college.police.uk/career-learning/competency-and-values-framework</w:t>
        </w:r>
      </w:hyperlink>
      <w:r>
        <w:rPr>
          <w:rFonts w:ascii="Arial" w:hAnsi="Arial" w:cs="Arial"/>
          <w:color w:val="000000"/>
          <w:kern w:val="0"/>
          <w:sz w:val="22"/>
          <w:szCs w:val="22"/>
          <w:lang w:eastAsia="en-GB"/>
          <w14:ligatures w14:val="none"/>
        </w:rPr>
        <w:t xml:space="preserve"> (Accessed 23 May 2025)</w:t>
      </w:r>
    </w:p>
    <w:p w14:paraId="571CA541" w14:textId="77777777" w:rsidR="00E64770" w:rsidRDefault="00E64770" w:rsidP="00E64770">
      <w:pPr>
        <w:spacing w:after="0" w:line="240" w:lineRule="auto"/>
        <w:rPr>
          <w:rFonts w:ascii="Arial" w:hAnsi="Arial" w:cs="Arial"/>
          <w:color w:val="000000"/>
          <w:kern w:val="0"/>
          <w:sz w:val="22"/>
          <w:szCs w:val="22"/>
          <w:lang w:eastAsia="en-GB"/>
          <w14:ligatures w14:val="none"/>
        </w:rPr>
      </w:pPr>
    </w:p>
    <w:p w14:paraId="30385C95" w14:textId="7659F75E" w:rsidR="00E64770" w:rsidRDefault="00E64770" w:rsidP="00E64770">
      <w:pPr>
        <w:spacing w:after="0" w:line="240" w:lineRule="auto"/>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EBSCO (2024). </w:t>
      </w:r>
      <w:r w:rsidRPr="00E64770">
        <w:rPr>
          <w:rFonts w:ascii="Arial" w:hAnsi="Arial" w:cs="Arial"/>
          <w:i/>
          <w:iCs/>
          <w:color w:val="000000"/>
          <w:kern w:val="0"/>
          <w:sz w:val="22"/>
          <w:szCs w:val="22"/>
          <w:lang w:eastAsia="en-GB"/>
          <w14:ligatures w14:val="none"/>
        </w:rPr>
        <w:t>Driscoll model of reflection.</w:t>
      </w:r>
      <w:r>
        <w:rPr>
          <w:rFonts w:ascii="Arial" w:hAnsi="Arial" w:cs="Arial"/>
          <w:color w:val="000000"/>
          <w:kern w:val="0"/>
          <w:sz w:val="22"/>
          <w:szCs w:val="22"/>
          <w:lang w:eastAsia="en-GB"/>
          <w14:ligatures w14:val="none"/>
        </w:rPr>
        <w:t xml:space="preserve"> Available at: </w:t>
      </w:r>
      <w:hyperlink r:id="rId12" w:history="1">
        <w:r w:rsidRPr="00F30F48">
          <w:rPr>
            <w:rStyle w:val="Hyperlink"/>
            <w:rFonts w:ascii="Arial" w:hAnsi="Arial" w:cs="Arial"/>
            <w:kern w:val="0"/>
            <w:sz w:val="22"/>
            <w:szCs w:val="22"/>
            <w:lang w:eastAsia="en-GB"/>
            <w14:ligatures w14:val="none"/>
          </w:rPr>
          <w:t>https://www.ebsco.com/research-starters/health-and-medicine/driscoll-model-reflection</w:t>
        </w:r>
      </w:hyperlink>
    </w:p>
    <w:p w14:paraId="6CEBC56F" w14:textId="566D8397" w:rsidR="00E64770" w:rsidRDefault="00E64770" w:rsidP="00E64770">
      <w:pPr>
        <w:spacing w:after="0" w:line="240" w:lineRule="auto"/>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(Accessed: 23 May 2025)</w:t>
      </w:r>
    </w:p>
    <w:p w14:paraId="066C2DD1" w14:textId="77777777" w:rsidR="00E64770" w:rsidRDefault="00E64770" w:rsidP="00E64770">
      <w:pPr>
        <w:spacing w:after="0" w:line="240" w:lineRule="auto"/>
        <w:rPr>
          <w:rFonts w:ascii="Arial" w:hAnsi="Arial" w:cs="Arial"/>
          <w:color w:val="000000"/>
          <w:kern w:val="0"/>
          <w:sz w:val="22"/>
          <w:szCs w:val="22"/>
          <w:lang w:eastAsia="en-GB"/>
          <w14:ligatures w14:val="none"/>
        </w:rPr>
      </w:pPr>
    </w:p>
    <w:p w14:paraId="00170F0A" w14:textId="1925079A"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Gwent  Police (2024). </w:t>
      </w:r>
      <w:r w:rsidRPr="00E64770">
        <w:rPr>
          <w:rFonts w:ascii="Arial" w:hAnsi="Arial" w:cs="Arial"/>
          <w:i/>
          <w:iCs/>
          <w:color w:val="000000"/>
          <w:kern w:val="0"/>
          <w:sz w:val="22"/>
          <w:szCs w:val="22"/>
          <w:lang w:eastAsia="en-GB"/>
          <w14:ligatures w14:val="none"/>
        </w:rPr>
        <w:t>Strategic Equality Plan 2024-2028</w:t>
      </w:r>
      <w:r>
        <w:rPr>
          <w:rFonts w:ascii="Arial" w:hAnsi="Arial" w:cs="Arial"/>
          <w:color w:val="000000"/>
          <w:kern w:val="0"/>
          <w:sz w:val="22"/>
          <w:szCs w:val="22"/>
          <w:lang w:eastAsia="en-GB"/>
          <w14:ligatures w14:val="none"/>
        </w:rPr>
        <w:t xml:space="preserve">. Available at: </w:t>
      </w:r>
      <w:hyperlink r:id="rId13" w:history="1">
        <w:r w:rsidRPr="00F30F48">
          <w:rPr>
            <w:rStyle w:val="Hyperlink"/>
            <w:rFonts w:ascii="Arial" w:hAnsi="Arial" w:cs="Arial"/>
            <w:kern w:val="0"/>
            <w:sz w:val="22"/>
            <w:szCs w:val="22"/>
            <w:lang w:eastAsia="en-GB"/>
            <w14:ligatures w14:val="none"/>
          </w:rPr>
          <w:t>https://www.gwent.police.uk/SysSiteAssets/media/downloads/gwent/about-us/equality-and-diversity/strategic-equality-plan---2024-2028---summary---eng.pdf</w:t>
        </w:r>
      </w:hyperlink>
      <w:r>
        <w:rPr>
          <w:rFonts w:ascii="Arial" w:hAnsi="Arial" w:cs="Arial"/>
          <w:color w:val="000000"/>
          <w:kern w:val="0"/>
          <w:sz w:val="22"/>
          <w:szCs w:val="22"/>
          <w:lang w:eastAsia="en-GB"/>
          <w14:ligatures w14:val="none"/>
        </w:rPr>
        <w:t xml:space="preserve"> (Accessed: 23 May 2025)</w:t>
      </w:r>
    </w:p>
    <w:p w14:paraId="519329AD" w14:textId="2F0D3D80"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Mondal, H. Mondal, S. &amp; Juhi, A. (2024). </w:t>
      </w:r>
      <w:r w:rsidRPr="00E64770">
        <w:rPr>
          <w:rFonts w:ascii="Arial" w:hAnsi="Arial" w:cs="Arial"/>
          <w:i/>
          <w:iCs/>
          <w:color w:val="000000"/>
          <w:kern w:val="0"/>
          <w:sz w:val="22"/>
          <w:szCs w:val="22"/>
          <w:lang w:eastAsia="en-GB"/>
          <w14:ligatures w14:val="none"/>
        </w:rPr>
        <w:t>Adult Learners: Assessment Strategies</w:t>
      </w:r>
      <w:r>
        <w:rPr>
          <w:rFonts w:ascii="Arial" w:hAnsi="Arial" w:cs="Arial"/>
          <w:color w:val="000000"/>
          <w:kern w:val="0"/>
          <w:sz w:val="22"/>
          <w:szCs w:val="22"/>
          <w:lang w:eastAsia="en-GB"/>
          <w14:ligatures w14:val="none"/>
        </w:rPr>
        <w:t xml:space="preserve">. IGI Global. Available at: </w:t>
      </w:r>
      <w:hyperlink r:id="rId14" w:history="1">
        <w:r w:rsidRPr="00F30F48">
          <w:rPr>
            <w:rStyle w:val="Hyperlink"/>
            <w:rFonts w:ascii="Arial" w:hAnsi="Arial" w:cs="Arial"/>
            <w:kern w:val="0"/>
            <w:sz w:val="22"/>
            <w:szCs w:val="22"/>
            <w:lang w:eastAsia="en-GB"/>
            <w14:ligatures w14:val="none"/>
          </w:rPr>
          <w:t>https://www.researchgate.net/publication/377692946_Adult_Learners_Assessment_Strategies</w:t>
        </w:r>
      </w:hyperlink>
      <w:r>
        <w:rPr>
          <w:rFonts w:ascii="Arial" w:hAnsi="Arial" w:cs="Arial"/>
          <w:color w:val="000000"/>
          <w:kern w:val="0"/>
          <w:sz w:val="22"/>
          <w:szCs w:val="22"/>
          <w:lang w:eastAsia="en-GB"/>
          <w14:ligatures w14:val="none"/>
        </w:rPr>
        <w:t xml:space="preserve"> (Accessed: 23 May 2025) </w:t>
      </w:r>
    </w:p>
    <w:p w14:paraId="6E7229C5" w14:textId="5E6CBD41"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QAA (2024). The Frameworks for Higher Education Qualifications of UK Degree-Awarding Bodies. Available at: </w:t>
      </w:r>
      <w:hyperlink r:id="rId15" w:history="1">
        <w:r w:rsidRPr="00F30F48">
          <w:rPr>
            <w:rStyle w:val="Hyperlink"/>
            <w:rFonts w:ascii="Arial" w:hAnsi="Arial" w:cs="Arial"/>
            <w:kern w:val="0"/>
            <w:sz w:val="22"/>
            <w:szCs w:val="22"/>
            <w:lang w:eastAsia="en-GB"/>
            <w14:ligatures w14:val="none"/>
          </w:rPr>
          <w:t>https://www.qaa.ac.uk/docs/qaa/quality-code/the-frameworks-for-higher-education-qualifications-of-uk-degree-awarding-bodies-2024.pdf?sfvrsn=3562b281_11</w:t>
        </w:r>
      </w:hyperlink>
      <w:r>
        <w:rPr>
          <w:rFonts w:ascii="Arial" w:hAnsi="Arial" w:cs="Arial"/>
          <w:color w:val="000000"/>
          <w:kern w:val="0"/>
          <w:sz w:val="22"/>
          <w:szCs w:val="22"/>
          <w:lang w:eastAsia="en-GB"/>
          <w14:ligatures w14:val="none"/>
        </w:rPr>
        <w:t xml:space="preserve"> (Accessed: 23 May 2025)</w:t>
      </w:r>
    </w:p>
    <w:p w14:paraId="26751C7D" w14:textId="3CA15CC3"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Sadler, I., Reimann, N., &amp; Sambell, K. (2022). Feedforward practices: a systematic review of the literature. Assessment &amp; Evaluation in Higher Education, 48(3). Available at: </w:t>
      </w:r>
      <w:hyperlink r:id="rId16" w:history="1">
        <w:r w:rsidRPr="00F30F48">
          <w:rPr>
            <w:rStyle w:val="Hyperlink"/>
            <w:rFonts w:ascii="Arial" w:hAnsi="Arial" w:cs="Arial"/>
            <w:kern w:val="0"/>
            <w:sz w:val="22"/>
            <w:szCs w:val="22"/>
            <w:lang w:eastAsia="en-GB"/>
            <w14:ligatures w14:val="none"/>
          </w:rPr>
          <w:t>https://www.tandfonline.com/doi/full/10.1080/02602938.2022.2073434#abstract</w:t>
        </w:r>
      </w:hyperlink>
      <w:r>
        <w:rPr>
          <w:rFonts w:ascii="Arial" w:hAnsi="Arial" w:cs="Arial"/>
          <w:color w:val="000000"/>
          <w:kern w:val="0"/>
          <w:sz w:val="22"/>
          <w:szCs w:val="22"/>
          <w:lang w:eastAsia="en-GB"/>
          <w14:ligatures w14:val="none"/>
        </w:rPr>
        <w:t xml:space="preserve"> (Accessed: 23 May 2025)</w:t>
      </w:r>
    </w:p>
    <w:p w14:paraId="7C1CB246" w14:textId="74289706"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Van de Pol, J., Mercer, N., &amp; Volman, M. (2018). Scaffolding Students Understanding in Small-Group Work: Students’ Uptake of Teacher Support in Subsequent Small-Group Interaction. </w:t>
      </w:r>
      <w:r w:rsidRPr="00E64770">
        <w:rPr>
          <w:rFonts w:ascii="Arial" w:hAnsi="Arial" w:cs="Arial"/>
          <w:i/>
          <w:iCs/>
          <w:color w:val="000000"/>
          <w:kern w:val="0"/>
          <w:sz w:val="22"/>
          <w:szCs w:val="22"/>
          <w:lang w:eastAsia="en-GB"/>
          <w14:ligatures w14:val="none"/>
        </w:rPr>
        <w:t>Journal of the Learn</w:t>
      </w:r>
      <w:r>
        <w:rPr>
          <w:rFonts w:ascii="Arial" w:hAnsi="Arial" w:cs="Arial"/>
          <w:i/>
          <w:iCs/>
          <w:color w:val="000000"/>
          <w:kern w:val="0"/>
          <w:sz w:val="22"/>
          <w:szCs w:val="22"/>
          <w:lang w:eastAsia="en-GB"/>
          <w14:ligatures w14:val="none"/>
        </w:rPr>
        <w:t>ing</w:t>
      </w:r>
      <w:r w:rsidRPr="00E64770">
        <w:rPr>
          <w:rFonts w:ascii="Arial" w:hAnsi="Arial" w:cs="Arial"/>
          <w:i/>
          <w:iCs/>
          <w:color w:val="000000"/>
          <w:kern w:val="0"/>
          <w:sz w:val="22"/>
          <w:szCs w:val="22"/>
          <w:lang w:eastAsia="en-GB"/>
          <w14:ligatures w14:val="none"/>
        </w:rPr>
        <w:t xml:space="preserve"> Sciences, </w:t>
      </w:r>
      <w:r>
        <w:rPr>
          <w:rFonts w:ascii="Arial" w:hAnsi="Arial" w:cs="Arial"/>
          <w:color w:val="000000"/>
          <w:kern w:val="0"/>
          <w:sz w:val="22"/>
          <w:szCs w:val="22"/>
          <w:lang w:eastAsia="en-GB"/>
          <w14:ligatures w14:val="none"/>
        </w:rPr>
        <w:t xml:space="preserve">28(2). Available at: </w:t>
      </w:r>
      <w:hyperlink r:id="rId17" w:history="1">
        <w:r w:rsidRPr="00F30F48">
          <w:rPr>
            <w:rStyle w:val="Hyperlink"/>
            <w:rFonts w:ascii="Arial" w:hAnsi="Arial" w:cs="Arial"/>
            <w:kern w:val="0"/>
            <w:sz w:val="22"/>
            <w:szCs w:val="22"/>
            <w:lang w:eastAsia="en-GB"/>
            <w14:ligatures w14:val="none"/>
          </w:rPr>
          <w:t>https://www.tandfonline.com/doi/full/10.1080/10508406.2018.1522258#d1e156</w:t>
        </w:r>
      </w:hyperlink>
      <w:r>
        <w:rPr>
          <w:rFonts w:ascii="Arial" w:hAnsi="Arial" w:cs="Arial"/>
          <w:color w:val="000000"/>
          <w:kern w:val="0"/>
          <w:sz w:val="22"/>
          <w:szCs w:val="22"/>
          <w:lang w:eastAsia="en-GB"/>
          <w14:ligatures w14:val="none"/>
        </w:rPr>
        <w:t xml:space="preserve"> (Accessed: 23 May 2025). </w:t>
      </w:r>
    </w:p>
    <w:p w14:paraId="268AC88C"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6DF74E52"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46AEE08E"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1CFB5E5" w14:textId="2E885A4C" w:rsidR="00E64770" w:rsidRDefault="00E64770" w:rsidP="00E64770">
      <w:pPr>
        <w:spacing w:after="161" w:line="360" w:lineRule="auto"/>
        <w:jc w:val="center"/>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lastRenderedPageBreak/>
        <w:t>Appendices</w:t>
      </w:r>
    </w:p>
    <w:p w14:paraId="12C05691" w14:textId="11D0E0BE" w:rsidR="00E64770" w:rsidRDefault="00E64770" w:rsidP="00E64770">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Peer Review Feedback 6………………………………………..P.9</w:t>
      </w:r>
    </w:p>
    <w:p w14:paraId="08C66A3C" w14:textId="13B3B3D0" w:rsidR="00E64770" w:rsidRDefault="00E64770" w:rsidP="00E64770">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Peer Review Feedback 7………………………………………..P.11</w:t>
      </w:r>
    </w:p>
    <w:p w14:paraId="3B92A6AC" w14:textId="42DD7316" w:rsidR="00E64770" w:rsidRDefault="00E64770" w:rsidP="00E64770">
      <w:pPr>
        <w:spacing w:after="161" w:line="360" w:lineRule="auto"/>
        <w:divId w:val="802890357"/>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t xml:space="preserve"> Peer Review Feedback 1………………………………………..P.13</w:t>
      </w:r>
    </w:p>
    <w:p w14:paraId="2BABE19A"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58600ABF"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61B853CF"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3D29107D"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6C509332"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2D9B8078"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25C2B248"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24B93307"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1AAA0DCE"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20EC7FC5"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74870A0F"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57D4A809"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5C7A486C"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637205A7"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175BF73E"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3C73397B" w14:textId="77777777" w:rsidR="00E64770" w:rsidRDefault="00E64770" w:rsidP="00E64770">
      <w:pPr>
        <w:spacing w:after="161" w:line="360" w:lineRule="auto"/>
        <w:divId w:val="802890357"/>
        <w:rPr>
          <w:rFonts w:ascii="Arial" w:hAnsi="Arial" w:cs="Arial"/>
          <w:color w:val="000000"/>
          <w:kern w:val="0"/>
          <w:sz w:val="22"/>
          <w:szCs w:val="22"/>
          <w:lang w:eastAsia="en-GB"/>
          <w14:ligatures w14:val="none"/>
        </w:rPr>
      </w:pPr>
    </w:p>
    <w:p w14:paraId="28DE9BE9"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764C26F"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5F5A568C"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38436CF2"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4DB33605"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0C7FEF4E"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6381FE4" w14:textId="28E8CD49"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noProof/>
          <w:color w:val="000000"/>
          <w:kern w:val="0"/>
          <w:sz w:val="22"/>
          <w:szCs w:val="22"/>
          <w:lang w:eastAsia="en-GB"/>
        </w:rPr>
        <w:lastRenderedPageBreak/>
        <w:drawing>
          <wp:anchor distT="0" distB="0" distL="114300" distR="114300" simplePos="0" relativeHeight="251659264" behindDoc="0" locked="0" layoutInCell="1" allowOverlap="1" wp14:anchorId="06182757" wp14:editId="6C9D408F">
            <wp:simplePos x="0" y="0"/>
            <wp:positionH relativeFrom="column">
              <wp:posOffset>0</wp:posOffset>
            </wp:positionH>
            <wp:positionV relativeFrom="paragraph">
              <wp:posOffset>1100455</wp:posOffset>
            </wp:positionV>
            <wp:extent cx="5731510" cy="7759700"/>
            <wp:effectExtent l="0" t="0" r="0" b="0"/>
            <wp:wrapTopAndBottom/>
            <wp:docPr id="1155456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56232" name="Picture 1155456232"/>
                    <pic:cNvPicPr/>
                  </pic:nvPicPr>
                  <pic:blipFill>
                    <a:blip r:embed="rId18">
                      <a:extLst>
                        <a:ext uri="{28A0092B-C50C-407E-A947-70E740481C1C}">
                          <a14:useLocalDpi xmlns:a14="http://schemas.microsoft.com/office/drawing/2010/main" val="0"/>
                        </a:ext>
                      </a:extLst>
                    </a:blip>
                    <a:stretch>
                      <a:fillRect/>
                    </a:stretch>
                  </pic:blipFill>
                  <pic:spPr>
                    <a:xfrm>
                      <a:off x="0" y="0"/>
                      <a:ext cx="5731510" cy="7759700"/>
                    </a:xfrm>
                    <a:prstGeom prst="rect">
                      <a:avLst/>
                    </a:prstGeom>
                  </pic:spPr>
                </pic:pic>
              </a:graphicData>
            </a:graphic>
          </wp:anchor>
        </w:drawing>
      </w:r>
    </w:p>
    <w:p w14:paraId="06F1865E"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AEA0AF0"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8A68B3D" w14:textId="326C223E" w:rsidR="00E64770"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noProof/>
          <w:color w:val="000000"/>
          <w:kern w:val="0"/>
          <w:sz w:val="22"/>
          <w:szCs w:val="22"/>
          <w:lang w:eastAsia="en-GB"/>
        </w:rPr>
        <w:lastRenderedPageBreak/>
        <w:drawing>
          <wp:anchor distT="0" distB="0" distL="114300" distR="114300" simplePos="0" relativeHeight="251660288" behindDoc="0" locked="0" layoutInCell="1" allowOverlap="1" wp14:anchorId="796A8255" wp14:editId="18CFE413">
            <wp:simplePos x="0" y="0"/>
            <wp:positionH relativeFrom="column">
              <wp:posOffset>0</wp:posOffset>
            </wp:positionH>
            <wp:positionV relativeFrom="paragraph">
              <wp:posOffset>1290955</wp:posOffset>
            </wp:positionV>
            <wp:extent cx="5731510" cy="7566660"/>
            <wp:effectExtent l="0" t="0" r="0" b="2540"/>
            <wp:wrapTopAndBottom/>
            <wp:docPr id="1108066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066152" name="Picture 1108066152"/>
                    <pic:cNvPicPr/>
                  </pic:nvPicPr>
                  <pic:blipFill>
                    <a:blip r:embed="rId19">
                      <a:extLst>
                        <a:ext uri="{28A0092B-C50C-407E-A947-70E740481C1C}">
                          <a14:useLocalDpi xmlns:a14="http://schemas.microsoft.com/office/drawing/2010/main" val="0"/>
                        </a:ext>
                      </a:extLst>
                    </a:blip>
                    <a:stretch>
                      <a:fillRect/>
                    </a:stretch>
                  </pic:blipFill>
                  <pic:spPr>
                    <a:xfrm>
                      <a:off x="0" y="0"/>
                      <a:ext cx="5731510" cy="7566660"/>
                    </a:xfrm>
                    <a:prstGeom prst="rect">
                      <a:avLst/>
                    </a:prstGeom>
                  </pic:spPr>
                </pic:pic>
              </a:graphicData>
            </a:graphic>
          </wp:anchor>
        </w:drawing>
      </w:r>
    </w:p>
    <w:p w14:paraId="47A7D720"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225ABFFE"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03922E97" w14:textId="77777777"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43ACD353" w14:textId="77777777" w:rsidR="00E64770" w:rsidRPr="002E669A" w:rsidRDefault="00E64770" w:rsidP="002E669A">
      <w:pPr>
        <w:spacing w:after="161" w:line="360" w:lineRule="auto"/>
        <w:divId w:val="802890357"/>
        <w:rPr>
          <w:rFonts w:ascii="Arial" w:hAnsi="Arial" w:cs="Arial"/>
          <w:color w:val="000000"/>
          <w:kern w:val="0"/>
          <w:sz w:val="22"/>
          <w:szCs w:val="22"/>
          <w:lang w:eastAsia="en-GB"/>
          <w14:ligatures w14:val="none"/>
        </w:rPr>
      </w:pPr>
    </w:p>
    <w:p w14:paraId="52EB1631" w14:textId="52228EE2" w:rsidR="002E669A" w:rsidRPr="002E669A"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noProof/>
          <w:color w:val="000000"/>
          <w:kern w:val="0"/>
          <w:sz w:val="22"/>
          <w:szCs w:val="22"/>
          <w:lang w:eastAsia="en-GB"/>
        </w:rPr>
        <w:drawing>
          <wp:anchor distT="0" distB="0" distL="114300" distR="114300" simplePos="0" relativeHeight="251661312" behindDoc="0" locked="0" layoutInCell="1" allowOverlap="1" wp14:anchorId="12D04DF2" wp14:editId="7AC6094E">
            <wp:simplePos x="0" y="0"/>
            <wp:positionH relativeFrom="column">
              <wp:posOffset>0</wp:posOffset>
            </wp:positionH>
            <wp:positionV relativeFrom="paragraph">
              <wp:posOffset>224155</wp:posOffset>
            </wp:positionV>
            <wp:extent cx="5731510" cy="8293100"/>
            <wp:effectExtent l="0" t="0" r="0" b="0"/>
            <wp:wrapTopAndBottom/>
            <wp:docPr id="1220206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206083" name="Picture 1220206083"/>
                    <pic:cNvPicPr/>
                  </pic:nvPicPr>
                  <pic:blipFill>
                    <a:blip r:embed="rId20">
                      <a:extLst>
                        <a:ext uri="{28A0092B-C50C-407E-A947-70E740481C1C}">
                          <a14:useLocalDpi xmlns:a14="http://schemas.microsoft.com/office/drawing/2010/main" val="0"/>
                        </a:ext>
                      </a:extLst>
                    </a:blip>
                    <a:stretch>
                      <a:fillRect/>
                    </a:stretch>
                  </pic:blipFill>
                  <pic:spPr>
                    <a:xfrm>
                      <a:off x="0" y="0"/>
                      <a:ext cx="5731510" cy="8293100"/>
                    </a:xfrm>
                    <a:prstGeom prst="rect">
                      <a:avLst/>
                    </a:prstGeom>
                  </pic:spPr>
                </pic:pic>
              </a:graphicData>
            </a:graphic>
          </wp:anchor>
        </w:drawing>
      </w:r>
    </w:p>
    <w:p w14:paraId="1FBF3988" w14:textId="6C3F1931" w:rsidR="002E669A" w:rsidRPr="002E669A"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noProof/>
          <w:color w:val="000000"/>
          <w:kern w:val="0"/>
          <w:sz w:val="22"/>
          <w:szCs w:val="22"/>
          <w:lang w:eastAsia="en-GB"/>
        </w:rPr>
        <w:lastRenderedPageBreak/>
        <w:drawing>
          <wp:anchor distT="0" distB="0" distL="114300" distR="114300" simplePos="0" relativeHeight="251662336" behindDoc="0" locked="0" layoutInCell="1" allowOverlap="1" wp14:anchorId="4BB654A7" wp14:editId="060271EE">
            <wp:simplePos x="0" y="0"/>
            <wp:positionH relativeFrom="column">
              <wp:posOffset>0</wp:posOffset>
            </wp:positionH>
            <wp:positionV relativeFrom="paragraph">
              <wp:posOffset>972185</wp:posOffset>
            </wp:positionV>
            <wp:extent cx="5731510" cy="7887970"/>
            <wp:effectExtent l="0" t="0" r="0" b="0"/>
            <wp:wrapTopAndBottom/>
            <wp:docPr id="9792734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73415" name="Picture 979273415"/>
                    <pic:cNvPicPr/>
                  </pic:nvPicPr>
                  <pic:blipFill>
                    <a:blip r:embed="rId21">
                      <a:extLst>
                        <a:ext uri="{28A0092B-C50C-407E-A947-70E740481C1C}">
                          <a14:useLocalDpi xmlns:a14="http://schemas.microsoft.com/office/drawing/2010/main" val="0"/>
                        </a:ext>
                      </a:extLst>
                    </a:blip>
                    <a:stretch>
                      <a:fillRect/>
                    </a:stretch>
                  </pic:blipFill>
                  <pic:spPr>
                    <a:xfrm>
                      <a:off x="0" y="0"/>
                      <a:ext cx="5731510" cy="7887970"/>
                    </a:xfrm>
                    <a:prstGeom prst="rect">
                      <a:avLst/>
                    </a:prstGeom>
                  </pic:spPr>
                </pic:pic>
              </a:graphicData>
            </a:graphic>
            <wp14:sizeRelH relativeFrom="margin">
              <wp14:pctWidth>0</wp14:pctWidth>
            </wp14:sizeRelH>
            <wp14:sizeRelV relativeFrom="margin">
              <wp14:pctHeight>0</wp14:pctHeight>
            </wp14:sizeRelV>
          </wp:anchor>
        </w:drawing>
      </w:r>
    </w:p>
    <w:p w14:paraId="060EE72F" w14:textId="77777777" w:rsidR="002E669A" w:rsidRPr="002E669A" w:rsidRDefault="002E669A" w:rsidP="002E669A">
      <w:pPr>
        <w:spacing w:after="161" w:line="360" w:lineRule="auto"/>
        <w:divId w:val="802890357"/>
        <w:rPr>
          <w:rFonts w:ascii="Arial" w:hAnsi="Arial" w:cs="Arial"/>
          <w:color w:val="000000"/>
          <w:kern w:val="0"/>
          <w:sz w:val="22"/>
          <w:szCs w:val="22"/>
          <w:lang w:eastAsia="en-GB"/>
          <w14:ligatures w14:val="none"/>
        </w:rPr>
      </w:pPr>
    </w:p>
    <w:p w14:paraId="04C7A236" w14:textId="77777777" w:rsidR="002E669A" w:rsidRPr="002E669A" w:rsidRDefault="002E669A" w:rsidP="002E669A">
      <w:pPr>
        <w:spacing w:after="161" w:line="360" w:lineRule="auto"/>
        <w:divId w:val="802890357"/>
        <w:rPr>
          <w:rFonts w:ascii="Arial" w:hAnsi="Arial" w:cs="Arial"/>
          <w:color w:val="000000"/>
          <w:kern w:val="0"/>
          <w:sz w:val="22"/>
          <w:szCs w:val="22"/>
          <w:lang w:eastAsia="en-GB"/>
          <w14:ligatures w14:val="none"/>
        </w:rPr>
      </w:pPr>
    </w:p>
    <w:p w14:paraId="79A6A491" w14:textId="074B4D33" w:rsidR="002E669A" w:rsidRPr="002E669A" w:rsidRDefault="00E64770" w:rsidP="002E669A">
      <w:pPr>
        <w:spacing w:after="161" w:line="360" w:lineRule="auto"/>
        <w:divId w:val="802890357"/>
        <w:rPr>
          <w:rFonts w:ascii="Arial" w:hAnsi="Arial" w:cs="Arial"/>
          <w:color w:val="000000"/>
          <w:kern w:val="0"/>
          <w:sz w:val="22"/>
          <w:szCs w:val="22"/>
          <w:lang w:eastAsia="en-GB"/>
          <w14:ligatures w14:val="none"/>
        </w:rPr>
      </w:pPr>
      <w:r>
        <w:rPr>
          <w:rFonts w:ascii="Arial" w:hAnsi="Arial" w:cs="Arial"/>
          <w:noProof/>
          <w:color w:val="000000"/>
          <w:kern w:val="0"/>
          <w:sz w:val="22"/>
          <w:szCs w:val="22"/>
          <w:lang w:eastAsia="en-GB"/>
        </w:rPr>
        <w:lastRenderedPageBreak/>
        <w:drawing>
          <wp:anchor distT="0" distB="0" distL="114300" distR="114300" simplePos="0" relativeHeight="251663360" behindDoc="0" locked="0" layoutInCell="1" allowOverlap="1" wp14:anchorId="6EDD5C51" wp14:editId="1FCFFEBE">
            <wp:simplePos x="0" y="0"/>
            <wp:positionH relativeFrom="column">
              <wp:posOffset>0</wp:posOffset>
            </wp:positionH>
            <wp:positionV relativeFrom="paragraph">
              <wp:posOffset>883920</wp:posOffset>
            </wp:positionV>
            <wp:extent cx="5731510" cy="7976235"/>
            <wp:effectExtent l="0" t="0" r="0" b="0"/>
            <wp:wrapTopAndBottom/>
            <wp:docPr id="8340518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51883" name="Picture 83405188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976235"/>
                    </a:xfrm>
                    <a:prstGeom prst="rect">
                      <a:avLst/>
                    </a:prstGeom>
                  </pic:spPr>
                </pic:pic>
              </a:graphicData>
            </a:graphic>
          </wp:anchor>
        </w:drawing>
      </w:r>
    </w:p>
    <w:p w14:paraId="09043C4D" w14:textId="3076DE6A" w:rsidR="00E64770" w:rsidRDefault="00E64770" w:rsidP="002E669A">
      <w:pPr>
        <w:spacing w:after="161" w:line="360" w:lineRule="auto"/>
        <w:divId w:val="802890357"/>
        <w:rPr>
          <w:rFonts w:ascii="Arial" w:hAnsi="Arial" w:cs="Arial"/>
          <w:color w:val="000000"/>
          <w:kern w:val="0"/>
          <w:sz w:val="22"/>
          <w:szCs w:val="22"/>
          <w:lang w:eastAsia="en-GB"/>
          <w14:ligatures w14:val="none"/>
        </w:rPr>
      </w:pPr>
    </w:p>
    <w:p w14:paraId="5B3F5B27" w14:textId="77777777" w:rsidR="00E64770" w:rsidRDefault="00E64770">
      <w:pPr>
        <w:rPr>
          <w:rFonts w:ascii="Arial" w:hAnsi="Arial" w:cs="Arial"/>
          <w:color w:val="000000"/>
          <w:kern w:val="0"/>
          <w:sz w:val="22"/>
          <w:szCs w:val="22"/>
          <w:lang w:eastAsia="en-GB"/>
          <w14:ligatures w14:val="none"/>
        </w:rPr>
      </w:pPr>
      <w:r>
        <w:rPr>
          <w:rFonts w:ascii="Arial" w:hAnsi="Arial" w:cs="Arial"/>
          <w:color w:val="000000"/>
          <w:kern w:val="0"/>
          <w:sz w:val="22"/>
          <w:szCs w:val="22"/>
          <w:lang w:eastAsia="en-GB"/>
          <w14:ligatures w14:val="none"/>
        </w:rPr>
        <w:br w:type="page"/>
      </w:r>
    </w:p>
    <w:p w14:paraId="2A4C51F8" w14:textId="0F087602" w:rsidR="002E669A" w:rsidRPr="002E669A" w:rsidRDefault="00E64770" w:rsidP="002E669A">
      <w:pPr>
        <w:spacing w:line="360" w:lineRule="auto"/>
        <w:rPr>
          <w:sz w:val="22"/>
          <w:szCs w:val="22"/>
        </w:rPr>
      </w:pPr>
      <w:r>
        <w:rPr>
          <w:noProof/>
          <w:sz w:val="22"/>
          <w:szCs w:val="22"/>
        </w:rPr>
        <w:lastRenderedPageBreak/>
        <w:drawing>
          <wp:anchor distT="0" distB="0" distL="114300" distR="114300" simplePos="0" relativeHeight="251664384" behindDoc="0" locked="0" layoutInCell="1" allowOverlap="1" wp14:anchorId="52A3F009" wp14:editId="4494E989">
            <wp:simplePos x="0" y="0"/>
            <wp:positionH relativeFrom="column">
              <wp:posOffset>0</wp:posOffset>
            </wp:positionH>
            <wp:positionV relativeFrom="paragraph">
              <wp:posOffset>1202055</wp:posOffset>
            </wp:positionV>
            <wp:extent cx="5731510" cy="7656830"/>
            <wp:effectExtent l="0" t="0" r="0" b="1270"/>
            <wp:wrapTopAndBottom/>
            <wp:docPr id="15377470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747041" name="Picture 153774704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656830"/>
                    </a:xfrm>
                    <a:prstGeom prst="rect">
                      <a:avLst/>
                    </a:prstGeom>
                  </pic:spPr>
                </pic:pic>
              </a:graphicData>
            </a:graphic>
          </wp:anchor>
        </w:drawing>
      </w:r>
    </w:p>
    <w:p w14:paraId="1B5891C6" w14:textId="77777777" w:rsidR="002E669A" w:rsidRPr="002E669A" w:rsidRDefault="002E669A" w:rsidP="002E669A">
      <w:pPr>
        <w:pStyle w:val="p3"/>
        <w:spacing w:line="360" w:lineRule="auto"/>
        <w:divId w:val="946087371"/>
        <w:rPr>
          <w:sz w:val="22"/>
          <w:szCs w:val="22"/>
        </w:rPr>
      </w:pPr>
    </w:p>
    <w:p w14:paraId="261383E7" w14:textId="2E817B56" w:rsidR="002E669A" w:rsidRPr="002E669A" w:rsidRDefault="002E669A" w:rsidP="002E669A">
      <w:pPr>
        <w:spacing w:line="360" w:lineRule="auto"/>
        <w:rPr>
          <w:sz w:val="22"/>
          <w:szCs w:val="22"/>
        </w:rPr>
      </w:pPr>
      <w:r w:rsidRPr="002E669A">
        <w:rPr>
          <w:sz w:val="22"/>
          <w:szCs w:val="22"/>
        </w:rPr>
        <w:tab/>
      </w:r>
    </w:p>
    <w:p w14:paraId="620E1A75" w14:textId="77777777" w:rsidR="002E669A" w:rsidRDefault="002E669A" w:rsidP="002E669A"/>
    <w:p w14:paraId="061710D3" w14:textId="77777777" w:rsidR="00E10797" w:rsidRDefault="00E10797" w:rsidP="00DD5969"/>
    <w:p w14:paraId="5C1162E5" w14:textId="20D100B4" w:rsidR="0053246E" w:rsidRDefault="0053246E" w:rsidP="00DD5969"/>
    <w:p w14:paraId="204C9F18" w14:textId="0C5C1D4D" w:rsidR="0053246E" w:rsidRDefault="0053246E" w:rsidP="00DD5969"/>
    <w:p w14:paraId="6D802E54" w14:textId="526CF9C8" w:rsidR="0053246E" w:rsidRDefault="0053246E" w:rsidP="00DD5969"/>
    <w:p w14:paraId="5B76040D" w14:textId="77777777" w:rsidR="0053246E" w:rsidRDefault="0053246E" w:rsidP="00DD5969"/>
    <w:p w14:paraId="469C05D1" w14:textId="77777777" w:rsidR="00724112" w:rsidRDefault="00724112" w:rsidP="00DD5969"/>
    <w:p w14:paraId="22512BB6" w14:textId="647A58C4" w:rsidR="00DD5969" w:rsidRDefault="00DD5969" w:rsidP="00DD5969"/>
    <w:p w14:paraId="1D3880CA" w14:textId="77777777" w:rsidR="002E669A" w:rsidRDefault="002E669A" w:rsidP="00DD5969">
      <w:pPr>
        <w:rPr>
          <w:sz w:val="16"/>
          <w:szCs w:val="16"/>
        </w:rPr>
      </w:pPr>
    </w:p>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B5A90" w14:textId="77777777" w:rsidR="00D87241" w:rsidRDefault="00D87241" w:rsidP="00011AB6">
      <w:pPr>
        <w:spacing w:after="0" w:line="240" w:lineRule="auto"/>
      </w:pPr>
      <w:r>
        <w:separator/>
      </w:r>
    </w:p>
  </w:endnote>
  <w:endnote w:type="continuationSeparator" w:id="0">
    <w:p w14:paraId="5A328608" w14:textId="77777777" w:rsidR="00D87241" w:rsidRDefault="00D87241"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ItalicMT">
    <w:altName w:val="Arial"/>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1CCE9" w14:textId="77777777" w:rsidR="00D87241" w:rsidRDefault="00D87241" w:rsidP="00011AB6">
      <w:pPr>
        <w:spacing w:after="0" w:line="240" w:lineRule="auto"/>
      </w:pPr>
      <w:r>
        <w:separator/>
      </w:r>
    </w:p>
  </w:footnote>
  <w:footnote w:type="continuationSeparator" w:id="0">
    <w:p w14:paraId="70658BBE" w14:textId="77777777" w:rsidR="00D87241" w:rsidRDefault="00D87241"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10C4"/>
    <w:rsid w:val="0010406A"/>
    <w:rsid w:val="00110DEC"/>
    <w:rsid w:val="001118FB"/>
    <w:rsid w:val="00115538"/>
    <w:rsid w:val="00135DD1"/>
    <w:rsid w:val="00147924"/>
    <w:rsid w:val="00164156"/>
    <w:rsid w:val="001819DF"/>
    <w:rsid w:val="001B086C"/>
    <w:rsid w:val="001C6E70"/>
    <w:rsid w:val="002424D0"/>
    <w:rsid w:val="00262DC1"/>
    <w:rsid w:val="002E3BF2"/>
    <w:rsid w:val="002E669A"/>
    <w:rsid w:val="002F243A"/>
    <w:rsid w:val="00301906"/>
    <w:rsid w:val="00302BB1"/>
    <w:rsid w:val="003341DF"/>
    <w:rsid w:val="00347EA1"/>
    <w:rsid w:val="00353860"/>
    <w:rsid w:val="00382546"/>
    <w:rsid w:val="003A4B66"/>
    <w:rsid w:val="003A709B"/>
    <w:rsid w:val="003D223A"/>
    <w:rsid w:val="00417AB6"/>
    <w:rsid w:val="004D474C"/>
    <w:rsid w:val="0053246E"/>
    <w:rsid w:val="00536CFB"/>
    <w:rsid w:val="00543F5E"/>
    <w:rsid w:val="00545AD7"/>
    <w:rsid w:val="005705FE"/>
    <w:rsid w:val="00584970"/>
    <w:rsid w:val="005A71D9"/>
    <w:rsid w:val="005B4971"/>
    <w:rsid w:val="005B783A"/>
    <w:rsid w:val="005E5B97"/>
    <w:rsid w:val="005F42D0"/>
    <w:rsid w:val="005F7C42"/>
    <w:rsid w:val="0062310A"/>
    <w:rsid w:val="00664B16"/>
    <w:rsid w:val="00673F55"/>
    <w:rsid w:val="006A1DEA"/>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26D6E"/>
    <w:rsid w:val="00935B8D"/>
    <w:rsid w:val="009B02E5"/>
    <w:rsid w:val="009B164A"/>
    <w:rsid w:val="00A23D6E"/>
    <w:rsid w:val="00A476E3"/>
    <w:rsid w:val="00A6013A"/>
    <w:rsid w:val="00A93D88"/>
    <w:rsid w:val="00AD7313"/>
    <w:rsid w:val="00AE2AA9"/>
    <w:rsid w:val="00AE3307"/>
    <w:rsid w:val="00B028A8"/>
    <w:rsid w:val="00B053E6"/>
    <w:rsid w:val="00B103B9"/>
    <w:rsid w:val="00B42784"/>
    <w:rsid w:val="00B51B61"/>
    <w:rsid w:val="00B724BB"/>
    <w:rsid w:val="00BE2A35"/>
    <w:rsid w:val="00BE3554"/>
    <w:rsid w:val="00C129B8"/>
    <w:rsid w:val="00C24461"/>
    <w:rsid w:val="00C2550A"/>
    <w:rsid w:val="00C4699D"/>
    <w:rsid w:val="00CF32AC"/>
    <w:rsid w:val="00D0262E"/>
    <w:rsid w:val="00D24ADF"/>
    <w:rsid w:val="00D26517"/>
    <w:rsid w:val="00D33868"/>
    <w:rsid w:val="00D87241"/>
    <w:rsid w:val="00D9216E"/>
    <w:rsid w:val="00DA09B9"/>
    <w:rsid w:val="00DC55F3"/>
    <w:rsid w:val="00DD5969"/>
    <w:rsid w:val="00E10797"/>
    <w:rsid w:val="00E12EA7"/>
    <w:rsid w:val="00E243A8"/>
    <w:rsid w:val="00E55212"/>
    <w:rsid w:val="00E64770"/>
    <w:rsid w:val="00E6747C"/>
    <w:rsid w:val="00EA0B9A"/>
    <w:rsid w:val="00EA15D1"/>
    <w:rsid w:val="00EA6220"/>
    <w:rsid w:val="00EC1771"/>
    <w:rsid w:val="00EC3AD1"/>
    <w:rsid w:val="00ED493B"/>
    <w:rsid w:val="00F8089C"/>
    <w:rsid w:val="00F96C0B"/>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customStyle="1" w:styleId="p1">
    <w:name w:val="p1"/>
    <w:basedOn w:val="Normal"/>
    <w:rsid w:val="002E669A"/>
    <w:pPr>
      <w:spacing w:after="0" w:line="240" w:lineRule="auto"/>
      <w:ind w:left="1440" w:hanging="1440"/>
    </w:pPr>
    <w:rPr>
      <w:rFonts w:ascii="Arial" w:hAnsi="Arial" w:cs="Arial"/>
      <w:color w:val="000000"/>
      <w:kern w:val="0"/>
      <w:sz w:val="17"/>
      <w:szCs w:val="17"/>
      <w:lang w:eastAsia="en-GB"/>
      <w14:ligatures w14:val="none"/>
    </w:rPr>
  </w:style>
  <w:style w:type="paragraph" w:customStyle="1" w:styleId="p2">
    <w:name w:val="p2"/>
    <w:basedOn w:val="Normal"/>
    <w:rsid w:val="002E669A"/>
    <w:pPr>
      <w:spacing w:after="161" w:line="240" w:lineRule="auto"/>
    </w:pPr>
    <w:rPr>
      <w:rFonts w:ascii="Arial" w:hAnsi="Arial" w:cs="Arial"/>
      <w:color w:val="000000"/>
      <w:kern w:val="0"/>
      <w:sz w:val="17"/>
      <w:szCs w:val="17"/>
      <w:lang w:eastAsia="en-GB"/>
      <w14:ligatures w14:val="none"/>
    </w:rPr>
  </w:style>
  <w:style w:type="paragraph" w:customStyle="1" w:styleId="p3">
    <w:name w:val="p3"/>
    <w:basedOn w:val="Normal"/>
    <w:rsid w:val="002E669A"/>
    <w:pPr>
      <w:spacing w:after="161" w:line="240" w:lineRule="auto"/>
    </w:pPr>
    <w:rPr>
      <w:rFonts w:ascii="Helvetica" w:hAnsi="Helvetica" w:cs="Times New Roman"/>
      <w:color w:val="000000"/>
      <w:kern w:val="0"/>
      <w:sz w:val="17"/>
      <w:szCs w:val="17"/>
      <w:lang w:eastAsia="en-GB"/>
      <w14:ligatures w14:val="none"/>
    </w:rPr>
  </w:style>
  <w:style w:type="character" w:customStyle="1" w:styleId="s1">
    <w:name w:val="s1"/>
    <w:basedOn w:val="DefaultParagraphFont"/>
    <w:rsid w:val="002E669A"/>
    <w:rPr>
      <w:rFonts w:ascii="Arial" w:hAnsi="Arial" w:cs="Arial" w:hint="default"/>
      <w:b w:val="0"/>
      <w:bCs w:val="0"/>
      <w:i w:val="0"/>
      <w:iCs w:val="0"/>
      <w:sz w:val="17"/>
      <w:szCs w:val="17"/>
    </w:rPr>
  </w:style>
  <w:style w:type="character" w:customStyle="1" w:styleId="apple-converted-space">
    <w:name w:val="apple-converted-space"/>
    <w:basedOn w:val="DefaultParagraphFont"/>
    <w:rsid w:val="002E669A"/>
  </w:style>
  <w:style w:type="character" w:customStyle="1" w:styleId="s2">
    <w:name w:val="s2"/>
    <w:basedOn w:val="DefaultParagraphFont"/>
    <w:rsid w:val="002E669A"/>
    <w:rPr>
      <w:rFonts w:ascii="Arial-ItalicMT" w:hAnsi="Arial-ItalicMT" w:hint="default"/>
      <w:b w:val="0"/>
      <w:bCs w:val="0"/>
      <w:i/>
      <w:iCs/>
      <w:sz w:val="17"/>
      <w:szCs w:val="17"/>
    </w:rPr>
  </w:style>
  <w:style w:type="character" w:styleId="Hyperlink">
    <w:name w:val="Hyperlink"/>
    <w:basedOn w:val="DefaultParagraphFont"/>
    <w:uiPriority w:val="99"/>
    <w:unhideWhenUsed/>
    <w:rsid w:val="00E64770"/>
    <w:rPr>
      <w:color w:val="467886" w:themeColor="hyperlink"/>
      <w:u w:val="single"/>
    </w:rPr>
  </w:style>
  <w:style w:type="character" w:styleId="UnresolvedMention">
    <w:name w:val="Unresolved Mention"/>
    <w:basedOn w:val="DefaultParagraphFont"/>
    <w:uiPriority w:val="99"/>
    <w:semiHidden/>
    <w:unhideWhenUsed/>
    <w:rsid w:val="00E64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802890357">
      <w:bodyDiv w:val="1"/>
      <w:marLeft w:val="0"/>
      <w:marRight w:val="0"/>
      <w:marTop w:val="0"/>
      <w:marBottom w:val="0"/>
      <w:divBdr>
        <w:top w:val="none" w:sz="0" w:space="0" w:color="auto"/>
        <w:left w:val="none" w:sz="0" w:space="0" w:color="auto"/>
        <w:bottom w:val="none" w:sz="0" w:space="0" w:color="auto"/>
        <w:right w:val="none" w:sz="0" w:space="0" w:color="auto"/>
      </w:divBdr>
    </w:div>
    <w:div w:id="946087371">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went.police.uk/SysSiteAssets/media/downloads/gwent/about-us/equality-and-diversity/strategic-equality-plan---2024-2028---summary---eng.pdf"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s://www.ebsco.com/research-starters/health-and-medicine/driscoll-model-reflection" TargetMode="External"/><Relationship Id="rId17" Type="http://schemas.openxmlformats.org/officeDocument/2006/relationships/hyperlink" Target="https://www.tandfonline.com/doi/full/10.1080/10508406.2018.1522258#d1e156"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andfonline.com/doi/full/10.1080/02602938.2022.2073434#abstrac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lege.police.uk/career-learning/competency-and-values-framewor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qaa.ac.uk/docs/qaa/quality-code/the-frameworks-for-higher-education-qualifications-of-uk-degree-awarding-bodies-2024.pdf?sfvrsn=3562b281_11" TargetMode="External"/><Relationship Id="rId23" Type="http://schemas.openxmlformats.org/officeDocument/2006/relationships/image" Target="media/image7.png"/><Relationship Id="rId10" Type="http://schemas.openxmlformats.org/officeDocument/2006/relationships/hyperlink" Target="https://s3.eu-west-2.amazonaws.com/assets.creode.advancehe-document-manager/documents/advance-he/PSF%202023%20-%20Screen%20Reader%20Compatible%20-%20final_1675089549.pdf" TargetMode="Externa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searchgate.net/publication/377692946_Adult_Learners_Assessment_Strategies"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 ds:uri="0cb976d4-72d8-43fd-a100-21d54766e958"/>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www.w3.org/2000/xmlns/"/>
    <ds:schemaRef ds:uri="da3f2772-8f1e-4acb-bd98-3a0ee892f48a"/>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2192</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Elyse Hopkins (1550604)</cp:lastModifiedBy>
  <cp:revision>2</cp:revision>
  <dcterms:created xsi:type="dcterms:W3CDTF">2025-05-23T20:16:00Z</dcterms:created>
  <dcterms:modified xsi:type="dcterms:W3CDTF">2025-05-23T20:16:00Z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