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C9F3D" w14:textId="3ADCFAB9" w:rsidR="00FC4555" w:rsidRDefault="00FC4555" w:rsidP="00FC4555">
      <w:pPr>
        <w:jc w:val="center"/>
        <w:rPr>
          <w:b/>
          <w:sz w:val="36"/>
        </w:rPr>
      </w:pPr>
    </w:p>
    <w:p w14:paraId="4A8B69EB" w14:textId="616B26A0" w:rsidR="003022DB" w:rsidRDefault="003022DB" w:rsidP="00FC4555">
      <w:pPr>
        <w:jc w:val="center"/>
        <w:rPr>
          <w:b/>
          <w:sz w:val="36"/>
        </w:rPr>
      </w:pPr>
    </w:p>
    <w:p w14:paraId="66B5A230" w14:textId="3A85B336" w:rsidR="003022DB" w:rsidRDefault="003022DB" w:rsidP="00FC4555">
      <w:pPr>
        <w:jc w:val="center"/>
        <w:rPr>
          <w:sz w:val="24"/>
          <w:szCs w:val="24"/>
        </w:rPr>
      </w:pPr>
      <w:r w:rsidRPr="00EC628F">
        <w:rPr>
          <w:rFonts w:cs="Arial"/>
          <w:sz w:val="24"/>
          <w:szCs w:val="24"/>
        </w:rPr>
        <w:t>LCHS4006 Psychology in Health and Social Care</w:t>
      </w:r>
      <w:r w:rsidRPr="00EC628F">
        <w:rPr>
          <w:rFonts w:cs="Arial"/>
          <w:bCs/>
          <w:sz w:val="24"/>
          <w:szCs w:val="24"/>
        </w:rPr>
        <w:br/>
      </w:r>
      <w:r w:rsidRPr="00EC628F">
        <w:rPr>
          <w:sz w:val="24"/>
          <w:szCs w:val="24"/>
        </w:rPr>
        <w:t>Title: Why psychology is relevant in our Health and Social Care practice?</w:t>
      </w:r>
    </w:p>
    <w:p w14:paraId="3638F0BD" w14:textId="76BC63A1" w:rsidR="00DC1EC9" w:rsidRPr="00EC628F" w:rsidRDefault="00DC1EC9" w:rsidP="00FC4555">
      <w:pPr>
        <w:jc w:val="center"/>
        <w:rPr>
          <w:sz w:val="24"/>
          <w:szCs w:val="24"/>
        </w:rPr>
      </w:pPr>
      <w:r>
        <w:rPr>
          <w:sz w:val="24"/>
          <w:szCs w:val="24"/>
        </w:rPr>
        <w:t>Lecturer’s Name: Emmanuel Asante</w:t>
      </w:r>
    </w:p>
    <w:p w14:paraId="36F8E16B" w14:textId="77777777" w:rsidR="003022DB" w:rsidRPr="00EC628F" w:rsidRDefault="003022DB" w:rsidP="003022DB">
      <w:pPr>
        <w:spacing w:before="120" w:after="120"/>
        <w:jc w:val="center"/>
        <w:rPr>
          <w:rFonts w:cs="Arial"/>
          <w:sz w:val="24"/>
          <w:szCs w:val="24"/>
        </w:rPr>
      </w:pPr>
      <w:r w:rsidRPr="00EC628F">
        <w:rPr>
          <w:rFonts w:cs="Arial"/>
          <w:sz w:val="24"/>
          <w:szCs w:val="24"/>
        </w:rPr>
        <w:t>Student Name: Suma Begum</w:t>
      </w:r>
    </w:p>
    <w:p w14:paraId="04EC90BA" w14:textId="77777777" w:rsidR="003022DB" w:rsidRPr="00EC628F" w:rsidRDefault="003022DB" w:rsidP="003022DB">
      <w:pPr>
        <w:spacing w:before="120" w:after="120"/>
        <w:jc w:val="center"/>
        <w:rPr>
          <w:rFonts w:cs="Arial"/>
          <w:sz w:val="24"/>
          <w:szCs w:val="24"/>
        </w:rPr>
      </w:pPr>
      <w:r w:rsidRPr="00EC628F">
        <w:rPr>
          <w:rFonts w:cs="Arial"/>
          <w:sz w:val="24"/>
          <w:szCs w:val="24"/>
        </w:rPr>
        <w:t>Student ID: 213484</w:t>
      </w:r>
    </w:p>
    <w:p w14:paraId="7C891363" w14:textId="77777777" w:rsidR="003022DB" w:rsidRPr="003022DB" w:rsidRDefault="003022DB" w:rsidP="00FC4555">
      <w:pPr>
        <w:jc w:val="center"/>
        <w:rPr>
          <w:sz w:val="36"/>
        </w:rPr>
      </w:pPr>
    </w:p>
    <w:p w14:paraId="60F3F43A" w14:textId="09ED446B" w:rsidR="00B31D4D" w:rsidRDefault="00B31D4D" w:rsidP="00B31D4D"/>
    <w:p w14:paraId="6E666D33" w14:textId="6A781D6F" w:rsidR="00B31D4D" w:rsidRDefault="00B31D4D" w:rsidP="00B31D4D"/>
    <w:p w14:paraId="1D0E1859" w14:textId="40C8CCD3" w:rsidR="00B31D4D" w:rsidRDefault="00B31D4D" w:rsidP="00B31D4D"/>
    <w:p w14:paraId="726680DB" w14:textId="616A5954" w:rsidR="00B31D4D" w:rsidRDefault="00B31D4D" w:rsidP="00B31D4D"/>
    <w:p w14:paraId="47F1CA73" w14:textId="21F07CF0" w:rsidR="00B31D4D" w:rsidRDefault="00B31D4D" w:rsidP="00B31D4D"/>
    <w:p w14:paraId="21F5D0E4" w14:textId="6E5B7C2A" w:rsidR="00B31D4D" w:rsidRDefault="00B31D4D" w:rsidP="00B31D4D"/>
    <w:p w14:paraId="46B74015" w14:textId="7F2243F6" w:rsidR="00B31D4D" w:rsidRDefault="00B31D4D" w:rsidP="00B31D4D"/>
    <w:p w14:paraId="60962881" w14:textId="7B9CCBAE" w:rsidR="00B31D4D" w:rsidRDefault="00B31D4D" w:rsidP="00B31D4D"/>
    <w:p w14:paraId="493EC4DA" w14:textId="0812B5BE" w:rsidR="00B31D4D" w:rsidRDefault="00B31D4D" w:rsidP="00B31D4D"/>
    <w:p w14:paraId="50D2E5A2" w14:textId="45C046C0" w:rsidR="00B31D4D" w:rsidRDefault="00B31D4D" w:rsidP="00B31D4D"/>
    <w:p w14:paraId="7C6717DA" w14:textId="1A0AF9D0" w:rsidR="00B31D4D" w:rsidRDefault="00B31D4D" w:rsidP="00B31D4D"/>
    <w:p w14:paraId="321E5E88" w14:textId="521D4333" w:rsidR="00B31D4D" w:rsidRDefault="00B31D4D" w:rsidP="00B31D4D"/>
    <w:p w14:paraId="47A7D36B" w14:textId="0C668C30" w:rsidR="00B31D4D" w:rsidRDefault="00B31D4D" w:rsidP="00B31D4D"/>
    <w:p w14:paraId="551CB885" w14:textId="49DFB12A" w:rsidR="00B31D4D" w:rsidRDefault="00B31D4D" w:rsidP="00B31D4D"/>
    <w:p w14:paraId="259C72D9" w14:textId="7DEEB975" w:rsidR="00B31D4D" w:rsidRDefault="00B31D4D" w:rsidP="00B31D4D"/>
    <w:p w14:paraId="4A4DBA69" w14:textId="22F52031" w:rsidR="00B31D4D" w:rsidRDefault="00B31D4D" w:rsidP="00B31D4D"/>
    <w:p w14:paraId="30E0CDAB" w14:textId="3B3EF91B" w:rsidR="00B31D4D" w:rsidRDefault="00B31D4D" w:rsidP="00B31D4D"/>
    <w:p w14:paraId="294B62F8" w14:textId="324C3B1E" w:rsidR="00B31D4D" w:rsidRDefault="00B31D4D" w:rsidP="00B31D4D"/>
    <w:sdt>
      <w:sdtPr>
        <w:rPr>
          <w:rFonts w:ascii="Times New Roman" w:eastAsiaTheme="minorHAnsi" w:hAnsi="Times New Roman" w:cstheme="minorBidi"/>
          <w:color w:val="000000" w:themeColor="text1"/>
          <w:sz w:val="24"/>
          <w:szCs w:val="22"/>
          <w:lang w:val="en-GB"/>
        </w:rPr>
        <w:id w:val="1024293052"/>
        <w:docPartObj>
          <w:docPartGallery w:val="Table of Contents"/>
          <w:docPartUnique/>
        </w:docPartObj>
      </w:sdtPr>
      <w:sdtEndPr>
        <w:rPr>
          <w:rFonts w:ascii="Arial" w:hAnsi="Arial"/>
          <w:b/>
          <w:bCs/>
          <w:noProof/>
          <w:sz w:val="22"/>
        </w:rPr>
      </w:sdtEndPr>
      <w:sdtContent>
        <w:p w14:paraId="2B3C9F2C" w14:textId="46424762" w:rsidR="006914E5" w:rsidRDefault="006914E5">
          <w:pPr>
            <w:pStyle w:val="TOCHeading"/>
          </w:pPr>
          <w:r>
            <w:t>Table of Contents</w:t>
          </w:r>
        </w:p>
        <w:p w14:paraId="025B668F" w14:textId="1217B4AB" w:rsidR="00EC628F" w:rsidRDefault="006914E5">
          <w:pPr>
            <w:pStyle w:val="TOC1"/>
            <w:tabs>
              <w:tab w:val="right" w:leader="dot" w:pos="9016"/>
            </w:tabs>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130768701" w:history="1">
            <w:r w:rsidR="00EC628F" w:rsidRPr="0051240D">
              <w:rPr>
                <w:rStyle w:val="Hyperlink"/>
                <w:noProof/>
              </w:rPr>
              <w:t>Introduction</w:t>
            </w:r>
            <w:r w:rsidR="00EC628F">
              <w:rPr>
                <w:noProof/>
                <w:webHidden/>
              </w:rPr>
              <w:tab/>
            </w:r>
            <w:r w:rsidR="00EC628F">
              <w:rPr>
                <w:noProof/>
                <w:webHidden/>
              </w:rPr>
              <w:fldChar w:fldCharType="begin"/>
            </w:r>
            <w:r w:rsidR="00EC628F">
              <w:rPr>
                <w:noProof/>
                <w:webHidden/>
              </w:rPr>
              <w:instrText xml:space="preserve"> PAGEREF _Toc130768701 \h </w:instrText>
            </w:r>
            <w:r w:rsidR="00EC628F">
              <w:rPr>
                <w:noProof/>
                <w:webHidden/>
              </w:rPr>
            </w:r>
            <w:r w:rsidR="00EC628F">
              <w:rPr>
                <w:noProof/>
                <w:webHidden/>
              </w:rPr>
              <w:fldChar w:fldCharType="separate"/>
            </w:r>
            <w:r w:rsidR="00EC628F">
              <w:rPr>
                <w:noProof/>
                <w:webHidden/>
              </w:rPr>
              <w:t>3</w:t>
            </w:r>
            <w:r w:rsidR="00EC628F">
              <w:rPr>
                <w:noProof/>
                <w:webHidden/>
              </w:rPr>
              <w:fldChar w:fldCharType="end"/>
            </w:r>
          </w:hyperlink>
        </w:p>
        <w:p w14:paraId="077A3B0B" w14:textId="1D1C0EA3" w:rsidR="00EC628F" w:rsidRDefault="005753A8">
          <w:pPr>
            <w:pStyle w:val="TOC1"/>
            <w:tabs>
              <w:tab w:val="right" w:leader="dot" w:pos="9016"/>
            </w:tabs>
            <w:rPr>
              <w:rFonts w:asciiTheme="minorHAnsi" w:eastAsiaTheme="minorEastAsia" w:hAnsiTheme="minorHAnsi"/>
              <w:noProof/>
              <w:color w:val="auto"/>
              <w:lang w:val="en-US"/>
            </w:rPr>
          </w:pPr>
          <w:hyperlink w:anchor="_Toc130768702" w:history="1">
            <w:r w:rsidR="00EC628F" w:rsidRPr="0051240D">
              <w:rPr>
                <w:rStyle w:val="Hyperlink"/>
                <w:noProof/>
              </w:rPr>
              <w:t>Why psychology is relevant in our Health and Social Care practice?</w:t>
            </w:r>
            <w:r w:rsidR="00EC628F">
              <w:rPr>
                <w:noProof/>
                <w:webHidden/>
              </w:rPr>
              <w:tab/>
            </w:r>
            <w:r w:rsidR="00EC628F">
              <w:rPr>
                <w:noProof/>
                <w:webHidden/>
              </w:rPr>
              <w:fldChar w:fldCharType="begin"/>
            </w:r>
            <w:r w:rsidR="00EC628F">
              <w:rPr>
                <w:noProof/>
                <w:webHidden/>
              </w:rPr>
              <w:instrText xml:space="preserve"> PAGEREF _Toc130768702 \h </w:instrText>
            </w:r>
            <w:r w:rsidR="00EC628F">
              <w:rPr>
                <w:noProof/>
                <w:webHidden/>
              </w:rPr>
            </w:r>
            <w:r w:rsidR="00EC628F">
              <w:rPr>
                <w:noProof/>
                <w:webHidden/>
              </w:rPr>
              <w:fldChar w:fldCharType="separate"/>
            </w:r>
            <w:r w:rsidR="00EC628F">
              <w:rPr>
                <w:noProof/>
                <w:webHidden/>
              </w:rPr>
              <w:t>3</w:t>
            </w:r>
            <w:r w:rsidR="00EC628F">
              <w:rPr>
                <w:noProof/>
                <w:webHidden/>
              </w:rPr>
              <w:fldChar w:fldCharType="end"/>
            </w:r>
          </w:hyperlink>
        </w:p>
        <w:p w14:paraId="7737C639" w14:textId="66E6D441" w:rsidR="00EC628F" w:rsidRDefault="005753A8">
          <w:pPr>
            <w:pStyle w:val="TOC1"/>
            <w:tabs>
              <w:tab w:val="right" w:leader="dot" w:pos="9016"/>
            </w:tabs>
            <w:rPr>
              <w:rFonts w:asciiTheme="minorHAnsi" w:eastAsiaTheme="minorEastAsia" w:hAnsiTheme="minorHAnsi"/>
              <w:noProof/>
              <w:color w:val="auto"/>
              <w:lang w:val="en-US"/>
            </w:rPr>
          </w:pPr>
          <w:hyperlink w:anchor="_Toc130768703" w:history="1">
            <w:r w:rsidR="00EC628F" w:rsidRPr="0051240D">
              <w:rPr>
                <w:rStyle w:val="Hyperlink"/>
                <w:noProof/>
                <w:shd w:val="clear" w:color="auto" w:fill="FFFFFF"/>
              </w:rPr>
              <w:t>Explanation of three psychological theories</w:t>
            </w:r>
            <w:r w:rsidR="00EC628F">
              <w:rPr>
                <w:noProof/>
                <w:webHidden/>
              </w:rPr>
              <w:tab/>
            </w:r>
            <w:r w:rsidR="00EC628F">
              <w:rPr>
                <w:noProof/>
                <w:webHidden/>
              </w:rPr>
              <w:fldChar w:fldCharType="begin"/>
            </w:r>
            <w:r w:rsidR="00EC628F">
              <w:rPr>
                <w:noProof/>
                <w:webHidden/>
              </w:rPr>
              <w:instrText xml:space="preserve"> PAGEREF _Toc130768703 \h </w:instrText>
            </w:r>
            <w:r w:rsidR="00EC628F">
              <w:rPr>
                <w:noProof/>
                <w:webHidden/>
              </w:rPr>
            </w:r>
            <w:r w:rsidR="00EC628F">
              <w:rPr>
                <w:noProof/>
                <w:webHidden/>
              </w:rPr>
              <w:fldChar w:fldCharType="separate"/>
            </w:r>
            <w:r w:rsidR="00EC628F">
              <w:rPr>
                <w:noProof/>
                <w:webHidden/>
              </w:rPr>
              <w:t>3</w:t>
            </w:r>
            <w:r w:rsidR="00EC628F">
              <w:rPr>
                <w:noProof/>
                <w:webHidden/>
              </w:rPr>
              <w:fldChar w:fldCharType="end"/>
            </w:r>
          </w:hyperlink>
        </w:p>
        <w:p w14:paraId="31BC7681" w14:textId="72F1018E" w:rsidR="00EC628F" w:rsidRDefault="005753A8">
          <w:pPr>
            <w:pStyle w:val="TOC1"/>
            <w:tabs>
              <w:tab w:val="right" w:leader="dot" w:pos="9016"/>
            </w:tabs>
            <w:rPr>
              <w:rFonts w:asciiTheme="minorHAnsi" w:eastAsiaTheme="minorEastAsia" w:hAnsiTheme="minorHAnsi"/>
              <w:noProof/>
              <w:color w:val="auto"/>
              <w:lang w:val="en-US"/>
            </w:rPr>
          </w:pPr>
          <w:hyperlink w:anchor="_Toc130768704" w:history="1">
            <w:r w:rsidR="00EC628F" w:rsidRPr="0051240D">
              <w:rPr>
                <w:rStyle w:val="Hyperlink"/>
                <w:noProof/>
              </w:rPr>
              <w:t>Discussion of the relevancy of these theories for a health and social care professional, by using three practical examples.</w:t>
            </w:r>
            <w:r w:rsidR="00EC628F">
              <w:rPr>
                <w:noProof/>
                <w:webHidden/>
              </w:rPr>
              <w:tab/>
            </w:r>
            <w:r w:rsidR="00EC628F">
              <w:rPr>
                <w:noProof/>
                <w:webHidden/>
              </w:rPr>
              <w:fldChar w:fldCharType="begin"/>
            </w:r>
            <w:r w:rsidR="00EC628F">
              <w:rPr>
                <w:noProof/>
                <w:webHidden/>
              </w:rPr>
              <w:instrText xml:space="preserve"> PAGEREF _Toc130768704 \h </w:instrText>
            </w:r>
            <w:r w:rsidR="00EC628F">
              <w:rPr>
                <w:noProof/>
                <w:webHidden/>
              </w:rPr>
            </w:r>
            <w:r w:rsidR="00EC628F">
              <w:rPr>
                <w:noProof/>
                <w:webHidden/>
              </w:rPr>
              <w:fldChar w:fldCharType="separate"/>
            </w:r>
            <w:r w:rsidR="00EC628F">
              <w:rPr>
                <w:noProof/>
                <w:webHidden/>
              </w:rPr>
              <w:t>5</w:t>
            </w:r>
            <w:r w:rsidR="00EC628F">
              <w:rPr>
                <w:noProof/>
                <w:webHidden/>
              </w:rPr>
              <w:fldChar w:fldCharType="end"/>
            </w:r>
          </w:hyperlink>
        </w:p>
        <w:p w14:paraId="261AFC85" w14:textId="6511B908" w:rsidR="00EC628F" w:rsidRDefault="005753A8">
          <w:pPr>
            <w:pStyle w:val="TOC1"/>
            <w:tabs>
              <w:tab w:val="right" w:leader="dot" w:pos="9016"/>
            </w:tabs>
            <w:rPr>
              <w:rFonts w:asciiTheme="minorHAnsi" w:eastAsiaTheme="minorEastAsia" w:hAnsiTheme="minorHAnsi"/>
              <w:noProof/>
              <w:color w:val="auto"/>
              <w:lang w:val="en-US"/>
            </w:rPr>
          </w:pPr>
          <w:hyperlink w:anchor="_Toc130768705" w:history="1">
            <w:r w:rsidR="00EC628F" w:rsidRPr="0051240D">
              <w:rPr>
                <w:rStyle w:val="Hyperlink"/>
                <w:noProof/>
                <w:shd w:val="clear" w:color="auto" w:fill="FFFFFF"/>
              </w:rPr>
              <w:t>Conclusion</w:t>
            </w:r>
            <w:r w:rsidR="00EC628F">
              <w:rPr>
                <w:noProof/>
                <w:webHidden/>
              </w:rPr>
              <w:tab/>
            </w:r>
            <w:r w:rsidR="00EC628F">
              <w:rPr>
                <w:noProof/>
                <w:webHidden/>
              </w:rPr>
              <w:fldChar w:fldCharType="begin"/>
            </w:r>
            <w:r w:rsidR="00EC628F">
              <w:rPr>
                <w:noProof/>
                <w:webHidden/>
              </w:rPr>
              <w:instrText xml:space="preserve"> PAGEREF _Toc130768705 \h </w:instrText>
            </w:r>
            <w:r w:rsidR="00EC628F">
              <w:rPr>
                <w:noProof/>
                <w:webHidden/>
              </w:rPr>
            </w:r>
            <w:r w:rsidR="00EC628F">
              <w:rPr>
                <w:noProof/>
                <w:webHidden/>
              </w:rPr>
              <w:fldChar w:fldCharType="separate"/>
            </w:r>
            <w:r w:rsidR="00EC628F">
              <w:rPr>
                <w:noProof/>
                <w:webHidden/>
              </w:rPr>
              <w:t>6</w:t>
            </w:r>
            <w:r w:rsidR="00EC628F">
              <w:rPr>
                <w:noProof/>
                <w:webHidden/>
              </w:rPr>
              <w:fldChar w:fldCharType="end"/>
            </w:r>
          </w:hyperlink>
        </w:p>
        <w:p w14:paraId="745642FE" w14:textId="32BBA0C4" w:rsidR="00EC628F" w:rsidRDefault="005753A8">
          <w:pPr>
            <w:pStyle w:val="TOC1"/>
            <w:tabs>
              <w:tab w:val="right" w:leader="dot" w:pos="9016"/>
            </w:tabs>
            <w:rPr>
              <w:rFonts w:asciiTheme="minorHAnsi" w:eastAsiaTheme="minorEastAsia" w:hAnsiTheme="minorHAnsi"/>
              <w:noProof/>
              <w:color w:val="auto"/>
              <w:lang w:val="en-US"/>
            </w:rPr>
          </w:pPr>
          <w:hyperlink w:anchor="_Toc130768706" w:history="1">
            <w:r w:rsidR="00EC628F" w:rsidRPr="0051240D">
              <w:rPr>
                <w:rStyle w:val="Hyperlink"/>
                <w:noProof/>
                <w:shd w:val="clear" w:color="auto" w:fill="FFFFFF"/>
              </w:rPr>
              <w:t>References</w:t>
            </w:r>
            <w:r w:rsidR="00EC628F">
              <w:rPr>
                <w:noProof/>
                <w:webHidden/>
              </w:rPr>
              <w:tab/>
            </w:r>
            <w:r w:rsidR="00EC628F">
              <w:rPr>
                <w:noProof/>
                <w:webHidden/>
              </w:rPr>
              <w:fldChar w:fldCharType="begin"/>
            </w:r>
            <w:r w:rsidR="00EC628F">
              <w:rPr>
                <w:noProof/>
                <w:webHidden/>
              </w:rPr>
              <w:instrText xml:space="preserve"> PAGEREF _Toc130768706 \h </w:instrText>
            </w:r>
            <w:r w:rsidR="00EC628F">
              <w:rPr>
                <w:noProof/>
                <w:webHidden/>
              </w:rPr>
            </w:r>
            <w:r w:rsidR="00EC628F">
              <w:rPr>
                <w:noProof/>
                <w:webHidden/>
              </w:rPr>
              <w:fldChar w:fldCharType="separate"/>
            </w:r>
            <w:r w:rsidR="00EC628F">
              <w:rPr>
                <w:noProof/>
                <w:webHidden/>
              </w:rPr>
              <w:t>7</w:t>
            </w:r>
            <w:r w:rsidR="00EC628F">
              <w:rPr>
                <w:noProof/>
                <w:webHidden/>
              </w:rPr>
              <w:fldChar w:fldCharType="end"/>
            </w:r>
          </w:hyperlink>
        </w:p>
        <w:p w14:paraId="4FB312A8" w14:textId="47722DFF" w:rsidR="006914E5" w:rsidRDefault="006914E5">
          <w:r>
            <w:rPr>
              <w:b/>
              <w:bCs/>
              <w:noProof/>
            </w:rPr>
            <w:fldChar w:fldCharType="end"/>
          </w:r>
        </w:p>
      </w:sdtContent>
    </w:sdt>
    <w:p w14:paraId="16CE44B9" w14:textId="5222ECCA" w:rsidR="00B31D4D" w:rsidRDefault="00B31D4D" w:rsidP="00B31D4D"/>
    <w:p w14:paraId="20E2D24F" w14:textId="38AADAC5" w:rsidR="000C33C8" w:rsidRDefault="000C33C8" w:rsidP="00B31D4D"/>
    <w:p w14:paraId="0D9788A4" w14:textId="0961C396" w:rsidR="000C33C8" w:rsidRDefault="000C33C8" w:rsidP="00B31D4D"/>
    <w:p w14:paraId="06991A54" w14:textId="3A93AAE9" w:rsidR="000C33C8" w:rsidRDefault="000C33C8" w:rsidP="00B31D4D"/>
    <w:p w14:paraId="4E106E6E" w14:textId="67695E3B" w:rsidR="000C33C8" w:rsidRDefault="000C33C8" w:rsidP="00B31D4D"/>
    <w:p w14:paraId="5050E954" w14:textId="4B142AEF" w:rsidR="000C33C8" w:rsidRDefault="000C33C8" w:rsidP="00B31D4D"/>
    <w:p w14:paraId="5FBFF07C" w14:textId="6179A0D5" w:rsidR="000C33C8" w:rsidRDefault="000C33C8" w:rsidP="00B31D4D"/>
    <w:p w14:paraId="121BF8C7" w14:textId="5623A543" w:rsidR="000C33C8" w:rsidRDefault="000C33C8" w:rsidP="00B31D4D"/>
    <w:p w14:paraId="3087D34F" w14:textId="65C23A9D" w:rsidR="000C33C8" w:rsidRDefault="000C33C8" w:rsidP="00B31D4D"/>
    <w:p w14:paraId="674F8CB9" w14:textId="71D6806D" w:rsidR="000C33C8" w:rsidRDefault="000C33C8" w:rsidP="00B31D4D"/>
    <w:p w14:paraId="4D09D307" w14:textId="0CF19015" w:rsidR="000C33C8" w:rsidRDefault="000C33C8" w:rsidP="00B31D4D"/>
    <w:p w14:paraId="2A31359F" w14:textId="3CE2CCE2" w:rsidR="000C33C8" w:rsidRDefault="000C33C8" w:rsidP="00B31D4D"/>
    <w:p w14:paraId="63DAD5D0" w14:textId="5D4972FD" w:rsidR="000C33C8" w:rsidRDefault="000C33C8" w:rsidP="00B31D4D"/>
    <w:p w14:paraId="65CD395C" w14:textId="0D1E7C61" w:rsidR="000C33C8" w:rsidRDefault="000C33C8" w:rsidP="00B31D4D"/>
    <w:p w14:paraId="659655AD" w14:textId="5361AFC7" w:rsidR="000C33C8" w:rsidRDefault="000C33C8" w:rsidP="00B31D4D"/>
    <w:p w14:paraId="65A14EA4" w14:textId="73723BE7" w:rsidR="000C33C8" w:rsidRDefault="000C33C8" w:rsidP="00B31D4D"/>
    <w:p w14:paraId="0070FF6A" w14:textId="0A03279B" w:rsidR="006914E5" w:rsidRDefault="006914E5" w:rsidP="00B31D4D"/>
    <w:p w14:paraId="36130B39" w14:textId="13A26B9B" w:rsidR="006914E5" w:rsidRDefault="006914E5" w:rsidP="00B31D4D"/>
    <w:p w14:paraId="064F329E" w14:textId="7C304D86" w:rsidR="000C33C8" w:rsidRDefault="000C33C8" w:rsidP="00B31D4D"/>
    <w:p w14:paraId="197529FD" w14:textId="40CC7DDC" w:rsidR="00B31D4D" w:rsidRDefault="00B31D4D" w:rsidP="000C33C8">
      <w:pPr>
        <w:pStyle w:val="Heading1"/>
      </w:pPr>
      <w:bookmarkStart w:id="0" w:name="_Toc130768701"/>
      <w:r>
        <w:t>Introduction</w:t>
      </w:r>
      <w:bookmarkEnd w:id="0"/>
    </w:p>
    <w:p w14:paraId="38A61A4E" w14:textId="21EC0661" w:rsidR="00974951" w:rsidRDefault="00D549A0" w:rsidP="00974951">
      <w:pPr>
        <w:rPr>
          <w:shd w:val="clear" w:color="auto" w:fill="FFFFFF"/>
        </w:rPr>
      </w:pPr>
      <w:r w:rsidRPr="00D549A0">
        <w:rPr>
          <w:shd w:val="clear" w:color="auto" w:fill="FFFFFF"/>
        </w:rPr>
        <w:t>There are many different ways in which psychology can be useful in the realm of health and social care. The study of psychology can be helpful in illuminating the connections that exist between one's mental health and their physical wellbeing. Stress can present itself physically in a variety of ways, including high blood pressure, heart disease, depression, and even medical ailments like heart disease and depression. If healthcare providers have a solid understanding of the role stress plays in the development of various disorders, they will be better able to assist their patients in the management of their stress a</w:t>
      </w:r>
      <w:r w:rsidR="00991CA0">
        <w:rPr>
          <w:shd w:val="clear" w:color="auto" w:fill="FFFFFF"/>
        </w:rPr>
        <w:t>nd the pursuit of better health (Dent and Cameron, 2018).</w:t>
      </w:r>
    </w:p>
    <w:p w14:paraId="217F3F8B" w14:textId="2EF6A30A" w:rsidR="00D549A0" w:rsidRDefault="00D549A0" w:rsidP="00D549A0">
      <w:pPr>
        <w:pStyle w:val="Heading1"/>
        <w:rPr>
          <w:shd w:val="clear" w:color="auto" w:fill="FFFFFF"/>
        </w:rPr>
      </w:pPr>
      <w:bookmarkStart w:id="1" w:name="_Toc130768702"/>
      <w:r>
        <w:t>Why psychology is relevant in our Health and Social Care practice?</w:t>
      </w:r>
      <w:bookmarkEnd w:id="1"/>
    </w:p>
    <w:p w14:paraId="13F7317F" w14:textId="05BBF4E8" w:rsidR="00D549A0" w:rsidRPr="00D549A0" w:rsidRDefault="00D549A0" w:rsidP="00D549A0">
      <w:pPr>
        <w:rPr>
          <w:shd w:val="clear" w:color="auto" w:fill="FFFFFF"/>
        </w:rPr>
      </w:pPr>
      <w:r w:rsidRPr="00D549A0">
        <w:rPr>
          <w:shd w:val="clear" w:color="auto" w:fill="FFFFFF"/>
        </w:rPr>
        <w:t xml:space="preserve">Psychology has a role to play in the field of health and social care since it may help in the diagnosis as well as the treatment of problems related to mental health. It is of the utmost importance to provide those who suffer from mental illness with competent therapy as well as compassionate care because of the far-reaching implications of mental disease that is not addressed. People can learn how to better manage their difficulties, get more control over their symptoms, and generally improve their quality of life with the assistance of psychologists. Cognitive-behavioural therapy, which teaches patients how to manage their negative thoughts and feelings, has been demonstrated to be useful in the treatment of anxiety and depression. This type of therapy is one of the therapies that </w:t>
      </w:r>
      <w:r w:rsidR="001730F5">
        <w:rPr>
          <w:shd w:val="clear" w:color="auto" w:fill="FFFFFF"/>
        </w:rPr>
        <w:t>has been shown to be effective (Wise et al., 2012).</w:t>
      </w:r>
    </w:p>
    <w:p w14:paraId="117749BB" w14:textId="716BC5A9" w:rsidR="00991CA0" w:rsidRDefault="00D549A0" w:rsidP="00974951">
      <w:pPr>
        <w:rPr>
          <w:shd w:val="clear" w:color="auto" w:fill="FFFFFF"/>
        </w:rPr>
      </w:pPr>
      <w:r w:rsidRPr="00D549A0">
        <w:rPr>
          <w:shd w:val="clear" w:color="auto" w:fill="FFFFFF"/>
        </w:rPr>
        <w:t>In the field of social care, the bread and butter of a psychological specialist is understanding the intricate requirements of individuals and designing individualised care plans for them. Those who suffer from mental health illnesses can require additional assistance in order to better manage their symptoms and improve their quality of life. Psychologists have the ability to work with other people who provide social care to come up with individualised treatment strategies for each client. The incorporation of psychological principles into social care can lead to improved assistance for everyone as well as an ov</w:t>
      </w:r>
      <w:r w:rsidR="00991CA0">
        <w:rPr>
          <w:shd w:val="clear" w:color="auto" w:fill="FFFFFF"/>
        </w:rPr>
        <w:t>erall improvement in well-being (Marks et al., 2019). </w:t>
      </w:r>
    </w:p>
    <w:p w14:paraId="12FE00F5" w14:textId="4E8AC67A" w:rsidR="00A43EF4" w:rsidRDefault="00A43EF4" w:rsidP="00FC4555">
      <w:pPr>
        <w:pStyle w:val="Heading1"/>
        <w:rPr>
          <w:shd w:val="clear" w:color="auto" w:fill="FFFFFF"/>
        </w:rPr>
      </w:pPr>
      <w:bookmarkStart w:id="2" w:name="_Toc130768703"/>
      <w:r>
        <w:rPr>
          <w:shd w:val="clear" w:color="auto" w:fill="FFFFFF"/>
        </w:rPr>
        <w:t xml:space="preserve">Explanation of three </w:t>
      </w:r>
      <w:r w:rsidRPr="00A43EF4">
        <w:rPr>
          <w:shd w:val="clear" w:color="auto" w:fill="FFFFFF"/>
        </w:rPr>
        <w:t>psychological theories</w:t>
      </w:r>
      <w:bookmarkEnd w:id="2"/>
      <w:r w:rsidRPr="00A43EF4">
        <w:rPr>
          <w:shd w:val="clear" w:color="auto" w:fill="FFFFFF"/>
        </w:rPr>
        <w:t xml:space="preserve"> </w:t>
      </w:r>
    </w:p>
    <w:p w14:paraId="4F5DC176" w14:textId="75251F4A" w:rsidR="001C54FB" w:rsidRPr="00FC4555" w:rsidRDefault="00A43EF4" w:rsidP="00A43EF4">
      <w:pPr>
        <w:rPr>
          <w:b/>
          <w:shd w:val="clear" w:color="auto" w:fill="FFFFFF"/>
        </w:rPr>
      </w:pPr>
      <w:r w:rsidRPr="00FC4555">
        <w:rPr>
          <w:b/>
          <w:shd w:val="clear" w:color="auto" w:fill="FFFFFF"/>
        </w:rPr>
        <w:t>T</w:t>
      </w:r>
      <w:r w:rsidR="001C54FB" w:rsidRPr="00FC4555">
        <w:rPr>
          <w:b/>
          <w:shd w:val="clear" w:color="auto" w:fill="FFFFFF"/>
        </w:rPr>
        <w:t xml:space="preserve">heory of social cognition </w:t>
      </w:r>
    </w:p>
    <w:p w14:paraId="15B242DA" w14:textId="1380B786" w:rsidR="006656F3" w:rsidRDefault="006656F3" w:rsidP="006656F3">
      <w:pPr>
        <w:rPr>
          <w:shd w:val="clear" w:color="auto" w:fill="FFFFFF"/>
        </w:rPr>
      </w:pPr>
      <w:r w:rsidRPr="006656F3">
        <w:rPr>
          <w:shd w:val="clear" w:color="auto" w:fill="FFFFFF"/>
        </w:rPr>
        <w:t>Albert Bandura, a psychologist, is known for his theory of social cognition, in which he believes that people's actions are impacted by the unique experiences and perspectives that they have</w:t>
      </w:r>
      <w:r w:rsidR="009567A6">
        <w:rPr>
          <w:shd w:val="clear" w:color="auto" w:fill="FFFFFF"/>
        </w:rPr>
        <w:t xml:space="preserve"> (Bandura, 1989)</w:t>
      </w:r>
      <w:r w:rsidRPr="006656F3">
        <w:rPr>
          <w:shd w:val="clear" w:color="auto" w:fill="FFFFFF"/>
        </w:rPr>
        <w:t>. According to this view, individuals gain knowledge by not only observing but also personally experiencing the consequences of the activities of others. This theory can be applied in health and social care settings to encourage individuals to make more constructive lifestyle decisions through the use of r</w:t>
      </w:r>
      <w:r w:rsidR="00991CA0">
        <w:rPr>
          <w:shd w:val="clear" w:color="auto" w:fill="FFFFFF"/>
        </w:rPr>
        <w:t>einforcement and role modelling (Marks et al., 2019). </w:t>
      </w:r>
    </w:p>
    <w:p w14:paraId="7F5C519A" w14:textId="30DFB3BA" w:rsidR="0099156A" w:rsidRPr="006656F3" w:rsidRDefault="0099156A" w:rsidP="006656F3">
      <w:pPr>
        <w:rPr>
          <w:shd w:val="clear" w:color="auto" w:fill="FFFFFF"/>
        </w:rPr>
      </w:pPr>
      <w:r w:rsidRPr="0099156A">
        <w:rPr>
          <w:shd w:val="clear" w:color="auto" w:fill="FFFFFF"/>
        </w:rPr>
        <w:t xml:space="preserve">The study of how people learn and recall pertinent information about themselves and others for the sake of analysing and predicting the behaviours of other people is the focus of the theory of social cognition. It describes how people come to conclusions, how they form opinions, and how they keep themselves in check. </w:t>
      </w:r>
      <w:r w:rsidR="009567A6" w:rsidRPr="0099156A">
        <w:rPr>
          <w:shd w:val="clear" w:color="auto" w:fill="FFFFFF"/>
        </w:rPr>
        <w:t>A</w:t>
      </w:r>
      <w:r w:rsidRPr="0099156A">
        <w:rPr>
          <w:shd w:val="clear" w:color="auto" w:fill="FFFFFF"/>
        </w:rPr>
        <w:t xml:space="preserve"> knowledge of social influence and persuasion, such as that provided by this theory, could be useful in a number of areas, including the promotion of healt</w:t>
      </w:r>
      <w:r w:rsidR="001730F5">
        <w:rPr>
          <w:shd w:val="clear" w:color="auto" w:fill="FFFFFF"/>
        </w:rPr>
        <w:t>h and the prevention of illness (Wise et al., 2012).</w:t>
      </w:r>
    </w:p>
    <w:p w14:paraId="72BB610F" w14:textId="799AF620" w:rsidR="006656F3" w:rsidRPr="00FC4555" w:rsidRDefault="001C54FB" w:rsidP="006656F3">
      <w:pPr>
        <w:rPr>
          <w:b/>
          <w:shd w:val="clear" w:color="auto" w:fill="FFFFFF"/>
        </w:rPr>
      </w:pPr>
      <w:r w:rsidRPr="00FC4555">
        <w:rPr>
          <w:b/>
          <w:shd w:val="clear" w:color="auto" w:fill="FFFFFF"/>
        </w:rPr>
        <w:t>Health Belief Model</w:t>
      </w:r>
    </w:p>
    <w:p w14:paraId="198781AD" w14:textId="3E2925B5" w:rsidR="006656F3" w:rsidRDefault="006656F3" w:rsidP="006656F3">
      <w:pPr>
        <w:rPr>
          <w:shd w:val="clear" w:color="auto" w:fill="FFFFFF"/>
        </w:rPr>
      </w:pPr>
      <w:r w:rsidRPr="006656F3">
        <w:rPr>
          <w:shd w:val="clear" w:color="auto" w:fill="FFFFFF"/>
        </w:rPr>
        <w:t>The Health Belief Model postulates that an individual's likelihood of engaging in health-promoting behaviours is affected by their beliefs about their susceptibility to illness, the severity of the illness, the perceived benefits of taking preventative actions, and the perceived barriers to taking such actions</w:t>
      </w:r>
      <w:r w:rsidR="00C00922">
        <w:rPr>
          <w:shd w:val="clear" w:color="auto" w:fill="FFFFFF"/>
        </w:rPr>
        <w:t xml:space="preserve"> (</w:t>
      </w:r>
      <w:proofErr w:type="spellStart"/>
      <w:r w:rsidR="00C00922">
        <w:rPr>
          <w:rFonts w:cs="Arial"/>
          <w:color w:val="222222"/>
          <w:sz w:val="20"/>
          <w:szCs w:val="20"/>
          <w:shd w:val="clear" w:color="auto" w:fill="FFFFFF"/>
        </w:rPr>
        <w:t>Maiman</w:t>
      </w:r>
      <w:proofErr w:type="spellEnd"/>
      <w:r w:rsidR="00C00922">
        <w:rPr>
          <w:rFonts w:cs="Arial"/>
          <w:color w:val="222222"/>
          <w:sz w:val="20"/>
          <w:szCs w:val="20"/>
          <w:shd w:val="clear" w:color="auto" w:fill="FFFFFF"/>
        </w:rPr>
        <w:t xml:space="preserve"> and Becker, 1974)</w:t>
      </w:r>
      <w:r w:rsidRPr="006656F3">
        <w:rPr>
          <w:shd w:val="clear" w:color="auto" w:fill="FFFFFF"/>
        </w:rPr>
        <w:t>. In other words, an individual's beliefs about these factors influence their likelihood of engaging in health-promoting behaviours. This framework can be utilised by healthcare providers to assist patients in shifting their perceptions on health and healthcare as well as adopting more positive habits as part of a patient's lifestyle.</w:t>
      </w:r>
    </w:p>
    <w:p w14:paraId="32530BB9" w14:textId="7FF3DB6D" w:rsidR="0099156A" w:rsidRPr="006656F3" w:rsidRDefault="0099156A" w:rsidP="006656F3">
      <w:pPr>
        <w:rPr>
          <w:shd w:val="clear" w:color="auto" w:fill="FFFFFF"/>
        </w:rPr>
      </w:pPr>
      <w:r w:rsidRPr="0099156A">
        <w:rPr>
          <w:shd w:val="clear" w:color="auto" w:fill="FFFFFF"/>
        </w:rPr>
        <w:t xml:space="preserve">The Health Belief Model is a framework for analysing the motives behind various health-related acts, such as going to the doctor, following the prescribed care, and making good </w:t>
      </w:r>
      <w:r w:rsidR="00653997">
        <w:rPr>
          <w:shd w:val="clear" w:color="auto" w:fill="FFFFFF"/>
        </w:rPr>
        <w:t>adjustments to one's lifestyle (Marks et al., 2019). </w:t>
      </w:r>
      <w:r w:rsidRPr="0099156A">
        <w:rPr>
          <w:shd w:val="clear" w:color="auto" w:fill="FFFFFF"/>
        </w:rPr>
        <w:t>This theory proposes that the actions that people take to prevent or treat health problems are influenced by their perceptions of their own vulnerability to those problems, the severity of those problems, and the rewards and hurdles involved with doing anything to address those problems. Specifically, this theory proposes that people's perceptions of the rewards and hurdles involved with doing anything to address those problems influence their behaviour. This method can be used by health practitioners to construct interventions for specific populations. These interventions will target the underlying beliefs and attitudes that are the prim</w:t>
      </w:r>
      <w:r w:rsidR="00653997">
        <w:rPr>
          <w:shd w:val="clear" w:color="auto" w:fill="FFFFFF"/>
        </w:rPr>
        <w:t>ary drivers of health behaviour (Goodheart, 2019).</w:t>
      </w:r>
    </w:p>
    <w:p w14:paraId="7E867BD2" w14:textId="487E609F" w:rsidR="006656F3" w:rsidRPr="00FC4555" w:rsidRDefault="001C54FB" w:rsidP="006656F3">
      <w:pPr>
        <w:rPr>
          <w:b/>
          <w:shd w:val="clear" w:color="auto" w:fill="FFFFFF"/>
        </w:rPr>
      </w:pPr>
      <w:r w:rsidRPr="00FC4555">
        <w:rPr>
          <w:b/>
          <w:shd w:val="clear" w:color="auto" w:fill="FFFFFF"/>
        </w:rPr>
        <w:t>Self-Determination Theory</w:t>
      </w:r>
    </w:p>
    <w:p w14:paraId="323721BF" w14:textId="4A4FFF75" w:rsidR="00D549A0" w:rsidRDefault="006656F3" w:rsidP="00974951">
      <w:pPr>
        <w:rPr>
          <w:shd w:val="clear" w:color="auto" w:fill="FFFFFF"/>
        </w:rPr>
      </w:pPr>
      <w:r w:rsidRPr="006656F3">
        <w:rPr>
          <w:shd w:val="clear" w:color="auto" w:fill="FFFFFF"/>
        </w:rPr>
        <w:t>According to the Self-Determination Theory, in order for individuals to be fulfilled, they need to have experiences that are rewarding in the areas of autonomy, competence, and relatedness</w:t>
      </w:r>
      <w:r w:rsidR="00C00922">
        <w:rPr>
          <w:shd w:val="clear" w:color="auto" w:fill="FFFFFF"/>
        </w:rPr>
        <w:t xml:space="preserve"> (</w:t>
      </w:r>
      <w:proofErr w:type="spellStart"/>
      <w:r w:rsidR="00C00922">
        <w:rPr>
          <w:rFonts w:cs="Arial"/>
          <w:color w:val="222222"/>
          <w:sz w:val="20"/>
          <w:szCs w:val="20"/>
          <w:shd w:val="clear" w:color="auto" w:fill="FFFFFF"/>
        </w:rPr>
        <w:t>Gagné</w:t>
      </w:r>
      <w:proofErr w:type="spellEnd"/>
      <w:r w:rsidR="00C00922">
        <w:rPr>
          <w:rFonts w:cs="Arial"/>
          <w:color w:val="222222"/>
          <w:sz w:val="20"/>
          <w:szCs w:val="20"/>
          <w:shd w:val="clear" w:color="auto" w:fill="FFFFFF"/>
        </w:rPr>
        <w:t xml:space="preserve"> and Blanchard, 2007)</w:t>
      </w:r>
      <w:r w:rsidRPr="006656F3">
        <w:rPr>
          <w:shd w:val="clear" w:color="auto" w:fill="FFFFFF"/>
        </w:rPr>
        <w:t>. According to the Health Belief Model, the likelihood of a person engaging in behaviours that are beneficial to their health is raised if they have strong social relationships, are confident in their abilities, and believe they can make educated decisions about their lives. This strategy can be utilised in health and social care settings to enable patients to participate in their own treatment decisions and to develop inclusive and freeing communities for the bene</w:t>
      </w:r>
      <w:r w:rsidR="001730F5">
        <w:rPr>
          <w:shd w:val="clear" w:color="auto" w:fill="FFFFFF"/>
        </w:rPr>
        <w:t>fit of all individuals (Wise et al., 2012).</w:t>
      </w:r>
    </w:p>
    <w:p w14:paraId="568CD297" w14:textId="62C5F01C" w:rsidR="0099156A" w:rsidRDefault="0099156A" w:rsidP="00974951">
      <w:pPr>
        <w:rPr>
          <w:shd w:val="clear" w:color="auto" w:fill="FFFFFF"/>
        </w:rPr>
      </w:pPr>
      <w:r w:rsidRPr="0099156A">
        <w:rPr>
          <w:shd w:val="clear" w:color="auto" w:fill="FFFFFF"/>
        </w:rPr>
        <w:t>According to the self-determination theory, the self-determination theory asserts that humans are more likely to be motivated, engaged, and joyful when they experience a sense of control over their surroundings as well as their interactions with other people. It makes the hypothesis that people are able to perform at their highest level and experience the greatest amount of happiness when their needs for autonomy, competence, and relatedness are satisfied. This idea can be used to a wide variety of different actions that are relevant to one's health, such as making an effort to improve one's dietary habits, giving up smoking, or participating in o</w:t>
      </w:r>
      <w:r w:rsidR="00653997">
        <w:rPr>
          <w:shd w:val="clear" w:color="auto" w:fill="FFFFFF"/>
        </w:rPr>
        <w:t>ther types of physical activity (Goodheart, 2019).</w:t>
      </w:r>
    </w:p>
    <w:p w14:paraId="61CAD4D8" w14:textId="0CC8733D" w:rsidR="00D549A0" w:rsidRDefault="00A43EF4" w:rsidP="00A43EF4">
      <w:pPr>
        <w:pStyle w:val="Heading1"/>
        <w:rPr>
          <w:shd w:val="clear" w:color="auto" w:fill="FFFFFF"/>
        </w:rPr>
      </w:pPr>
      <w:bookmarkStart w:id="3" w:name="_Toc130768704"/>
      <w:r>
        <w:t xml:space="preserve">Discussion of the relevancy of these theories </w:t>
      </w:r>
      <w:r w:rsidR="00FC4555">
        <w:t xml:space="preserve">for a health and social </w:t>
      </w:r>
      <w:r>
        <w:t>care professional, by using three practical examples.</w:t>
      </w:r>
      <w:bookmarkEnd w:id="3"/>
    </w:p>
    <w:p w14:paraId="75385ED3" w14:textId="55D63ED4" w:rsidR="00A43EF4" w:rsidRPr="00A43EF4" w:rsidRDefault="00A43EF4" w:rsidP="00A43EF4">
      <w:pPr>
        <w:rPr>
          <w:shd w:val="clear" w:color="auto" w:fill="FFFFFF"/>
        </w:rPr>
      </w:pPr>
      <w:r w:rsidRPr="00A43EF4">
        <w:rPr>
          <w:shd w:val="clear" w:color="auto" w:fill="FFFFFF"/>
        </w:rPr>
        <w:t>Knowledge of theories pertaining to social cognition, health beliefs, and self-determination can be useful for people working in health and social care. These fiel</w:t>
      </w:r>
      <w:r w:rsidR="00653997">
        <w:rPr>
          <w:shd w:val="clear" w:color="auto" w:fill="FFFFFF"/>
        </w:rPr>
        <w:t>ds are intertwined in many ways (Winter and Munn-Giddings, 2018).</w:t>
      </w:r>
      <w:r w:rsidRPr="00A43EF4">
        <w:rPr>
          <w:shd w:val="clear" w:color="auto" w:fill="FFFFFF"/>
        </w:rPr>
        <w:t xml:space="preserve"> The following are three examples from the actual world that illustrate how these theories might be applied to the healthcare industry:</w:t>
      </w:r>
    </w:p>
    <w:p w14:paraId="26B14ED3" w14:textId="77777777" w:rsidR="00BB15B5" w:rsidRPr="00FC4555" w:rsidRDefault="00BB15B5" w:rsidP="00BB15B5">
      <w:pPr>
        <w:rPr>
          <w:b/>
        </w:rPr>
      </w:pPr>
      <w:r w:rsidRPr="00FC4555">
        <w:rPr>
          <w:b/>
        </w:rPr>
        <w:t>Theory of social cognition</w:t>
      </w:r>
    </w:p>
    <w:p w14:paraId="0E9AB187" w14:textId="2E2A454C" w:rsidR="00A43EF4" w:rsidRPr="00A43EF4" w:rsidRDefault="00A43EF4" w:rsidP="00A43EF4">
      <w:pPr>
        <w:rPr>
          <w:shd w:val="clear" w:color="auto" w:fill="FFFFFF"/>
        </w:rPr>
      </w:pPr>
      <w:r w:rsidRPr="00A43EF4">
        <w:rPr>
          <w:shd w:val="clear" w:color="auto" w:fill="FFFFFF"/>
        </w:rPr>
        <w:t>The study of how individuals take in, remember, and make use of information relating their social interactions is the focus of the theory of social cognition. A better understanding of social cognition can assist medical professionals in the development of patient-</w:t>
      </w:r>
      <w:proofErr w:type="spellStart"/>
      <w:r w:rsidRPr="00A43EF4">
        <w:rPr>
          <w:shd w:val="clear" w:color="auto" w:fill="FFFFFF"/>
        </w:rPr>
        <w:t>centered</w:t>
      </w:r>
      <w:proofErr w:type="spellEnd"/>
      <w:r w:rsidRPr="00A43EF4">
        <w:rPr>
          <w:shd w:val="clear" w:color="auto" w:fill="FFFFFF"/>
        </w:rPr>
        <w:t xml:space="preserve"> communication strategies that promote the adoption of healthier lifestyle choices.</w:t>
      </w:r>
    </w:p>
    <w:p w14:paraId="141FF3E8" w14:textId="44E43968" w:rsidR="00A43EF4" w:rsidRPr="00A43EF4" w:rsidRDefault="00BB15B5" w:rsidP="00A43EF4">
      <w:pPr>
        <w:rPr>
          <w:shd w:val="clear" w:color="auto" w:fill="FFFFFF"/>
        </w:rPr>
      </w:pPr>
      <w:r w:rsidRPr="00FC4555">
        <w:rPr>
          <w:b/>
          <w:shd w:val="clear" w:color="auto" w:fill="FFFFFF"/>
        </w:rPr>
        <w:t xml:space="preserve">Example: </w:t>
      </w:r>
      <w:r w:rsidR="00A43EF4" w:rsidRPr="00A43EF4">
        <w:rPr>
          <w:shd w:val="clear" w:color="auto" w:fill="FFFFFF"/>
        </w:rPr>
        <w:t>For the purpose of increasing medicine adherence, for instance, healthcare personnel can utilise the concepts of social cognition by recasting information in a manner that is meaningful to th</w:t>
      </w:r>
      <w:r w:rsidR="001730F5">
        <w:rPr>
          <w:shd w:val="clear" w:color="auto" w:fill="FFFFFF"/>
        </w:rPr>
        <w:t>e social context of the patient (Wise et al., 2012).</w:t>
      </w:r>
    </w:p>
    <w:p w14:paraId="28DCC175" w14:textId="56C6C0BC" w:rsidR="00A43EF4" w:rsidRPr="00FC4555" w:rsidRDefault="00BB15B5" w:rsidP="00BB15B5">
      <w:pPr>
        <w:rPr>
          <w:b/>
          <w:shd w:val="clear" w:color="auto" w:fill="FFFFFF"/>
        </w:rPr>
      </w:pPr>
      <w:r w:rsidRPr="00FC4555">
        <w:rPr>
          <w:b/>
        </w:rPr>
        <w:t>Health Belief Model</w:t>
      </w:r>
    </w:p>
    <w:p w14:paraId="37F6657E" w14:textId="0FAD2451" w:rsidR="00A43EF4" w:rsidRPr="00A43EF4" w:rsidRDefault="00A43EF4" w:rsidP="00A43EF4">
      <w:pPr>
        <w:rPr>
          <w:shd w:val="clear" w:color="auto" w:fill="FFFFFF"/>
        </w:rPr>
      </w:pPr>
      <w:r w:rsidRPr="00A43EF4">
        <w:rPr>
          <w:shd w:val="clear" w:color="auto" w:fill="FFFFFF"/>
        </w:rPr>
        <w:t>The Health Belief Model postulates that people's activities towards their health are influenced by their beliefs about the gravity of potential health risks and the significance of taking preventative steps. It would be beneficial for health and social care providers to get familiar with the Health Belief Model in order to improve their ability to persuade patients to take steps to impr</w:t>
      </w:r>
      <w:r w:rsidR="00653997">
        <w:rPr>
          <w:shd w:val="clear" w:color="auto" w:fill="FFFFFF"/>
        </w:rPr>
        <w:t>ove their health and well-being (Aitken et al., 2019). </w:t>
      </w:r>
    </w:p>
    <w:p w14:paraId="252A625E" w14:textId="193C5D4F" w:rsidR="00A43EF4" w:rsidRDefault="00BB15B5" w:rsidP="00A43EF4">
      <w:pPr>
        <w:rPr>
          <w:shd w:val="clear" w:color="auto" w:fill="FFFFFF"/>
        </w:rPr>
      </w:pPr>
      <w:r w:rsidRPr="00FC4555">
        <w:rPr>
          <w:b/>
          <w:shd w:val="clear" w:color="auto" w:fill="FFFFFF"/>
        </w:rPr>
        <w:t>Example:</w:t>
      </w:r>
      <w:r>
        <w:rPr>
          <w:shd w:val="clear" w:color="auto" w:fill="FFFFFF"/>
        </w:rPr>
        <w:t xml:space="preserve"> </w:t>
      </w:r>
      <w:r w:rsidR="00A43EF4" w:rsidRPr="00A43EF4">
        <w:rPr>
          <w:shd w:val="clear" w:color="auto" w:fill="FFFFFF"/>
        </w:rPr>
        <w:t xml:space="preserve">This </w:t>
      </w:r>
      <w:r>
        <w:rPr>
          <w:shd w:val="clear" w:color="auto" w:fill="FFFFFF"/>
        </w:rPr>
        <w:t>model</w:t>
      </w:r>
      <w:r w:rsidR="00A43EF4" w:rsidRPr="00A43EF4">
        <w:rPr>
          <w:shd w:val="clear" w:color="auto" w:fill="FFFFFF"/>
        </w:rPr>
        <w:t xml:space="preserve"> could be used by a medical professional to develop a treatment plan for a diabetic patient that emphasises the significance of maintaining consistent monitoring of blood sugar levels and the benefits of receiving effective treatment in </w:t>
      </w:r>
      <w:r w:rsidR="00653997">
        <w:rPr>
          <w:shd w:val="clear" w:color="auto" w:fill="FFFFFF"/>
        </w:rPr>
        <w:t>order to prevent complications (Goodheart, 2019).</w:t>
      </w:r>
    </w:p>
    <w:p w14:paraId="1925BB16" w14:textId="57870206" w:rsidR="00BB15B5" w:rsidRPr="00FC4555" w:rsidRDefault="00BB15B5" w:rsidP="00A43EF4">
      <w:pPr>
        <w:rPr>
          <w:b/>
          <w:shd w:val="clear" w:color="auto" w:fill="FFFFFF"/>
        </w:rPr>
      </w:pPr>
      <w:r w:rsidRPr="00FC4555">
        <w:rPr>
          <w:b/>
        </w:rPr>
        <w:t>Self-Determination Theory</w:t>
      </w:r>
    </w:p>
    <w:p w14:paraId="0986C70D" w14:textId="4CAFF1E5" w:rsidR="00A43EF4" w:rsidRPr="00A43EF4" w:rsidRDefault="00A43EF4" w:rsidP="00A43EF4">
      <w:pPr>
        <w:rPr>
          <w:shd w:val="clear" w:color="auto" w:fill="FFFFFF"/>
        </w:rPr>
      </w:pPr>
      <w:r w:rsidRPr="00A43EF4">
        <w:rPr>
          <w:shd w:val="clear" w:color="auto" w:fill="FFFFFF"/>
        </w:rPr>
        <w:t>People are said to be at their most motivated and fulfilled when they are able to meet the fundamental psychological demands that they have for relatedness, autonomy, and competence. This is in accordance with the self-determination hypothesis. As a practitioner in the field of health or social care, you can use self-determination theory to assist you in encouraging</w:t>
      </w:r>
      <w:r w:rsidR="001730F5">
        <w:rPr>
          <w:shd w:val="clear" w:color="auto" w:fill="FFFFFF"/>
        </w:rPr>
        <w:t xml:space="preserve"> patient choice and initiative (Wise et al., 2012).</w:t>
      </w:r>
    </w:p>
    <w:p w14:paraId="12D8EB68" w14:textId="055E48E5" w:rsidR="00A43EF4" w:rsidRPr="00A43EF4" w:rsidRDefault="00BB15B5" w:rsidP="00A43EF4">
      <w:pPr>
        <w:rPr>
          <w:shd w:val="clear" w:color="auto" w:fill="FFFFFF"/>
        </w:rPr>
      </w:pPr>
      <w:r w:rsidRPr="00FC4555">
        <w:rPr>
          <w:b/>
          <w:shd w:val="clear" w:color="auto" w:fill="FFFFFF"/>
        </w:rPr>
        <w:t>Example:</w:t>
      </w:r>
      <w:r>
        <w:rPr>
          <w:shd w:val="clear" w:color="auto" w:fill="FFFFFF"/>
        </w:rPr>
        <w:t xml:space="preserve"> </w:t>
      </w:r>
      <w:r w:rsidR="00A43EF4" w:rsidRPr="00A43EF4">
        <w:rPr>
          <w:shd w:val="clear" w:color="auto" w:fill="FFFFFF"/>
        </w:rPr>
        <w:t>One practical application of this theory would be to assist a patient suffering from chronic pain in developing a self-management strategy that takes into account the person's uniqu</w:t>
      </w:r>
      <w:r>
        <w:rPr>
          <w:shd w:val="clear" w:color="auto" w:fill="FFFFFF"/>
        </w:rPr>
        <w:t>e set of values and objectives.</w:t>
      </w:r>
    </w:p>
    <w:p w14:paraId="7E9AEF57" w14:textId="0E4DBB3E" w:rsidR="00D549A0" w:rsidRDefault="00A43EF4" w:rsidP="00974951">
      <w:pPr>
        <w:rPr>
          <w:shd w:val="clear" w:color="auto" w:fill="FFFFFF"/>
        </w:rPr>
      </w:pPr>
      <w:r w:rsidRPr="00A43EF4">
        <w:rPr>
          <w:shd w:val="clear" w:color="auto" w:fill="FFFFFF"/>
        </w:rPr>
        <w:t>In conclusion, the application of these three ideas to the context of the healthcare sector is beneficial for both patients and medical professionals. A familiarity with social cognition, health belief, and self-determination theories can prove beneficial for healthcare workers in a number of ways, including those pertaining to effective communication strategies, health education programmes, patient autono</w:t>
      </w:r>
      <w:r w:rsidR="00653997">
        <w:rPr>
          <w:shd w:val="clear" w:color="auto" w:fill="FFFFFF"/>
        </w:rPr>
        <w:t>my, and patient motivation (Goodheart, 2019).</w:t>
      </w:r>
    </w:p>
    <w:p w14:paraId="69F91B00" w14:textId="7D1B6591" w:rsidR="00D549A0" w:rsidRPr="00FC4555" w:rsidRDefault="00D549A0" w:rsidP="00FC4555">
      <w:pPr>
        <w:pStyle w:val="Heading1"/>
        <w:rPr>
          <w:shd w:val="clear" w:color="auto" w:fill="FFFFFF"/>
        </w:rPr>
      </w:pPr>
      <w:bookmarkStart w:id="4" w:name="_Toc130768705"/>
      <w:r w:rsidRPr="00FC4555">
        <w:rPr>
          <w:shd w:val="clear" w:color="auto" w:fill="FFFFFF"/>
        </w:rPr>
        <w:t>Conclusion</w:t>
      </w:r>
      <w:bookmarkEnd w:id="4"/>
    </w:p>
    <w:p w14:paraId="1F1454BA" w14:textId="209596B6" w:rsidR="00D549A0" w:rsidRDefault="00D549A0" w:rsidP="00974951">
      <w:pPr>
        <w:rPr>
          <w:shd w:val="clear" w:color="auto" w:fill="FFFFFF"/>
        </w:rPr>
      </w:pPr>
      <w:r w:rsidRPr="00D549A0">
        <w:rPr>
          <w:shd w:val="clear" w:color="auto" w:fill="FFFFFF"/>
        </w:rPr>
        <w:t>One way to conclude this is to state that psychologists bring something to the table when it comes to attempting to make sense of the actions that people take in settings that involve social services. Important information to have includes how people think, feel, and act in regard to one another and the world in general. To the extent that social care personnel are conversant with these components, they will be more equipped to provide appropriate assistance and guidance to the clients they serve.</w:t>
      </w:r>
    </w:p>
    <w:p w14:paraId="16C79094" w14:textId="77777777" w:rsidR="00991CA0" w:rsidRDefault="00991CA0" w:rsidP="00974951">
      <w:pPr>
        <w:rPr>
          <w:shd w:val="clear" w:color="auto" w:fill="FFFFFF"/>
        </w:rPr>
      </w:pPr>
    </w:p>
    <w:p w14:paraId="2CAB536F" w14:textId="77777777" w:rsidR="00991CA0" w:rsidRDefault="00991CA0" w:rsidP="00974951">
      <w:pPr>
        <w:rPr>
          <w:shd w:val="clear" w:color="auto" w:fill="FFFFFF"/>
        </w:rPr>
      </w:pPr>
    </w:p>
    <w:p w14:paraId="08DF166B" w14:textId="77777777" w:rsidR="00EC628F" w:rsidRDefault="00EC628F">
      <w:pPr>
        <w:spacing w:line="259" w:lineRule="auto"/>
        <w:jc w:val="left"/>
        <w:rPr>
          <w:rFonts w:eastAsiaTheme="majorEastAsia" w:cstheme="majorBidi"/>
          <w:b/>
          <w:sz w:val="32"/>
          <w:szCs w:val="32"/>
          <w:shd w:val="clear" w:color="auto" w:fill="FFFFFF"/>
        </w:rPr>
      </w:pPr>
      <w:r>
        <w:rPr>
          <w:shd w:val="clear" w:color="auto" w:fill="FFFFFF"/>
        </w:rPr>
        <w:br w:type="page"/>
      </w:r>
    </w:p>
    <w:p w14:paraId="5599C3EE" w14:textId="354A9266" w:rsidR="00FD7300" w:rsidRDefault="00FD7300" w:rsidP="00991CA0">
      <w:pPr>
        <w:pStyle w:val="Heading1"/>
        <w:rPr>
          <w:shd w:val="clear" w:color="auto" w:fill="FFFFFF"/>
        </w:rPr>
      </w:pPr>
      <w:bookmarkStart w:id="5" w:name="_Toc130768706"/>
      <w:r>
        <w:rPr>
          <w:shd w:val="clear" w:color="auto" w:fill="FFFFFF"/>
        </w:rPr>
        <w:t>References</w:t>
      </w:r>
      <w:bookmarkEnd w:id="5"/>
    </w:p>
    <w:p w14:paraId="345CFF29" w14:textId="77777777" w:rsidR="00C00922" w:rsidRPr="00C00922" w:rsidRDefault="00C00922" w:rsidP="00991CA0">
      <w:pPr>
        <w:rPr>
          <w:rFonts w:cs="Arial"/>
          <w:shd w:val="clear" w:color="auto" w:fill="FFFFFF"/>
        </w:rPr>
      </w:pPr>
      <w:r w:rsidRPr="00C00922">
        <w:rPr>
          <w:rFonts w:cs="Arial"/>
          <w:shd w:val="clear" w:color="auto" w:fill="FFFFFF"/>
        </w:rPr>
        <w:t xml:space="preserve">Aitken, G., Burman, E., </w:t>
      </w:r>
      <w:proofErr w:type="spellStart"/>
      <w:r w:rsidRPr="00C00922">
        <w:rPr>
          <w:rFonts w:cs="Arial"/>
          <w:shd w:val="clear" w:color="auto" w:fill="FFFFFF"/>
        </w:rPr>
        <w:t>Alldred</w:t>
      </w:r>
      <w:proofErr w:type="spellEnd"/>
      <w:r w:rsidRPr="00C00922">
        <w:rPr>
          <w:rFonts w:cs="Arial"/>
          <w:shd w:val="clear" w:color="auto" w:fill="FFFFFF"/>
        </w:rPr>
        <w:t xml:space="preserve">, P., </w:t>
      </w:r>
      <w:proofErr w:type="spellStart"/>
      <w:r w:rsidRPr="00C00922">
        <w:rPr>
          <w:rFonts w:cs="Arial"/>
          <w:shd w:val="clear" w:color="auto" w:fill="FFFFFF"/>
        </w:rPr>
        <w:t>Billington</w:t>
      </w:r>
      <w:proofErr w:type="spellEnd"/>
      <w:r w:rsidRPr="00C00922">
        <w:rPr>
          <w:rFonts w:cs="Arial"/>
          <w:shd w:val="clear" w:color="auto" w:fill="FFFFFF"/>
        </w:rPr>
        <w:t>, T., Allwood, R., Goldberg, B. and Lopez, G., (2019). </w:t>
      </w:r>
      <w:r w:rsidRPr="00C00922">
        <w:rPr>
          <w:rFonts w:cs="Arial"/>
          <w:i/>
          <w:iCs/>
          <w:shd w:val="clear" w:color="auto" w:fill="FFFFFF"/>
        </w:rPr>
        <w:t>Psychology discourse practice: From regulation to resistance</w:t>
      </w:r>
      <w:r w:rsidRPr="00C00922">
        <w:rPr>
          <w:rFonts w:cs="Arial"/>
          <w:shd w:val="clear" w:color="auto" w:fill="FFFFFF"/>
        </w:rPr>
        <w:t>. Taylor &amp; Francis.</w:t>
      </w:r>
    </w:p>
    <w:p w14:paraId="6EB5930C" w14:textId="77777777" w:rsidR="00C00922" w:rsidRPr="00C00922" w:rsidRDefault="00C00922" w:rsidP="009567A6">
      <w:pPr>
        <w:rPr>
          <w:rFonts w:cs="Arial"/>
          <w:color w:val="222222"/>
          <w:shd w:val="clear" w:color="auto" w:fill="FFFFFF"/>
        </w:rPr>
      </w:pPr>
      <w:r w:rsidRPr="00C00922">
        <w:rPr>
          <w:rFonts w:cs="Arial"/>
          <w:color w:val="222222"/>
          <w:shd w:val="clear" w:color="auto" w:fill="FFFFFF"/>
        </w:rPr>
        <w:t>Bandura, A., (1989). Human agency in social cognitive theory. </w:t>
      </w:r>
      <w:r w:rsidRPr="00C00922">
        <w:rPr>
          <w:rFonts w:cs="Arial"/>
          <w:i/>
          <w:iCs/>
          <w:color w:val="222222"/>
          <w:shd w:val="clear" w:color="auto" w:fill="FFFFFF"/>
        </w:rPr>
        <w:t>American psychologist</w:t>
      </w:r>
      <w:r w:rsidRPr="00C00922">
        <w:rPr>
          <w:rFonts w:cs="Arial"/>
          <w:color w:val="222222"/>
          <w:shd w:val="clear" w:color="auto" w:fill="FFFFFF"/>
        </w:rPr>
        <w:t>, </w:t>
      </w:r>
      <w:r w:rsidRPr="00C00922">
        <w:rPr>
          <w:rFonts w:cs="Arial"/>
          <w:i/>
          <w:iCs/>
          <w:color w:val="222222"/>
          <w:shd w:val="clear" w:color="auto" w:fill="FFFFFF"/>
        </w:rPr>
        <w:t>44</w:t>
      </w:r>
      <w:r w:rsidRPr="00C00922">
        <w:rPr>
          <w:rFonts w:cs="Arial"/>
          <w:color w:val="222222"/>
          <w:shd w:val="clear" w:color="auto" w:fill="FFFFFF"/>
        </w:rPr>
        <w:t>(9), p.1175.</w:t>
      </w:r>
    </w:p>
    <w:p w14:paraId="46D71451" w14:textId="77777777" w:rsidR="00C00922" w:rsidRPr="00C00922" w:rsidRDefault="00C00922" w:rsidP="009567A6">
      <w:pPr>
        <w:rPr>
          <w:rFonts w:cs="Arial"/>
          <w:shd w:val="clear" w:color="auto" w:fill="FFFFFF"/>
        </w:rPr>
      </w:pPr>
      <w:r w:rsidRPr="00C00922">
        <w:rPr>
          <w:rFonts w:cs="Arial"/>
          <w:shd w:val="clear" w:color="auto" w:fill="FFFFFF"/>
        </w:rPr>
        <w:t>Dent, R.J. and Cameron, R.S., (2018). Developing resilience in children who are in public care: The educational psychology perspective. </w:t>
      </w:r>
      <w:r w:rsidRPr="00C00922">
        <w:rPr>
          <w:rFonts w:cs="Arial"/>
          <w:i/>
          <w:iCs/>
          <w:shd w:val="clear" w:color="auto" w:fill="FFFFFF"/>
        </w:rPr>
        <w:t>Educational psychology in practice</w:t>
      </w:r>
      <w:r w:rsidRPr="00C00922">
        <w:rPr>
          <w:rFonts w:cs="Arial"/>
          <w:shd w:val="clear" w:color="auto" w:fill="FFFFFF"/>
        </w:rPr>
        <w:t>, </w:t>
      </w:r>
      <w:r w:rsidRPr="00C00922">
        <w:rPr>
          <w:rFonts w:cs="Arial"/>
          <w:i/>
          <w:iCs/>
          <w:shd w:val="clear" w:color="auto" w:fill="FFFFFF"/>
        </w:rPr>
        <w:t>19</w:t>
      </w:r>
      <w:r w:rsidRPr="00C00922">
        <w:rPr>
          <w:rFonts w:cs="Arial"/>
          <w:shd w:val="clear" w:color="auto" w:fill="FFFFFF"/>
        </w:rPr>
        <w:t>(1), pp.3-19.</w:t>
      </w:r>
    </w:p>
    <w:p w14:paraId="44334310" w14:textId="77777777" w:rsidR="00C00922" w:rsidRPr="00C00922" w:rsidRDefault="00C00922" w:rsidP="009567A6">
      <w:pPr>
        <w:rPr>
          <w:rFonts w:cs="Arial"/>
          <w:shd w:val="clear" w:color="auto" w:fill="FFFFFF"/>
        </w:rPr>
      </w:pPr>
      <w:proofErr w:type="spellStart"/>
      <w:r w:rsidRPr="00C00922">
        <w:rPr>
          <w:rFonts w:cs="Arial"/>
          <w:color w:val="222222"/>
          <w:shd w:val="clear" w:color="auto" w:fill="FFFFFF"/>
        </w:rPr>
        <w:t>Gagné</w:t>
      </w:r>
      <w:proofErr w:type="spellEnd"/>
      <w:r w:rsidRPr="00C00922">
        <w:rPr>
          <w:rFonts w:cs="Arial"/>
          <w:color w:val="222222"/>
          <w:shd w:val="clear" w:color="auto" w:fill="FFFFFF"/>
        </w:rPr>
        <w:t>, M. and Blanchard, C., (2007). Self-determination theory and well-being in athletes: It's the situation that counts.</w:t>
      </w:r>
    </w:p>
    <w:p w14:paraId="7DA09C45" w14:textId="77777777" w:rsidR="00C00922" w:rsidRPr="00C00922" w:rsidRDefault="00C00922" w:rsidP="009567A6">
      <w:pPr>
        <w:rPr>
          <w:rFonts w:cs="Arial"/>
          <w:shd w:val="clear" w:color="auto" w:fill="FFFFFF"/>
        </w:rPr>
      </w:pPr>
      <w:r w:rsidRPr="00C00922">
        <w:rPr>
          <w:rFonts w:cs="Arial"/>
          <w:shd w:val="clear" w:color="auto" w:fill="FFFFFF"/>
        </w:rPr>
        <w:t>Goodheart, C.D., (2019). Psychology practice: Design for tomorrow. </w:t>
      </w:r>
      <w:r w:rsidRPr="00C00922">
        <w:rPr>
          <w:rFonts w:cs="Arial"/>
          <w:i/>
          <w:iCs/>
          <w:shd w:val="clear" w:color="auto" w:fill="FFFFFF"/>
        </w:rPr>
        <w:t>American Psychologist</w:t>
      </w:r>
      <w:r w:rsidRPr="00C00922">
        <w:rPr>
          <w:rFonts w:cs="Arial"/>
          <w:shd w:val="clear" w:color="auto" w:fill="FFFFFF"/>
        </w:rPr>
        <w:t>, </w:t>
      </w:r>
      <w:r w:rsidRPr="00C00922">
        <w:rPr>
          <w:rFonts w:cs="Arial"/>
          <w:i/>
          <w:iCs/>
          <w:shd w:val="clear" w:color="auto" w:fill="FFFFFF"/>
        </w:rPr>
        <w:t>66</w:t>
      </w:r>
      <w:r w:rsidRPr="00C00922">
        <w:rPr>
          <w:rFonts w:cs="Arial"/>
          <w:shd w:val="clear" w:color="auto" w:fill="FFFFFF"/>
        </w:rPr>
        <w:t>(5), p.339.</w:t>
      </w:r>
    </w:p>
    <w:p w14:paraId="1597ECA5" w14:textId="77777777" w:rsidR="00C00922" w:rsidRPr="00C00922" w:rsidRDefault="00C00922" w:rsidP="009567A6">
      <w:pPr>
        <w:rPr>
          <w:rFonts w:cs="Arial"/>
          <w:color w:val="222222"/>
          <w:shd w:val="clear" w:color="auto" w:fill="FFFFFF"/>
        </w:rPr>
      </w:pPr>
      <w:proofErr w:type="spellStart"/>
      <w:r w:rsidRPr="00C00922">
        <w:rPr>
          <w:rFonts w:cs="Arial"/>
          <w:color w:val="222222"/>
          <w:shd w:val="clear" w:color="auto" w:fill="FFFFFF"/>
        </w:rPr>
        <w:t>Maiman</w:t>
      </w:r>
      <w:proofErr w:type="spellEnd"/>
      <w:r w:rsidRPr="00C00922">
        <w:rPr>
          <w:rFonts w:cs="Arial"/>
          <w:color w:val="222222"/>
          <w:shd w:val="clear" w:color="auto" w:fill="FFFFFF"/>
        </w:rPr>
        <w:t>, L.A. and Becker, M.H., (1974). The health belief model: Origins and correlates in psychological theory. </w:t>
      </w:r>
      <w:r w:rsidRPr="00C00922">
        <w:rPr>
          <w:rFonts w:cs="Arial"/>
          <w:i/>
          <w:iCs/>
          <w:color w:val="222222"/>
          <w:shd w:val="clear" w:color="auto" w:fill="FFFFFF"/>
        </w:rPr>
        <w:t>Health education monographs</w:t>
      </w:r>
      <w:r w:rsidRPr="00C00922">
        <w:rPr>
          <w:rFonts w:cs="Arial"/>
          <w:color w:val="222222"/>
          <w:shd w:val="clear" w:color="auto" w:fill="FFFFFF"/>
        </w:rPr>
        <w:t>, </w:t>
      </w:r>
      <w:r w:rsidRPr="00C00922">
        <w:rPr>
          <w:rFonts w:cs="Arial"/>
          <w:i/>
          <w:iCs/>
          <w:color w:val="222222"/>
          <w:shd w:val="clear" w:color="auto" w:fill="FFFFFF"/>
        </w:rPr>
        <w:t>2</w:t>
      </w:r>
      <w:r w:rsidRPr="00C00922">
        <w:rPr>
          <w:rFonts w:cs="Arial"/>
          <w:color w:val="222222"/>
          <w:shd w:val="clear" w:color="auto" w:fill="FFFFFF"/>
        </w:rPr>
        <w:t>(4), pp.336-353.</w:t>
      </w:r>
    </w:p>
    <w:p w14:paraId="005E26E0" w14:textId="77777777" w:rsidR="00C00922" w:rsidRPr="00C00922" w:rsidRDefault="00C00922" w:rsidP="009567A6">
      <w:pPr>
        <w:rPr>
          <w:rFonts w:cs="Arial"/>
          <w:shd w:val="clear" w:color="auto" w:fill="FFFFFF"/>
        </w:rPr>
      </w:pPr>
      <w:r w:rsidRPr="00C00922">
        <w:rPr>
          <w:rFonts w:cs="Arial"/>
          <w:shd w:val="clear" w:color="auto" w:fill="FFFFFF"/>
        </w:rPr>
        <w:t xml:space="preserve">Marks, D.F., Murray, M., Evans, B., </w:t>
      </w:r>
      <w:proofErr w:type="spellStart"/>
      <w:r w:rsidRPr="00C00922">
        <w:rPr>
          <w:rFonts w:cs="Arial"/>
          <w:shd w:val="clear" w:color="auto" w:fill="FFFFFF"/>
        </w:rPr>
        <w:t>Willig</w:t>
      </w:r>
      <w:proofErr w:type="spellEnd"/>
      <w:r w:rsidRPr="00C00922">
        <w:rPr>
          <w:rFonts w:cs="Arial"/>
          <w:shd w:val="clear" w:color="auto" w:fill="FFFFFF"/>
        </w:rPr>
        <w:t>, C., Sykes, C.M. and Woodall, C., (2019). </w:t>
      </w:r>
      <w:r w:rsidRPr="00C00922">
        <w:rPr>
          <w:rFonts w:cs="Arial"/>
          <w:i/>
          <w:iCs/>
          <w:shd w:val="clear" w:color="auto" w:fill="FFFFFF"/>
        </w:rPr>
        <w:t>Health psychology: Theory, research and practice</w:t>
      </w:r>
      <w:r w:rsidRPr="00C00922">
        <w:rPr>
          <w:rFonts w:cs="Arial"/>
          <w:shd w:val="clear" w:color="auto" w:fill="FFFFFF"/>
        </w:rPr>
        <w:t>. Sage.</w:t>
      </w:r>
    </w:p>
    <w:p w14:paraId="370603F1" w14:textId="77777777" w:rsidR="00C00922" w:rsidRPr="00C00922" w:rsidRDefault="00C00922" w:rsidP="009567A6">
      <w:pPr>
        <w:rPr>
          <w:rFonts w:cs="Arial"/>
          <w:shd w:val="clear" w:color="auto" w:fill="FFFFFF"/>
        </w:rPr>
      </w:pPr>
      <w:r w:rsidRPr="00C00922">
        <w:rPr>
          <w:rFonts w:cs="Arial"/>
          <w:shd w:val="clear" w:color="auto" w:fill="FFFFFF"/>
        </w:rPr>
        <w:t>Winter, R. and Munn-Giddings, C., (2018). </w:t>
      </w:r>
      <w:r w:rsidRPr="00C00922">
        <w:rPr>
          <w:rFonts w:cs="Arial"/>
          <w:i/>
          <w:iCs/>
          <w:shd w:val="clear" w:color="auto" w:fill="FFFFFF"/>
        </w:rPr>
        <w:t>A handbook for action research in health and social care</w:t>
      </w:r>
      <w:r w:rsidRPr="00C00922">
        <w:rPr>
          <w:rFonts w:cs="Arial"/>
          <w:shd w:val="clear" w:color="auto" w:fill="FFFFFF"/>
        </w:rPr>
        <w:t>. Psychology Press.</w:t>
      </w:r>
    </w:p>
    <w:p w14:paraId="703FFBD9" w14:textId="51E553B2" w:rsidR="009567A6" w:rsidRDefault="009567A6" w:rsidP="00991CA0">
      <w:pPr>
        <w:rPr>
          <w:shd w:val="clear" w:color="auto" w:fill="FFFFFF"/>
        </w:rPr>
      </w:pPr>
    </w:p>
    <w:p w14:paraId="65F66BAD" w14:textId="77777777" w:rsidR="00FD7300" w:rsidRDefault="00FD7300" w:rsidP="00991CA0">
      <w:pPr>
        <w:rPr>
          <w:shd w:val="clear" w:color="auto" w:fill="FFFFFF"/>
        </w:rPr>
      </w:pPr>
    </w:p>
    <w:sectPr w:rsidR="00FD7300" w:rsidSect="00CD26B9">
      <w:headerReference w:type="default" r:id="rId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F4C5A" w14:textId="77777777" w:rsidR="00A679BA" w:rsidRDefault="00A679BA" w:rsidP="004D0F63">
      <w:pPr>
        <w:spacing w:after="0" w:line="240" w:lineRule="auto"/>
      </w:pPr>
      <w:r>
        <w:separator/>
      </w:r>
    </w:p>
  </w:endnote>
  <w:endnote w:type="continuationSeparator" w:id="0">
    <w:p w14:paraId="5E505719" w14:textId="77777777" w:rsidR="00A679BA" w:rsidRDefault="00A679B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rlito">
    <w:altName w:val="Calibri"/>
    <w:charset w:val="00"/>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21AB3" w14:textId="77777777" w:rsidR="00A679BA" w:rsidRDefault="00A679BA" w:rsidP="004D0F63">
      <w:pPr>
        <w:spacing w:after="0" w:line="240" w:lineRule="auto"/>
      </w:pPr>
      <w:r>
        <w:separator/>
      </w:r>
    </w:p>
  </w:footnote>
  <w:footnote w:type="continuationSeparator" w:id="0">
    <w:p w14:paraId="2D47A10D" w14:textId="77777777" w:rsidR="00A679BA" w:rsidRDefault="00A679BA"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8491569"/>
      <w:docPartObj>
        <w:docPartGallery w:val="Page Numbers (Top of Page)"/>
        <w:docPartUnique/>
      </w:docPartObj>
    </w:sdtPr>
    <w:sdtEndPr>
      <w:rPr>
        <w:noProof/>
      </w:rPr>
    </w:sdtEndPr>
    <w:sdtContent>
      <w:p w14:paraId="6B1D173D" w14:textId="782A8649" w:rsidR="00EC628F" w:rsidRDefault="00EC628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CE35F29" w14:textId="77777777" w:rsidR="00EC628F" w:rsidRDefault="00EC62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C128C"/>
    <w:multiLevelType w:val="hybridMultilevel"/>
    <w:tmpl w:val="8D464A20"/>
    <w:lvl w:ilvl="0" w:tplc="FFB6707C">
      <w:start w:val="1"/>
      <w:numFmt w:val="bullet"/>
      <w:lvlText w:val="•"/>
      <w:lvlJc w:val="left"/>
      <w:pPr>
        <w:tabs>
          <w:tab w:val="num" w:pos="720"/>
        </w:tabs>
        <w:ind w:left="720" w:hanging="360"/>
      </w:pPr>
      <w:rPr>
        <w:rFonts w:ascii="Arial" w:hAnsi="Arial" w:hint="default"/>
      </w:rPr>
    </w:lvl>
    <w:lvl w:ilvl="1" w:tplc="E61EC1D8" w:tentative="1">
      <w:start w:val="1"/>
      <w:numFmt w:val="bullet"/>
      <w:lvlText w:val="•"/>
      <w:lvlJc w:val="left"/>
      <w:pPr>
        <w:tabs>
          <w:tab w:val="num" w:pos="1440"/>
        </w:tabs>
        <w:ind w:left="1440" w:hanging="360"/>
      </w:pPr>
      <w:rPr>
        <w:rFonts w:ascii="Arial" w:hAnsi="Arial" w:hint="default"/>
      </w:rPr>
    </w:lvl>
    <w:lvl w:ilvl="2" w:tplc="0C36DE90" w:tentative="1">
      <w:start w:val="1"/>
      <w:numFmt w:val="bullet"/>
      <w:lvlText w:val="•"/>
      <w:lvlJc w:val="left"/>
      <w:pPr>
        <w:tabs>
          <w:tab w:val="num" w:pos="2160"/>
        </w:tabs>
        <w:ind w:left="2160" w:hanging="360"/>
      </w:pPr>
      <w:rPr>
        <w:rFonts w:ascii="Arial" w:hAnsi="Arial" w:hint="default"/>
      </w:rPr>
    </w:lvl>
    <w:lvl w:ilvl="3" w:tplc="B77A6D06" w:tentative="1">
      <w:start w:val="1"/>
      <w:numFmt w:val="bullet"/>
      <w:lvlText w:val="•"/>
      <w:lvlJc w:val="left"/>
      <w:pPr>
        <w:tabs>
          <w:tab w:val="num" w:pos="2880"/>
        </w:tabs>
        <w:ind w:left="2880" w:hanging="360"/>
      </w:pPr>
      <w:rPr>
        <w:rFonts w:ascii="Arial" w:hAnsi="Arial" w:hint="default"/>
      </w:rPr>
    </w:lvl>
    <w:lvl w:ilvl="4" w:tplc="E402DDC2" w:tentative="1">
      <w:start w:val="1"/>
      <w:numFmt w:val="bullet"/>
      <w:lvlText w:val="•"/>
      <w:lvlJc w:val="left"/>
      <w:pPr>
        <w:tabs>
          <w:tab w:val="num" w:pos="3600"/>
        </w:tabs>
        <w:ind w:left="3600" w:hanging="360"/>
      </w:pPr>
      <w:rPr>
        <w:rFonts w:ascii="Arial" w:hAnsi="Arial" w:hint="default"/>
      </w:rPr>
    </w:lvl>
    <w:lvl w:ilvl="5" w:tplc="19B6AECC" w:tentative="1">
      <w:start w:val="1"/>
      <w:numFmt w:val="bullet"/>
      <w:lvlText w:val="•"/>
      <w:lvlJc w:val="left"/>
      <w:pPr>
        <w:tabs>
          <w:tab w:val="num" w:pos="4320"/>
        </w:tabs>
        <w:ind w:left="4320" w:hanging="360"/>
      </w:pPr>
      <w:rPr>
        <w:rFonts w:ascii="Arial" w:hAnsi="Arial" w:hint="default"/>
      </w:rPr>
    </w:lvl>
    <w:lvl w:ilvl="6" w:tplc="6FB27E00" w:tentative="1">
      <w:start w:val="1"/>
      <w:numFmt w:val="bullet"/>
      <w:lvlText w:val="•"/>
      <w:lvlJc w:val="left"/>
      <w:pPr>
        <w:tabs>
          <w:tab w:val="num" w:pos="5040"/>
        </w:tabs>
        <w:ind w:left="5040" w:hanging="360"/>
      </w:pPr>
      <w:rPr>
        <w:rFonts w:ascii="Arial" w:hAnsi="Arial" w:hint="default"/>
      </w:rPr>
    </w:lvl>
    <w:lvl w:ilvl="7" w:tplc="6034322E" w:tentative="1">
      <w:start w:val="1"/>
      <w:numFmt w:val="bullet"/>
      <w:lvlText w:val="•"/>
      <w:lvlJc w:val="left"/>
      <w:pPr>
        <w:tabs>
          <w:tab w:val="num" w:pos="5760"/>
        </w:tabs>
        <w:ind w:left="5760" w:hanging="360"/>
      </w:pPr>
      <w:rPr>
        <w:rFonts w:ascii="Arial" w:hAnsi="Arial" w:hint="default"/>
      </w:rPr>
    </w:lvl>
    <w:lvl w:ilvl="8" w:tplc="69E631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6708E3"/>
    <w:multiLevelType w:val="hybridMultilevel"/>
    <w:tmpl w:val="5D9ECB2A"/>
    <w:lvl w:ilvl="0" w:tplc="84565476">
      <w:start w:val="1"/>
      <w:numFmt w:val="bullet"/>
      <w:lvlText w:val="•"/>
      <w:lvlJc w:val="left"/>
      <w:pPr>
        <w:tabs>
          <w:tab w:val="num" w:pos="720"/>
        </w:tabs>
        <w:ind w:left="720" w:hanging="360"/>
      </w:pPr>
      <w:rPr>
        <w:rFonts w:ascii="Arial" w:hAnsi="Arial" w:hint="default"/>
      </w:rPr>
    </w:lvl>
    <w:lvl w:ilvl="1" w:tplc="9920DD3C" w:tentative="1">
      <w:start w:val="1"/>
      <w:numFmt w:val="bullet"/>
      <w:lvlText w:val="•"/>
      <w:lvlJc w:val="left"/>
      <w:pPr>
        <w:tabs>
          <w:tab w:val="num" w:pos="1440"/>
        </w:tabs>
        <w:ind w:left="1440" w:hanging="360"/>
      </w:pPr>
      <w:rPr>
        <w:rFonts w:ascii="Arial" w:hAnsi="Arial" w:hint="default"/>
      </w:rPr>
    </w:lvl>
    <w:lvl w:ilvl="2" w:tplc="DC24E61C" w:tentative="1">
      <w:start w:val="1"/>
      <w:numFmt w:val="bullet"/>
      <w:lvlText w:val="•"/>
      <w:lvlJc w:val="left"/>
      <w:pPr>
        <w:tabs>
          <w:tab w:val="num" w:pos="2160"/>
        </w:tabs>
        <w:ind w:left="2160" w:hanging="360"/>
      </w:pPr>
      <w:rPr>
        <w:rFonts w:ascii="Arial" w:hAnsi="Arial" w:hint="default"/>
      </w:rPr>
    </w:lvl>
    <w:lvl w:ilvl="3" w:tplc="85A0E66E" w:tentative="1">
      <w:start w:val="1"/>
      <w:numFmt w:val="bullet"/>
      <w:lvlText w:val="•"/>
      <w:lvlJc w:val="left"/>
      <w:pPr>
        <w:tabs>
          <w:tab w:val="num" w:pos="2880"/>
        </w:tabs>
        <w:ind w:left="2880" w:hanging="360"/>
      </w:pPr>
      <w:rPr>
        <w:rFonts w:ascii="Arial" w:hAnsi="Arial" w:hint="default"/>
      </w:rPr>
    </w:lvl>
    <w:lvl w:ilvl="4" w:tplc="907EA230" w:tentative="1">
      <w:start w:val="1"/>
      <w:numFmt w:val="bullet"/>
      <w:lvlText w:val="•"/>
      <w:lvlJc w:val="left"/>
      <w:pPr>
        <w:tabs>
          <w:tab w:val="num" w:pos="3600"/>
        </w:tabs>
        <w:ind w:left="3600" w:hanging="360"/>
      </w:pPr>
      <w:rPr>
        <w:rFonts w:ascii="Arial" w:hAnsi="Arial" w:hint="default"/>
      </w:rPr>
    </w:lvl>
    <w:lvl w:ilvl="5" w:tplc="A5A2E37C" w:tentative="1">
      <w:start w:val="1"/>
      <w:numFmt w:val="bullet"/>
      <w:lvlText w:val="•"/>
      <w:lvlJc w:val="left"/>
      <w:pPr>
        <w:tabs>
          <w:tab w:val="num" w:pos="4320"/>
        </w:tabs>
        <w:ind w:left="4320" w:hanging="360"/>
      </w:pPr>
      <w:rPr>
        <w:rFonts w:ascii="Arial" w:hAnsi="Arial" w:hint="default"/>
      </w:rPr>
    </w:lvl>
    <w:lvl w:ilvl="6" w:tplc="99BEB8A2" w:tentative="1">
      <w:start w:val="1"/>
      <w:numFmt w:val="bullet"/>
      <w:lvlText w:val="•"/>
      <w:lvlJc w:val="left"/>
      <w:pPr>
        <w:tabs>
          <w:tab w:val="num" w:pos="5040"/>
        </w:tabs>
        <w:ind w:left="5040" w:hanging="360"/>
      </w:pPr>
      <w:rPr>
        <w:rFonts w:ascii="Arial" w:hAnsi="Arial" w:hint="default"/>
      </w:rPr>
    </w:lvl>
    <w:lvl w:ilvl="7" w:tplc="C896DE56" w:tentative="1">
      <w:start w:val="1"/>
      <w:numFmt w:val="bullet"/>
      <w:lvlText w:val="•"/>
      <w:lvlJc w:val="left"/>
      <w:pPr>
        <w:tabs>
          <w:tab w:val="num" w:pos="5760"/>
        </w:tabs>
        <w:ind w:left="5760" w:hanging="360"/>
      </w:pPr>
      <w:rPr>
        <w:rFonts w:ascii="Arial" w:hAnsi="Arial" w:hint="default"/>
      </w:rPr>
    </w:lvl>
    <w:lvl w:ilvl="8" w:tplc="20F81B44" w:tentative="1">
      <w:start w:val="1"/>
      <w:numFmt w:val="bullet"/>
      <w:lvlText w:val="•"/>
      <w:lvlJc w:val="left"/>
      <w:pPr>
        <w:tabs>
          <w:tab w:val="num" w:pos="6480"/>
        </w:tabs>
        <w:ind w:left="6480" w:hanging="360"/>
      </w:pPr>
      <w:rPr>
        <w:rFonts w:ascii="Arial" w:hAnsi="Arial" w:hint="default"/>
      </w:rPr>
    </w:lvl>
  </w:abstractNum>
  <w:num w:numId="1" w16cid:durableId="74012682">
    <w:abstractNumId w:val="1"/>
  </w:num>
  <w:num w:numId="2" w16cid:durableId="1513227988">
    <w:abstractNumId w:val="2"/>
  </w:num>
  <w:num w:numId="3" w16cid:durableId="1399867395">
    <w:abstractNumId w:val="0"/>
  </w:num>
  <w:num w:numId="4" w16cid:durableId="13051612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2BA4"/>
    <w:rsid w:val="00086222"/>
    <w:rsid w:val="000C33C8"/>
    <w:rsid w:val="00137075"/>
    <w:rsid w:val="001631D4"/>
    <w:rsid w:val="001730F5"/>
    <w:rsid w:val="001749FD"/>
    <w:rsid w:val="001C54FB"/>
    <w:rsid w:val="00250F6E"/>
    <w:rsid w:val="002C456D"/>
    <w:rsid w:val="002F5662"/>
    <w:rsid w:val="003022DB"/>
    <w:rsid w:val="00330917"/>
    <w:rsid w:val="0034667C"/>
    <w:rsid w:val="00357851"/>
    <w:rsid w:val="003E3793"/>
    <w:rsid w:val="0042004C"/>
    <w:rsid w:val="00433181"/>
    <w:rsid w:val="0045538B"/>
    <w:rsid w:val="004B1094"/>
    <w:rsid w:val="004B617E"/>
    <w:rsid w:val="004D0F63"/>
    <w:rsid w:val="00532A38"/>
    <w:rsid w:val="00544F0E"/>
    <w:rsid w:val="00592A7E"/>
    <w:rsid w:val="005B4904"/>
    <w:rsid w:val="005C2744"/>
    <w:rsid w:val="005F0025"/>
    <w:rsid w:val="005F689A"/>
    <w:rsid w:val="00653997"/>
    <w:rsid w:val="006656F3"/>
    <w:rsid w:val="006914E5"/>
    <w:rsid w:val="006B6681"/>
    <w:rsid w:val="006D6958"/>
    <w:rsid w:val="006F1E64"/>
    <w:rsid w:val="00705966"/>
    <w:rsid w:val="00712C07"/>
    <w:rsid w:val="0071688A"/>
    <w:rsid w:val="00774907"/>
    <w:rsid w:val="00790B00"/>
    <w:rsid w:val="00814891"/>
    <w:rsid w:val="0086599B"/>
    <w:rsid w:val="00916B75"/>
    <w:rsid w:val="009567A6"/>
    <w:rsid w:val="00956F99"/>
    <w:rsid w:val="00974951"/>
    <w:rsid w:val="00977466"/>
    <w:rsid w:val="009851B9"/>
    <w:rsid w:val="0099156A"/>
    <w:rsid w:val="00991CA0"/>
    <w:rsid w:val="009D31CA"/>
    <w:rsid w:val="00A06DD4"/>
    <w:rsid w:val="00A43EF4"/>
    <w:rsid w:val="00A679BA"/>
    <w:rsid w:val="00AF7043"/>
    <w:rsid w:val="00B0725C"/>
    <w:rsid w:val="00B31D4D"/>
    <w:rsid w:val="00BB15B5"/>
    <w:rsid w:val="00C00922"/>
    <w:rsid w:val="00CA4909"/>
    <w:rsid w:val="00CD26B9"/>
    <w:rsid w:val="00CF66A4"/>
    <w:rsid w:val="00D1006B"/>
    <w:rsid w:val="00D50235"/>
    <w:rsid w:val="00D549A0"/>
    <w:rsid w:val="00D879FA"/>
    <w:rsid w:val="00DC1EC9"/>
    <w:rsid w:val="00DF4DE0"/>
    <w:rsid w:val="00E90A87"/>
    <w:rsid w:val="00EA200F"/>
    <w:rsid w:val="00EC628F"/>
    <w:rsid w:val="00ED47A5"/>
    <w:rsid w:val="00F03E94"/>
    <w:rsid w:val="00FC3258"/>
    <w:rsid w:val="00FC4555"/>
    <w:rsid w:val="00FD730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28F"/>
    <w:pPr>
      <w:spacing w:line="360" w:lineRule="auto"/>
      <w:jc w:val="both"/>
    </w:pPr>
    <w:rPr>
      <w:rFonts w:ascii="Arial" w:hAnsi="Arial"/>
      <w:sz w:val="22"/>
    </w:rPr>
  </w:style>
  <w:style w:type="paragraph" w:styleId="Heading1">
    <w:name w:val="heading 1"/>
    <w:basedOn w:val="Normal"/>
    <w:next w:val="Normal"/>
    <w:link w:val="Heading1Char"/>
    <w:uiPriority w:val="9"/>
    <w:qFormat/>
    <w:rsid w:val="00AF704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F704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AF7043"/>
    <w:rPr>
      <w:rFonts w:eastAsiaTheme="majorEastAsia" w:cstheme="majorBidi"/>
      <w:b/>
      <w:sz w:val="32"/>
      <w:szCs w:val="32"/>
    </w:rPr>
  </w:style>
  <w:style w:type="character" w:customStyle="1" w:styleId="Heading2Char">
    <w:name w:val="Heading 2 Char"/>
    <w:basedOn w:val="DefaultParagraphFont"/>
    <w:link w:val="Heading2"/>
    <w:uiPriority w:val="9"/>
    <w:rsid w:val="00AF7043"/>
    <w:rPr>
      <w:rFonts w:eastAsiaTheme="majorEastAsia" w:cstheme="majorBidi"/>
      <w:b/>
      <w:sz w:val="28"/>
      <w:szCs w:val="26"/>
    </w:rPr>
  </w:style>
  <w:style w:type="paragraph" w:styleId="NormalWeb">
    <w:name w:val="Normal (Web)"/>
    <w:basedOn w:val="Normal"/>
    <w:uiPriority w:val="99"/>
    <w:semiHidden/>
    <w:unhideWhenUsed/>
    <w:rsid w:val="00086222"/>
    <w:pPr>
      <w:spacing w:before="100" w:beforeAutospacing="1" w:after="100" w:afterAutospacing="1" w:line="240" w:lineRule="auto"/>
      <w:jc w:val="left"/>
    </w:pPr>
    <w:rPr>
      <w:rFonts w:eastAsia="Times New Roman" w:cs="Times New Roman"/>
      <w:color w:val="auto"/>
      <w:szCs w:val="24"/>
      <w:lang w:val="en-US"/>
    </w:rPr>
  </w:style>
  <w:style w:type="paragraph" w:styleId="TOCHeading">
    <w:name w:val="TOC Heading"/>
    <w:basedOn w:val="Heading1"/>
    <w:next w:val="Normal"/>
    <w:uiPriority w:val="39"/>
    <w:unhideWhenUsed/>
    <w:qFormat/>
    <w:rsid w:val="000C33C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C33C8"/>
    <w:pPr>
      <w:spacing w:after="100"/>
    </w:pPr>
  </w:style>
  <w:style w:type="paragraph" w:styleId="TOC2">
    <w:name w:val="toc 2"/>
    <w:basedOn w:val="Normal"/>
    <w:next w:val="Normal"/>
    <w:autoRedefine/>
    <w:uiPriority w:val="39"/>
    <w:unhideWhenUsed/>
    <w:rsid w:val="000C33C8"/>
    <w:pPr>
      <w:spacing w:after="100"/>
      <w:ind w:left="240"/>
    </w:pPr>
  </w:style>
  <w:style w:type="character" w:styleId="Hyperlink">
    <w:name w:val="Hyperlink"/>
    <w:basedOn w:val="DefaultParagraphFont"/>
    <w:uiPriority w:val="99"/>
    <w:unhideWhenUsed/>
    <w:rsid w:val="000C33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26280">
      <w:bodyDiv w:val="1"/>
      <w:marLeft w:val="0"/>
      <w:marRight w:val="0"/>
      <w:marTop w:val="0"/>
      <w:marBottom w:val="0"/>
      <w:divBdr>
        <w:top w:val="none" w:sz="0" w:space="0" w:color="auto"/>
        <w:left w:val="none" w:sz="0" w:space="0" w:color="auto"/>
        <w:bottom w:val="none" w:sz="0" w:space="0" w:color="auto"/>
        <w:right w:val="none" w:sz="0" w:space="0" w:color="auto"/>
      </w:divBdr>
    </w:div>
    <w:div w:id="93986765">
      <w:bodyDiv w:val="1"/>
      <w:marLeft w:val="0"/>
      <w:marRight w:val="0"/>
      <w:marTop w:val="0"/>
      <w:marBottom w:val="0"/>
      <w:divBdr>
        <w:top w:val="none" w:sz="0" w:space="0" w:color="auto"/>
        <w:left w:val="none" w:sz="0" w:space="0" w:color="auto"/>
        <w:bottom w:val="none" w:sz="0" w:space="0" w:color="auto"/>
        <w:right w:val="none" w:sz="0" w:space="0" w:color="auto"/>
      </w:divBdr>
    </w:div>
    <w:div w:id="117722937">
      <w:bodyDiv w:val="1"/>
      <w:marLeft w:val="0"/>
      <w:marRight w:val="0"/>
      <w:marTop w:val="0"/>
      <w:marBottom w:val="0"/>
      <w:divBdr>
        <w:top w:val="none" w:sz="0" w:space="0" w:color="auto"/>
        <w:left w:val="none" w:sz="0" w:space="0" w:color="auto"/>
        <w:bottom w:val="none" w:sz="0" w:space="0" w:color="auto"/>
        <w:right w:val="none" w:sz="0" w:space="0" w:color="auto"/>
      </w:divBdr>
    </w:div>
    <w:div w:id="180710220">
      <w:bodyDiv w:val="1"/>
      <w:marLeft w:val="0"/>
      <w:marRight w:val="0"/>
      <w:marTop w:val="0"/>
      <w:marBottom w:val="0"/>
      <w:divBdr>
        <w:top w:val="none" w:sz="0" w:space="0" w:color="auto"/>
        <w:left w:val="none" w:sz="0" w:space="0" w:color="auto"/>
        <w:bottom w:val="none" w:sz="0" w:space="0" w:color="auto"/>
        <w:right w:val="none" w:sz="0" w:space="0" w:color="auto"/>
      </w:divBdr>
    </w:div>
    <w:div w:id="400640383">
      <w:bodyDiv w:val="1"/>
      <w:marLeft w:val="0"/>
      <w:marRight w:val="0"/>
      <w:marTop w:val="0"/>
      <w:marBottom w:val="0"/>
      <w:divBdr>
        <w:top w:val="none" w:sz="0" w:space="0" w:color="auto"/>
        <w:left w:val="none" w:sz="0" w:space="0" w:color="auto"/>
        <w:bottom w:val="none" w:sz="0" w:space="0" w:color="auto"/>
        <w:right w:val="none" w:sz="0" w:space="0" w:color="auto"/>
      </w:divBdr>
    </w:div>
    <w:div w:id="401026388">
      <w:bodyDiv w:val="1"/>
      <w:marLeft w:val="0"/>
      <w:marRight w:val="0"/>
      <w:marTop w:val="0"/>
      <w:marBottom w:val="0"/>
      <w:divBdr>
        <w:top w:val="none" w:sz="0" w:space="0" w:color="auto"/>
        <w:left w:val="none" w:sz="0" w:space="0" w:color="auto"/>
        <w:bottom w:val="none" w:sz="0" w:space="0" w:color="auto"/>
        <w:right w:val="none" w:sz="0" w:space="0" w:color="auto"/>
      </w:divBdr>
    </w:div>
    <w:div w:id="459611997">
      <w:bodyDiv w:val="1"/>
      <w:marLeft w:val="0"/>
      <w:marRight w:val="0"/>
      <w:marTop w:val="0"/>
      <w:marBottom w:val="0"/>
      <w:divBdr>
        <w:top w:val="none" w:sz="0" w:space="0" w:color="auto"/>
        <w:left w:val="none" w:sz="0" w:space="0" w:color="auto"/>
        <w:bottom w:val="none" w:sz="0" w:space="0" w:color="auto"/>
        <w:right w:val="none" w:sz="0" w:space="0" w:color="auto"/>
      </w:divBdr>
    </w:div>
    <w:div w:id="533856922">
      <w:bodyDiv w:val="1"/>
      <w:marLeft w:val="0"/>
      <w:marRight w:val="0"/>
      <w:marTop w:val="0"/>
      <w:marBottom w:val="0"/>
      <w:divBdr>
        <w:top w:val="none" w:sz="0" w:space="0" w:color="auto"/>
        <w:left w:val="none" w:sz="0" w:space="0" w:color="auto"/>
        <w:bottom w:val="none" w:sz="0" w:space="0" w:color="auto"/>
        <w:right w:val="none" w:sz="0" w:space="0" w:color="auto"/>
      </w:divBdr>
    </w:div>
    <w:div w:id="643311389">
      <w:bodyDiv w:val="1"/>
      <w:marLeft w:val="0"/>
      <w:marRight w:val="0"/>
      <w:marTop w:val="0"/>
      <w:marBottom w:val="0"/>
      <w:divBdr>
        <w:top w:val="none" w:sz="0" w:space="0" w:color="auto"/>
        <w:left w:val="none" w:sz="0" w:space="0" w:color="auto"/>
        <w:bottom w:val="none" w:sz="0" w:space="0" w:color="auto"/>
        <w:right w:val="none" w:sz="0" w:space="0" w:color="auto"/>
      </w:divBdr>
    </w:div>
    <w:div w:id="745342839">
      <w:bodyDiv w:val="1"/>
      <w:marLeft w:val="0"/>
      <w:marRight w:val="0"/>
      <w:marTop w:val="0"/>
      <w:marBottom w:val="0"/>
      <w:divBdr>
        <w:top w:val="none" w:sz="0" w:space="0" w:color="auto"/>
        <w:left w:val="none" w:sz="0" w:space="0" w:color="auto"/>
        <w:bottom w:val="none" w:sz="0" w:space="0" w:color="auto"/>
        <w:right w:val="none" w:sz="0" w:space="0" w:color="auto"/>
      </w:divBdr>
    </w:div>
    <w:div w:id="815027179">
      <w:bodyDiv w:val="1"/>
      <w:marLeft w:val="0"/>
      <w:marRight w:val="0"/>
      <w:marTop w:val="0"/>
      <w:marBottom w:val="0"/>
      <w:divBdr>
        <w:top w:val="none" w:sz="0" w:space="0" w:color="auto"/>
        <w:left w:val="none" w:sz="0" w:space="0" w:color="auto"/>
        <w:bottom w:val="none" w:sz="0" w:space="0" w:color="auto"/>
        <w:right w:val="none" w:sz="0" w:space="0" w:color="auto"/>
      </w:divBdr>
    </w:div>
    <w:div w:id="940144055">
      <w:bodyDiv w:val="1"/>
      <w:marLeft w:val="0"/>
      <w:marRight w:val="0"/>
      <w:marTop w:val="0"/>
      <w:marBottom w:val="0"/>
      <w:divBdr>
        <w:top w:val="none" w:sz="0" w:space="0" w:color="auto"/>
        <w:left w:val="none" w:sz="0" w:space="0" w:color="auto"/>
        <w:bottom w:val="none" w:sz="0" w:space="0" w:color="auto"/>
        <w:right w:val="none" w:sz="0" w:space="0" w:color="auto"/>
      </w:divBdr>
    </w:div>
    <w:div w:id="1208757708">
      <w:bodyDiv w:val="1"/>
      <w:marLeft w:val="0"/>
      <w:marRight w:val="0"/>
      <w:marTop w:val="0"/>
      <w:marBottom w:val="0"/>
      <w:divBdr>
        <w:top w:val="none" w:sz="0" w:space="0" w:color="auto"/>
        <w:left w:val="none" w:sz="0" w:space="0" w:color="auto"/>
        <w:bottom w:val="none" w:sz="0" w:space="0" w:color="auto"/>
        <w:right w:val="none" w:sz="0" w:space="0" w:color="auto"/>
      </w:divBdr>
    </w:div>
    <w:div w:id="1220743750">
      <w:bodyDiv w:val="1"/>
      <w:marLeft w:val="0"/>
      <w:marRight w:val="0"/>
      <w:marTop w:val="0"/>
      <w:marBottom w:val="0"/>
      <w:divBdr>
        <w:top w:val="none" w:sz="0" w:space="0" w:color="auto"/>
        <w:left w:val="none" w:sz="0" w:space="0" w:color="auto"/>
        <w:bottom w:val="none" w:sz="0" w:space="0" w:color="auto"/>
        <w:right w:val="none" w:sz="0" w:space="0" w:color="auto"/>
      </w:divBdr>
    </w:div>
    <w:div w:id="1230337888">
      <w:bodyDiv w:val="1"/>
      <w:marLeft w:val="0"/>
      <w:marRight w:val="0"/>
      <w:marTop w:val="0"/>
      <w:marBottom w:val="0"/>
      <w:divBdr>
        <w:top w:val="none" w:sz="0" w:space="0" w:color="auto"/>
        <w:left w:val="none" w:sz="0" w:space="0" w:color="auto"/>
        <w:bottom w:val="none" w:sz="0" w:space="0" w:color="auto"/>
        <w:right w:val="none" w:sz="0" w:space="0" w:color="auto"/>
      </w:divBdr>
    </w:div>
    <w:div w:id="1236092183">
      <w:bodyDiv w:val="1"/>
      <w:marLeft w:val="0"/>
      <w:marRight w:val="0"/>
      <w:marTop w:val="0"/>
      <w:marBottom w:val="0"/>
      <w:divBdr>
        <w:top w:val="none" w:sz="0" w:space="0" w:color="auto"/>
        <w:left w:val="none" w:sz="0" w:space="0" w:color="auto"/>
        <w:bottom w:val="none" w:sz="0" w:space="0" w:color="auto"/>
        <w:right w:val="none" w:sz="0" w:space="0" w:color="auto"/>
      </w:divBdr>
    </w:div>
    <w:div w:id="1309555963">
      <w:bodyDiv w:val="1"/>
      <w:marLeft w:val="0"/>
      <w:marRight w:val="0"/>
      <w:marTop w:val="0"/>
      <w:marBottom w:val="0"/>
      <w:divBdr>
        <w:top w:val="none" w:sz="0" w:space="0" w:color="auto"/>
        <w:left w:val="none" w:sz="0" w:space="0" w:color="auto"/>
        <w:bottom w:val="none" w:sz="0" w:space="0" w:color="auto"/>
        <w:right w:val="none" w:sz="0" w:space="0" w:color="auto"/>
      </w:divBdr>
    </w:div>
    <w:div w:id="1319960601">
      <w:bodyDiv w:val="1"/>
      <w:marLeft w:val="0"/>
      <w:marRight w:val="0"/>
      <w:marTop w:val="0"/>
      <w:marBottom w:val="0"/>
      <w:divBdr>
        <w:top w:val="none" w:sz="0" w:space="0" w:color="auto"/>
        <w:left w:val="none" w:sz="0" w:space="0" w:color="auto"/>
        <w:bottom w:val="none" w:sz="0" w:space="0" w:color="auto"/>
        <w:right w:val="none" w:sz="0" w:space="0" w:color="auto"/>
      </w:divBdr>
    </w:div>
    <w:div w:id="1338995514">
      <w:bodyDiv w:val="1"/>
      <w:marLeft w:val="0"/>
      <w:marRight w:val="0"/>
      <w:marTop w:val="0"/>
      <w:marBottom w:val="0"/>
      <w:divBdr>
        <w:top w:val="none" w:sz="0" w:space="0" w:color="auto"/>
        <w:left w:val="none" w:sz="0" w:space="0" w:color="auto"/>
        <w:bottom w:val="none" w:sz="0" w:space="0" w:color="auto"/>
        <w:right w:val="none" w:sz="0" w:space="0" w:color="auto"/>
      </w:divBdr>
    </w:div>
    <w:div w:id="1339233681">
      <w:bodyDiv w:val="1"/>
      <w:marLeft w:val="0"/>
      <w:marRight w:val="0"/>
      <w:marTop w:val="0"/>
      <w:marBottom w:val="0"/>
      <w:divBdr>
        <w:top w:val="none" w:sz="0" w:space="0" w:color="auto"/>
        <w:left w:val="none" w:sz="0" w:space="0" w:color="auto"/>
        <w:bottom w:val="none" w:sz="0" w:space="0" w:color="auto"/>
        <w:right w:val="none" w:sz="0" w:space="0" w:color="auto"/>
      </w:divBdr>
    </w:div>
    <w:div w:id="1460224210">
      <w:bodyDiv w:val="1"/>
      <w:marLeft w:val="0"/>
      <w:marRight w:val="0"/>
      <w:marTop w:val="0"/>
      <w:marBottom w:val="0"/>
      <w:divBdr>
        <w:top w:val="none" w:sz="0" w:space="0" w:color="auto"/>
        <w:left w:val="none" w:sz="0" w:space="0" w:color="auto"/>
        <w:bottom w:val="none" w:sz="0" w:space="0" w:color="auto"/>
        <w:right w:val="none" w:sz="0" w:space="0" w:color="auto"/>
      </w:divBdr>
      <w:divsChild>
        <w:div w:id="480461292">
          <w:marLeft w:val="274"/>
          <w:marRight w:val="0"/>
          <w:marTop w:val="0"/>
          <w:marBottom w:val="0"/>
          <w:divBdr>
            <w:top w:val="none" w:sz="0" w:space="0" w:color="auto"/>
            <w:left w:val="none" w:sz="0" w:space="0" w:color="auto"/>
            <w:bottom w:val="none" w:sz="0" w:space="0" w:color="auto"/>
            <w:right w:val="none" w:sz="0" w:space="0" w:color="auto"/>
          </w:divBdr>
        </w:div>
        <w:div w:id="867572750">
          <w:marLeft w:val="274"/>
          <w:marRight w:val="0"/>
          <w:marTop w:val="0"/>
          <w:marBottom w:val="0"/>
          <w:divBdr>
            <w:top w:val="none" w:sz="0" w:space="0" w:color="auto"/>
            <w:left w:val="none" w:sz="0" w:space="0" w:color="auto"/>
            <w:bottom w:val="none" w:sz="0" w:space="0" w:color="auto"/>
            <w:right w:val="none" w:sz="0" w:space="0" w:color="auto"/>
          </w:divBdr>
        </w:div>
        <w:div w:id="1977177185">
          <w:marLeft w:val="274"/>
          <w:marRight w:val="0"/>
          <w:marTop w:val="0"/>
          <w:marBottom w:val="0"/>
          <w:divBdr>
            <w:top w:val="none" w:sz="0" w:space="0" w:color="auto"/>
            <w:left w:val="none" w:sz="0" w:space="0" w:color="auto"/>
            <w:bottom w:val="none" w:sz="0" w:space="0" w:color="auto"/>
            <w:right w:val="none" w:sz="0" w:space="0" w:color="auto"/>
          </w:divBdr>
        </w:div>
        <w:div w:id="87779047">
          <w:marLeft w:val="274"/>
          <w:marRight w:val="0"/>
          <w:marTop w:val="0"/>
          <w:marBottom w:val="0"/>
          <w:divBdr>
            <w:top w:val="none" w:sz="0" w:space="0" w:color="auto"/>
            <w:left w:val="none" w:sz="0" w:space="0" w:color="auto"/>
            <w:bottom w:val="none" w:sz="0" w:space="0" w:color="auto"/>
            <w:right w:val="none" w:sz="0" w:space="0" w:color="auto"/>
          </w:divBdr>
        </w:div>
      </w:divsChild>
    </w:div>
    <w:div w:id="1587156708">
      <w:bodyDiv w:val="1"/>
      <w:marLeft w:val="0"/>
      <w:marRight w:val="0"/>
      <w:marTop w:val="0"/>
      <w:marBottom w:val="0"/>
      <w:divBdr>
        <w:top w:val="none" w:sz="0" w:space="0" w:color="auto"/>
        <w:left w:val="none" w:sz="0" w:space="0" w:color="auto"/>
        <w:bottom w:val="none" w:sz="0" w:space="0" w:color="auto"/>
        <w:right w:val="none" w:sz="0" w:space="0" w:color="auto"/>
      </w:divBdr>
    </w:div>
    <w:div w:id="1867912932">
      <w:bodyDiv w:val="1"/>
      <w:marLeft w:val="0"/>
      <w:marRight w:val="0"/>
      <w:marTop w:val="0"/>
      <w:marBottom w:val="0"/>
      <w:divBdr>
        <w:top w:val="none" w:sz="0" w:space="0" w:color="auto"/>
        <w:left w:val="none" w:sz="0" w:space="0" w:color="auto"/>
        <w:bottom w:val="none" w:sz="0" w:space="0" w:color="auto"/>
        <w:right w:val="none" w:sz="0" w:space="0" w:color="auto"/>
      </w:divBdr>
    </w:div>
    <w:div w:id="1934043654">
      <w:bodyDiv w:val="1"/>
      <w:marLeft w:val="0"/>
      <w:marRight w:val="0"/>
      <w:marTop w:val="0"/>
      <w:marBottom w:val="0"/>
      <w:divBdr>
        <w:top w:val="none" w:sz="0" w:space="0" w:color="auto"/>
        <w:left w:val="none" w:sz="0" w:space="0" w:color="auto"/>
        <w:bottom w:val="none" w:sz="0" w:space="0" w:color="auto"/>
        <w:right w:val="none" w:sz="0" w:space="0" w:color="auto"/>
      </w:divBdr>
      <w:divsChild>
        <w:div w:id="206915490">
          <w:marLeft w:val="360"/>
          <w:marRight w:val="0"/>
          <w:marTop w:val="200"/>
          <w:marBottom w:val="0"/>
          <w:divBdr>
            <w:top w:val="none" w:sz="0" w:space="0" w:color="auto"/>
            <w:left w:val="none" w:sz="0" w:space="0" w:color="auto"/>
            <w:bottom w:val="none" w:sz="0" w:space="0" w:color="auto"/>
            <w:right w:val="none" w:sz="0" w:space="0" w:color="auto"/>
          </w:divBdr>
        </w:div>
        <w:div w:id="215091910">
          <w:marLeft w:val="360"/>
          <w:marRight w:val="0"/>
          <w:marTop w:val="200"/>
          <w:marBottom w:val="0"/>
          <w:divBdr>
            <w:top w:val="none" w:sz="0" w:space="0" w:color="auto"/>
            <w:left w:val="none" w:sz="0" w:space="0" w:color="auto"/>
            <w:bottom w:val="none" w:sz="0" w:space="0" w:color="auto"/>
            <w:right w:val="none" w:sz="0" w:space="0" w:color="auto"/>
          </w:divBdr>
        </w:div>
        <w:div w:id="1926960092">
          <w:marLeft w:val="360"/>
          <w:marRight w:val="0"/>
          <w:marTop w:val="200"/>
          <w:marBottom w:val="0"/>
          <w:divBdr>
            <w:top w:val="none" w:sz="0" w:space="0" w:color="auto"/>
            <w:left w:val="none" w:sz="0" w:space="0" w:color="auto"/>
            <w:bottom w:val="none" w:sz="0" w:space="0" w:color="auto"/>
            <w:right w:val="none" w:sz="0" w:space="0" w:color="auto"/>
          </w:divBdr>
        </w:div>
        <w:div w:id="1767113541">
          <w:marLeft w:val="360"/>
          <w:marRight w:val="0"/>
          <w:marTop w:val="200"/>
          <w:marBottom w:val="0"/>
          <w:divBdr>
            <w:top w:val="none" w:sz="0" w:space="0" w:color="auto"/>
            <w:left w:val="none" w:sz="0" w:space="0" w:color="auto"/>
            <w:bottom w:val="none" w:sz="0" w:space="0" w:color="auto"/>
            <w:right w:val="none" w:sz="0" w:space="0" w:color="auto"/>
          </w:divBdr>
        </w:div>
        <w:div w:id="1508982421">
          <w:marLeft w:val="360"/>
          <w:marRight w:val="0"/>
          <w:marTop w:val="200"/>
          <w:marBottom w:val="0"/>
          <w:divBdr>
            <w:top w:val="none" w:sz="0" w:space="0" w:color="auto"/>
            <w:left w:val="none" w:sz="0" w:space="0" w:color="auto"/>
            <w:bottom w:val="none" w:sz="0" w:space="0" w:color="auto"/>
            <w:right w:val="none" w:sz="0" w:space="0" w:color="auto"/>
          </w:divBdr>
        </w:div>
      </w:divsChild>
    </w:div>
    <w:div w:id="202574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3D95EF-D087-4491-BC46-D8239233D0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1811</Words>
  <Characters>10325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Alaur Rahman</cp:lastModifiedBy>
  <cp:revision>2</cp:revision>
  <dcterms:created xsi:type="dcterms:W3CDTF">2023-03-27T03:47:00Z</dcterms:created>
  <dcterms:modified xsi:type="dcterms:W3CDTF">2023-03-27T03:47:00Z</dcterms:modified>
</cp:coreProperties>
</file>