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65C57" w14:textId="77777777" w:rsidR="008B0A61" w:rsidRDefault="008B0A61" w:rsidP="008B0A61">
      <w:pPr>
        <w:spacing w:line="360" w:lineRule="auto"/>
        <w:rPr>
          <w:rFonts w:ascii="Arial" w:hAnsi="Arial" w:cs="Arial"/>
          <w:b/>
          <w:bCs/>
          <w:sz w:val="22"/>
          <w:szCs w:val="22"/>
        </w:rPr>
      </w:pPr>
    </w:p>
    <w:p w14:paraId="05C1318D" w14:textId="77777777" w:rsidR="008B0A61" w:rsidRDefault="008B0A61" w:rsidP="008B0A61">
      <w:pPr>
        <w:spacing w:line="360" w:lineRule="auto"/>
        <w:rPr>
          <w:rFonts w:ascii="Arial" w:hAnsi="Arial" w:cs="Arial"/>
          <w:b/>
          <w:bCs/>
          <w:sz w:val="22"/>
          <w:szCs w:val="22"/>
        </w:rPr>
      </w:pPr>
    </w:p>
    <w:p w14:paraId="5F96ADAF" w14:textId="77777777" w:rsidR="00127B00" w:rsidRPr="008B0A61" w:rsidRDefault="00300121" w:rsidP="008B0A61">
      <w:pPr>
        <w:spacing w:line="360" w:lineRule="auto"/>
        <w:rPr>
          <w:rFonts w:ascii="Arial" w:hAnsi="Arial" w:cs="Arial"/>
          <w:b/>
          <w:bCs/>
          <w:sz w:val="22"/>
          <w:szCs w:val="22"/>
        </w:rPr>
      </w:pPr>
      <w:r w:rsidRPr="008B0A61">
        <w:rPr>
          <w:rFonts w:ascii="Arial" w:hAnsi="Arial" w:cs="Arial"/>
          <w:b/>
          <w:bCs/>
          <w:sz w:val="22"/>
          <w:szCs w:val="22"/>
        </w:rPr>
        <w:t xml:space="preserve">Assignment 2 Report </w:t>
      </w:r>
    </w:p>
    <w:p w14:paraId="32920D02" w14:textId="77777777" w:rsidR="00573CAA" w:rsidRPr="008B0A61" w:rsidRDefault="00573CAA" w:rsidP="008B0A61">
      <w:pPr>
        <w:spacing w:line="360" w:lineRule="auto"/>
        <w:rPr>
          <w:rFonts w:ascii="Arial" w:hAnsi="Arial" w:cs="Arial"/>
          <w:b/>
          <w:bCs/>
          <w:sz w:val="22"/>
          <w:szCs w:val="22"/>
        </w:rPr>
      </w:pPr>
      <w:r w:rsidRPr="008B0A61">
        <w:rPr>
          <w:rFonts w:ascii="Arial" w:hAnsi="Arial" w:cs="Arial"/>
          <w:b/>
          <w:bCs/>
          <w:sz w:val="22"/>
          <w:szCs w:val="22"/>
        </w:rPr>
        <w:t>Student name: Regina Owusu Bempah</w:t>
      </w:r>
    </w:p>
    <w:p w14:paraId="2809D7ED" w14:textId="77777777" w:rsidR="00127B00" w:rsidRPr="008B0A61" w:rsidRDefault="00127B00" w:rsidP="008B0A61">
      <w:pPr>
        <w:spacing w:line="360" w:lineRule="auto"/>
        <w:rPr>
          <w:rFonts w:ascii="Arial" w:hAnsi="Arial" w:cs="Arial"/>
          <w:b/>
          <w:bCs/>
          <w:sz w:val="22"/>
          <w:szCs w:val="22"/>
        </w:rPr>
      </w:pPr>
      <w:r w:rsidRPr="008B0A61">
        <w:rPr>
          <w:rFonts w:ascii="Arial" w:hAnsi="Arial" w:cs="Arial"/>
          <w:b/>
          <w:bCs/>
          <w:sz w:val="22"/>
          <w:szCs w:val="22"/>
        </w:rPr>
        <w:t>Student ID:2427848</w:t>
      </w:r>
    </w:p>
    <w:p w14:paraId="1CAD5C8B" w14:textId="77777777" w:rsidR="00300121" w:rsidRPr="008B0A61" w:rsidRDefault="00300121" w:rsidP="008B0A61">
      <w:pPr>
        <w:spacing w:line="360" w:lineRule="auto"/>
        <w:rPr>
          <w:rFonts w:ascii="Arial" w:hAnsi="Arial" w:cs="Arial"/>
          <w:b/>
          <w:bCs/>
          <w:sz w:val="22"/>
          <w:szCs w:val="22"/>
        </w:rPr>
      </w:pPr>
      <w:r w:rsidRPr="008B0A61">
        <w:rPr>
          <w:rFonts w:ascii="Arial" w:hAnsi="Arial" w:cs="Arial"/>
          <w:b/>
          <w:bCs/>
          <w:sz w:val="22"/>
          <w:szCs w:val="22"/>
        </w:rPr>
        <w:t>Module code: LCHS4010</w:t>
      </w:r>
    </w:p>
    <w:p w14:paraId="41C3F1E0" w14:textId="4FF64879" w:rsidR="00573CAA" w:rsidRPr="008B0A61" w:rsidRDefault="00573CAA" w:rsidP="008B0A61">
      <w:pPr>
        <w:spacing w:line="360" w:lineRule="auto"/>
        <w:rPr>
          <w:rFonts w:ascii="Arial" w:hAnsi="Arial" w:cs="Arial"/>
          <w:b/>
          <w:bCs/>
          <w:sz w:val="22"/>
          <w:szCs w:val="22"/>
        </w:rPr>
      </w:pPr>
      <w:r w:rsidRPr="3898BB86">
        <w:rPr>
          <w:rFonts w:ascii="Arial" w:hAnsi="Arial" w:cs="Arial"/>
          <w:b/>
          <w:bCs/>
          <w:sz w:val="22"/>
          <w:szCs w:val="22"/>
        </w:rPr>
        <w:t>Lecturer’s Name:</w:t>
      </w:r>
      <w:r w:rsidR="35D30C4C" w:rsidRPr="3898BB86">
        <w:rPr>
          <w:rFonts w:ascii="Arial" w:hAnsi="Arial" w:cs="Arial"/>
          <w:b/>
          <w:bCs/>
          <w:sz w:val="22"/>
          <w:szCs w:val="22"/>
        </w:rPr>
        <w:t xml:space="preserve"> </w:t>
      </w:r>
      <w:r w:rsidR="00784427" w:rsidRPr="3898BB86">
        <w:rPr>
          <w:rFonts w:ascii="Arial" w:hAnsi="Arial" w:cs="Arial"/>
          <w:b/>
          <w:bCs/>
          <w:sz w:val="22"/>
          <w:szCs w:val="22"/>
        </w:rPr>
        <w:t>Shaila Hussain</w:t>
      </w:r>
      <w:r w:rsidR="014F7B05" w:rsidRPr="3898BB86">
        <w:rPr>
          <w:rFonts w:ascii="Arial" w:hAnsi="Arial" w:cs="Arial"/>
          <w:b/>
          <w:bCs/>
          <w:sz w:val="22"/>
          <w:szCs w:val="22"/>
        </w:rPr>
        <w:t xml:space="preserve"> </w:t>
      </w:r>
    </w:p>
    <w:p w14:paraId="1522ECC1" w14:textId="77777777" w:rsidR="00300121" w:rsidRPr="008B0A61" w:rsidRDefault="00300121" w:rsidP="008B0A61">
      <w:pPr>
        <w:spacing w:line="360" w:lineRule="auto"/>
        <w:rPr>
          <w:rFonts w:ascii="Arial" w:hAnsi="Arial" w:cs="Arial"/>
          <w:b/>
          <w:bCs/>
          <w:sz w:val="22"/>
          <w:szCs w:val="22"/>
        </w:rPr>
      </w:pPr>
      <w:r w:rsidRPr="008B0A61">
        <w:rPr>
          <w:rFonts w:ascii="Arial" w:hAnsi="Arial" w:cs="Arial"/>
          <w:b/>
          <w:bCs/>
          <w:sz w:val="22"/>
          <w:szCs w:val="22"/>
        </w:rPr>
        <w:t xml:space="preserve">Module tittle: Psychology in health and Social Care </w:t>
      </w:r>
    </w:p>
    <w:p w14:paraId="77E15B70" w14:textId="77777777" w:rsidR="00573CAA" w:rsidRDefault="00573CAA" w:rsidP="008B0A61">
      <w:pPr>
        <w:spacing w:line="360" w:lineRule="auto"/>
        <w:rPr>
          <w:rFonts w:ascii="Arial" w:hAnsi="Arial" w:cs="Arial"/>
          <w:b/>
          <w:bCs/>
          <w:sz w:val="22"/>
          <w:szCs w:val="22"/>
        </w:rPr>
      </w:pPr>
      <w:r w:rsidRPr="008B0A61">
        <w:rPr>
          <w:rFonts w:ascii="Arial" w:hAnsi="Arial" w:cs="Arial"/>
          <w:b/>
          <w:bCs/>
          <w:sz w:val="22"/>
          <w:szCs w:val="22"/>
        </w:rPr>
        <w:t xml:space="preserve">Assignment tittle: </w:t>
      </w:r>
      <w:r w:rsidR="00B94E62" w:rsidRPr="008B0A61">
        <w:rPr>
          <w:rFonts w:ascii="Arial" w:hAnsi="Arial" w:cs="Arial"/>
          <w:b/>
          <w:bCs/>
          <w:sz w:val="22"/>
          <w:szCs w:val="22"/>
        </w:rPr>
        <w:t>Using Psychological Theories to Support Older Adults with Dementia in Care Homes</w:t>
      </w:r>
    </w:p>
    <w:p w14:paraId="1B7DC1CA" w14:textId="77777777" w:rsidR="008B0A61" w:rsidRDefault="008B0A61" w:rsidP="008B0A61">
      <w:pPr>
        <w:spacing w:line="360" w:lineRule="auto"/>
        <w:rPr>
          <w:rFonts w:ascii="Arial" w:hAnsi="Arial" w:cs="Arial"/>
          <w:b/>
          <w:bCs/>
          <w:sz w:val="22"/>
          <w:szCs w:val="22"/>
        </w:rPr>
      </w:pPr>
    </w:p>
    <w:p w14:paraId="42801DA7" w14:textId="77777777" w:rsidR="008B0A61" w:rsidRDefault="008B0A61" w:rsidP="008B0A61">
      <w:pPr>
        <w:spacing w:line="360" w:lineRule="auto"/>
        <w:rPr>
          <w:rFonts w:ascii="Arial" w:hAnsi="Arial" w:cs="Arial"/>
          <w:b/>
          <w:bCs/>
          <w:sz w:val="22"/>
          <w:szCs w:val="22"/>
        </w:rPr>
      </w:pPr>
    </w:p>
    <w:p w14:paraId="47FE5D25" w14:textId="77777777" w:rsidR="008B0A61" w:rsidRPr="008B0A61" w:rsidRDefault="008B0A61" w:rsidP="008B0A61">
      <w:pPr>
        <w:spacing w:line="360" w:lineRule="auto"/>
        <w:rPr>
          <w:rFonts w:ascii="Arial" w:hAnsi="Arial" w:cs="Arial"/>
          <w:b/>
          <w:bCs/>
          <w:sz w:val="22"/>
          <w:szCs w:val="22"/>
        </w:rPr>
      </w:pPr>
    </w:p>
    <w:sdt>
      <w:sdtPr>
        <w:rPr>
          <w:rFonts w:ascii="Arial" w:eastAsiaTheme="minorEastAsia" w:hAnsi="Arial" w:cs="Arial"/>
          <w:color w:val="auto"/>
          <w:kern w:val="2"/>
          <w:sz w:val="22"/>
          <w:szCs w:val="22"/>
          <w14:ligatures w14:val="standardContextual"/>
        </w:rPr>
        <w:id w:val="-1298221475"/>
        <w:docPartObj>
          <w:docPartGallery w:val="Table of Contents"/>
          <w:docPartUnique/>
        </w:docPartObj>
      </w:sdtPr>
      <w:sdtEndPr>
        <w:rPr>
          <w:b/>
          <w:bCs/>
        </w:rPr>
      </w:sdtEndPr>
      <w:sdtContent>
        <w:p w14:paraId="0448273E" w14:textId="77777777" w:rsidR="00573CAA" w:rsidRPr="008B0A61" w:rsidRDefault="00573CAA" w:rsidP="008B0A61">
          <w:pPr>
            <w:pStyle w:val="TOCHeading"/>
            <w:spacing w:line="360" w:lineRule="auto"/>
            <w:rPr>
              <w:rFonts w:ascii="Arial" w:hAnsi="Arial" w:cs="Arial"/>
              <w:sz w:val="22"/>
              <w:szCs w:val="22"/>
            </w:rPr>
          </w:pPr>
          <w:r w:rsidRPr="008B0A61">
            <w:rPr>
              <w:rFonts w:ascii="Arial" w:hAnsi="Arial" w:cs="Arial"/>
              <w:sz w:val="22"/>
              <w:szCs w:val="22"/>
            </w:rPr>
            <w:t>Table of Contents</w:t>
          </w:r>
        </w:p>
        <w:p w14:paraId="5F161DFC" w14:textId="77777777" w:rsidR="00573CAA" w:rsidRPr="008B0A61" w:rsidRDefault="00573CAA" w:rsidP="008B0A61">
          <w:pPr>
            <w:pStyle w:val="TOC1"/>
            <w:tabs>
              <w:tab w:val="right" w:leader="dot" w:pos="9350"/>
            </w:tabs>
            <w:spacing w:line="360" w:lineRule="auto"/>
            <w:rPr>
              <w:rFonts w:ascii="Arial" w:hAnsi="Arial" w:cs="Arial"/>
              <w:noProof/>
              <w:sz w:val="22"/>
              <w:szCs w:val="22"/>
            </w:rPr>
          </w:pPr>
          <w:r w:rsidRPr="008B0A61">
            <w:rPr>
              <w:rFonts w:ascii="Arial" w:hAnsi="Arial" w:cs="Arial"/>
              <w:sz w:val="22"/>
              <w:szCs w:val="22"/>
            </w:rPr>
            <w:fldChar w:fldCharType="begin"/>
          </w:r>
          <w:r w:rsidRPr="008B0A61">
            <w:rPr>
              <w:rFonts w:ascii="Arial" w:hAnsi="Arial" w:cs="Arial"/>
              <w:sz w:val="22"/>
              <w:szCs w:val="22"/>
            </w:rPr>
            <w:instrText xml:space="preserve"> TOC \o "1-3" \h \z \u </w:instrText>
          </w:r>
          <w:r w:rsidRPr="008B0A61">
            <w:rPr>
              <w:rFonts w:ascii="Arial" w:hAnsi="Arial" w:cs="Arial"/>
              <w:sz w:val="22"/>
              <w:szCs w:val="22"/>
            </w:rPr>
            <w:fldChar w:fldCharType="separate"/>
          </w:r>
          <w:hyperlink w:anchor="_Toc215606149" w:history="1">
            <w:r w:rsidRPr="008B0A61">
              <w:rPr>
                <w:rStyle w:val="Hyperlink"/>
                <w:rFonts w:ascii="Arial" w:hAnsi="Arial" w:cs="Arial"/>
                <w:noProof/>
                <w:sz w:val="22"/>
                <w:szCs w:val="22"/>
              </w:rPr>
              <w:t>Introduction</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_Toc215606149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3</w:t>
            </w:r>
            <w:r w:rsidRPr="008B0A61">
              <w:rPr>
                <w:rFonts w:ascii="Arial" w:hAnsi="Arial" w:cs="Arial"/>
                <w:noProof/>
                <w:webHidden/>
                <w:sz w:val="22"/>
                <w:szCs w:val="22"/>
              </w:rPr>
              <w:fldChar w:fldCharType="end"/>
            </w:r>
          </w:hyperlink>
        </w:p>
        <w:p w14:paraId="6E8929AE"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0" w:history="1">
            <w:r w:rsidRPr="008B0A61">
              <w:rPr>
                <w:rStyle w:val="Hyperlink"/>
                <w:rFonts w:ascii="Arial" w:hAnsi="Arial" w:cs="Arial"/>
                <w:noProof/>
                <w:sz w:val="22"/>
                <w:szCs w:val="22"/>
              </w:rPr>
              <w:t>Behaviourism Theory</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_Toc215606150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3</w:t>
            </w:r>
            <w:r w:rsidRPr="008B0A61">
              <w:rPr>
                <w:rFonts w:ascii="Arial" w:hAnsi="Arial" w:cs="Arial"/>
                <w:noProof/>
                <w:webHidden/>
                <w:sz w:val="22"/>
                <w:szCs w:val="22"/>
              </w:rPr>
              <w:fldChar w:fldCharType="end"/>
            </w:r>
          </w:hyperlink>
        </w:p>
        <w:p w14:paraId="1F10EFF3"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1" w:history="1">
            <w:r w:rsidRPr="008B0A61">
              <w:rPr>
                <w:rStyle w:val="Hyperlink"/>
                <w:rFonts w:ascii="Arial" w:hAnsi="Arial" w:cs="Arial"/>
                <w:noProof/>
                <w:sz w:val="22"/>
                <w:szCs w:val="22"/>
              </w:rPr>
              <w:t>Relevance to Adult Development</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_Toc215606151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4</w:t>
            </w:r>
            <w:r w:rsidRPr="008B0A61">
              <w:rPr>
                <w:rFonts w:ascii="Arial" w:hAnsi="Arial" w:cs="Arial"/>
                <w:noProof/>
                <w:webHidden/>
                <w:sz w:val="22"/>
                <w:szCs w:val="22"/>
              </w:rPr>
              <w:fldChar w:fldCharType="end"/>
            </w:r>
          </w:hyperlink>
        </w:p>
        <w:p w14:paraId="67D1FACB"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2" w:history="1">
            <w:r w:rsidRPr="008B0A61">
              <w:rPr>
                <w:rStyle w:val="Hyperlink"/>
                <w:rFonts w:ascii="Arial" w:hAnsi="Arial" w:cs="Arial"/>
                <w:noProof/>
                <w:sz w:val="22"/>
                <w:szCs w:val="22"/>
              </w:rPr>
              <w:t>Strengths, limitations and criticisms of Behaviourism in Dementia Care.</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_Toc215606152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4</w:t>
            </w:r>
            <w:r w:rsidRPr="008B0A61">
              <w:rPr>
                <w:rFonts w:ascii="Arial" w:hAnsi="Arial" w:cs="Arial"/>
                <w:noProof/>
                <w:webHidden/>
                <w:sz w:val="22"/>
                <w:szCs w:val="22"/>
              </w:rPr>
              <w:fldChar w:fldCharType="end"/>
            </w:r>
          </w:hyperlink>
        </w:p>
        <w:p w14:paraId="7D8F1C74"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3" w:history="1">
            <w:r w:rsidRPr="008B0A61">
              <w:rPr>
                <w:rStyle w:val="Hyperlink"/>
                <w:rFonts w:ascii="Arial" w:hAnsi="Arial" w:cs="Arial"/>
                <w:noProof/>
                <w:sz w:val="22"/>
                <w:szCs w:val="22"/>
              </w:rPr>
              <w:t>Erikson’s Psychosocial Theory</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_Toc215606153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5</w:t>
            </w:r>
            <w:r w:rsidRPr="008B0A61">
              <w:rPr>
                <w:rFonts w:ascii="Arial" w:hAnsi="Arial" w:cs="Arial"/>
                <w:noProof/>
                <w:webHidden/>
                <w:sz w:val="22"/>
                <w:szCs w:val="22"/>
              </w:rPr>
              <w:fldChar w:fldCharType="end"/>
            </w:r>
          </w:hyperlink>
        </w:p>
        <w:p w14:paraId="76437EC1"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4" w:history="1">
            <w:r w:rsidRPr="008B0A61">
              <w:rPr>
                <w:rStyle w:val="Hyperlink"/>
                <w:rFonts w:ascii="Arial" w:hAnsi="Arial" w:cs="Arial"/>
                <w:noProof/>
                <w:sz w:val="22"/>
                <w:szCs w:val="22"/>
              </w:rPr>
              <w:t>Relevance to Adult Development</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_Toc215606154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5</w:t>
            </w:r>
            <w:r w:rsidRPr="008B0A61">
              <w:rPr>
                <w:rFonts w:ascii="Arial" w:hAnsi="Arial" w:cs="Arial"/>
                <w:noProof/>
                <w:webHidden/>
                <w:sz w:val="22"/>
                <w:szCs w:val="22"/>
              </w:rPr>
              <w:fldChar w:fldCharType="end"/>
            </w:r>
          </w:hyperlink>
        </w:p>
        <w:p w14:paraId="1662B29E"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5" w:history="1">
            <w:r w:rsidRPr="008B0A61">
              <w:rPr>
                <w:rStyle w:val="Hyperlink"/>
                <w:rFonts w:ascii="Arial" w:hAnsi="Arial" w:cs="Arial"/>
                <w:noProof/>
                <w:sz w:val="22"/>
                <w:szCs w:val="22"/>
              </w:rPr>
              <w:t>Strengths, limitations and Criticisms of Erikson’s Theory in Dementia Care</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_Toc215606155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6</w:t>
            </w:r>
            <w:r w:rsidRPr="008B0A61">
              <w:rPr>
                <w:rFonts w:ascii="Arial" w:hAnsi="Arial" w:cs="Arial"/>
                <w:noProof/>
                <w:webHidden/>
                <w:sz w:val="22"/>
                <w:szCs w:val="22"/>
              </w:rPr>
              <w:fldChar w:fldCharType="end"/>
            </w:r>
          </w:hyperlink>
        </w:p>
        <w:p w14:paraId="636B1EA7"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6" w:history="1">
            <w:r w:rsidRPr="008B0A61">
              <w:rPr>
                <w:rStyle w:val="Hyperlink"/>
                <w:rFonts w:ascii="Arial" w:hAnsi="Arial" w:cs="Arial"/>
                <w:noProof/>
                <w:sz w:val="22"/>
                <w:szCs w:val="22"/>
              </w:rPr>
              <w:t>The application of psychological theories in dementia care homes</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_Toc215606156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6</w:t>
            </w:r>
            <w:r w:rsidRPr="008B0A61">
              <w:rPr>
                <w:rFonts w:ascii="Arial" w:hAnsi="Arial" w:cs="Arial"/>
                <w:noProof/>
                <w:webHidden/>
                <w:sz w:val="22"/>
                <w:szCs w:val="22"/>
              </w:rPr>
              <w:fldChar w:fldCharType="end"/>
            </w:r>
          </w:hyperlink>
        </w:p>
        <w:p w14:paraId="1F83E2E8"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7" w:history="1">
            <w:r w:rsidRPr="008B0A61">
              <w:rPr>
                <w:rStyle w:val="Hyperlink"/>
                <w:rFonts w:ascii="Arial" w:hAnsi="Arial" w:cs="Arial"/>
                <w:noProof/>
                <w:sz w:val="22"/>
                <w:szCs w:val="22"/>
              </w:rPr>
              <w:t>Conclusion</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_Toc215606157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7</w:t>
            </w:r>
            <w:r w:rsidRPr="008B0A61">
              <w:rPr>
                <w:rFonts w:ascii="Arial" w:hAnsi="Arial" w:cs="Arial"/>
                <w:noProof/>
                <w:webHidden/>
                <w:sz w:val="22"/>
                <w:szCs w:val="22"/>
              </w:rPr>
              <w:fldChar w:fldCharType="end"/>
            </w:r>
          </w:hyperlink>
        </w:p>
        <w:p w14:paraId="21A4A9E3" w14:textId="77777777" w:rsidR="00573CAA" w:rsidRPr="008B0A61" w:rsidRDefault="00573CAA" w:rsidP="008B0A61">
          <w:pPr>
            <w:pStyle w:val="TOC1"/>
            <w:tabs>
              <w:tab w:val="right" w:leader="dot" w:pos="9350"/>
            </w:tabs>
            <w:spacing w:line="360" w:lineRule="auto"/>
            <w:rPr>
              <w:rFonts w:ascii="Arial" w:hAnsi="Arial" w:cs="Arial"/>
              <w:noProof/>
              <w:sz w:val="22"/>
              <w:szCs w:val="22"/>
            </w:rPr>
          </w:pPr>
          <w:hyperlink w:anchor="_Toc215606158" w:history="1">
            <w:r w:rsidRPr="008B0A61">
              <w:rPr>
                <w:rStyle w:val="Hyperlink"/>
                <w:rFonts w:ascii="Arial" w:hAnsi="Arial" w:cs="Arial"/>
                <w:noProof/>
                <w:sz w:val="22"/>
                <w:szCs w:val="22"/>
              </w:rPr>
              <w:t>Reference</w:t>
            </w:r>
            <w:r w:rsidRPr="008B0A61">
              <w:rPr>
                <w:rFonts w:ascii="Arial" w:hAnsi="Arial" w:cs="Arial"/>
                <w:noProof/>
                <w:webHidden/>
                <w:sz w:val="22"/>
                <w:szCs w:val="22"/>
              </w:rPr>
              <w:tab/>
            </w:r>
            <w:r w:rsidRPr="008B0A61">
              <w:rPr>
                <w:rFonts w:ascii="Arial" w:hAnsi="Arial" w:cs="Arial"/>
                <w:noProof/>
                <w:webHidden/>
                <w:sz w:val="22"/>
                <w:szCs w:val="22"/>
              </w:rPr>
              <w:fldChar w:fldCharType="begin"/>
            </w:r>
            <w:r w:rsidRPr="008B0A61">
              <w:rPr>
                <w:rFonts w:ascii="Arial" w:hAnsi="Arial" w:cs="Arial"/>
                <w:noProof/>
                <w:webHidden/>
                <w:sz w:val="22"/>
                <w:szCs w:val="22"/>
              </w:rPr>
              <w:instrText xml:space="preserve"> PAGEREF _Toc215606158 \h </w:instrText>
            </w:r>
            <w:r w:rsidRPr="008B0A61">
              <w:rPr>
                <w:rFonts w:ascii="Arial" w:hAnsi="Arial" w:cs="Arial"/>
                <w:noProof/>
                <w:webHidden/>
                <w:sz w:val="22"/>
                <w:szCs w:val="22"/>
              </w:rPr>
            </w:r>
            <w:r w:rsidRPr="008B0A61">
              <w:rPr>
                <w:rFonts w:ascii="Arial" w:hAnsi="Arial" w:cs="Arial"/>
                <w:noProof/>
                <w:webHidden/>
                <w:sz w:val="22"/>
                <w:szCs w:val="22"/>
              </w:rPr>
              <w:fldChar w:fldCharType="separate"/>
            </w:r>
            <w:r w:rsidR="008B0A61">
              <w:rPr>
                <w:rFonts w:ascii="Arial" w:hAnsi="Arial" w:cs="Arial"/>
                <w:noProof/>
                <w:webHidden/>
                <w:sz w:val="22"/>
                <w:szCs w:val="22"/>
              </w:rPr>
              <w:t>7</w:t>
            </w:r>
            <w:r w:rsidRPr="008B0A61">
              <w:rPr>
                <w:rFonts w:ascii="Arial" w:hAnsi="Arial" w:cs="Arial"/>
                <w:noProof/>
                <w:webHidden/>
                <w:sz w:val="22"/>
                <w:szCs w:val="22"/>
              </w:rPr>
              <w:fldChar w:fldCharType="end"/>
            </w:r>
          </w:hyperlink>
        </w:p>
        <w:p w14:paraId="45162781" w14:textId="77777777" w:rsidR="00573CAA" w:rsidRPr="008B0A61" w:rsidRDefault="00573CAA" w:rsidP="008B0A61">
          <w:pPr>
            <w:spacing w:line="360" w:lineRule="auto"/>
            <w:rPr>
              <w:rFonts w:ascii="Arial" w:hAnsi="Arial" w:cs="Arial"/>
              <w:sz w:val="22"/>
              <w:szCs w:val="22"/>
            </w:rPr>
          </w:pPr>
          <w:r w:rsidRPr="008B0A61">
            <w:rPr>
              <w:rFonts w:ascii="Arial" w:hAnsi="Arial" w:cs="Arial"/>
              <w:b/>
              <w:bCs/>
              <w:noProof/>
              <w:sz w:val="22"/>
              <w:szCs w:val="22"/>
            </w:rPr>
            <w:fldChar w:fldCharType="end"/>
          </w:r>
        </w:p>
      </w:sdtContent>
    </w:sdt>
    <w:p w14:paraId="7DF668FC" w14:textId="77777777" w:rsidR="00573CAA" w:rsidRPr="008B0A61" w:rsidRDefault="00573CAA" w:rsidP="008B0A61">
      <w:pPr>
        <w:spacing w:line="360" w:lineRule="auto"/>
        <w:rPr>
          <w:rFonts w:ascii="Arial" w:hAnsi="Arial" w:cs="Arial"/>
          <w:b/>
          <w:bCs/>
          <w:sz w:val="22"/>
          <w:szCs w:val="22"/>
        </w:rPr>
      </w:pPr>
    </w:p>
    <w:p w14:paraId="712685AD" w14:textId="77777777" w:rsidR="00573CAA" w:rsidRPr="008B0A61" w:rsidRDefault="00573CAA" w:rsidP="008B0A61">
      <w:pPr>
        <w:pStyle w:val="Heading1"/>
        <w:spacing w:line="360" w:lineRule="auto"/>
        <w:rPr>
          <w:rFonts w:ascii="Arial" w:hAnsi="Arial" w:cs="Arial"/>
          <w:sz w:val="22"/>
          <w:szCs w:val="22"/>
        </w:rPr>
      </w:pPr>
      <w:r w:rsidRPr="008B0A61">
        <w:rPr>
          <w:rFonts w:ascii="Arial" w:hAnsi="Arial" w:cs="Arial"/>
          <w:sz w:val="22"/>
          <w:szCs w:val="22"/>
        </w:rPr>
        <w:lastRenderedPageBreak/>
        <w:br w:type="page"/>
      </w:r>
    </w:p>
    <w:p w14:paraId="6DE340E5" w14:textId="77777777" w:rsidR="00715B87" w:rsidRPr="008B0A61" w:rsidRDefault="00715B87" w:rsidP="008B0A61">
      <w:pPr>
        <w:spacing w:line="360" w:lineRule="auto"/>
        <w:rPr>
          <w:rFonts w:ascii="Arial" w:hAnsi="Arial" w:cs="Arial"/>
          <w:b/>
          <w:bCs/>
          <w:color w:val="000000" w:themeColor="text1"/>
          <w:sz w:val="22"/>
          <w:szCs w:val="22"/>
        </w:rPr>
      </w:pPr>
    </w:p>
    <w:p w14:paraId="423D858E" w14:textId="77777777" w:rsidR="00B94E62" w:rsidRPr="008B0A61" w:rsidRDefault="00B94E62" w:rsidP="008B0A61">
      <w:pPr>
        <w:pStyle w:val="Heading1"/>
        <w:spacing w:line="360" w:lineRule="auto"/>
        <w:rPr>
          <w:rFonts w:ascii="Arial" w:hAnsi="Arial" w:cs="Arial"/>
          <w:b/>
          <w:bCs/>
          <w:color w:val="000000" w:themeColor="text1"/>
          <w:sz w:val="22"/>
          <w:szCs w:val="22"/>
        </w:rPr>
      </w:pPr>
      <w:bookmarkStart w:id="0" w:name="_Toc215606149"/>
      <w:r w:rsidRPr="008B0A61">
        <w:rPr>
          <w:rFonts w:ascii="Arial" w:hAnsi="Arial" w:cs="Arial"/>
          <w:b/>
          <w:bCs/>
          <w:color w:val="000000" w:themeColor="text1"/>
          <w:sz w:val="22"/>
          <w:szCs w:val="22"/>
        </w:rPr>
        <w:t>Introduction</w:t>
      </w:r>
      <w:bookmarkEnd w:id="0"/>
    </w:p>
    <w:p w14:paraId="4D3975DF" w14:textId="62190DDA" w:rsidR="00807CF1" w:rsidRPr="008B0A61" w:rsidRDefault="00807CF1" w:rsidP="008B0A61">
      <w:pPr>
        <w:spacing w:line="360" w:lineRule="auto"/>
        <w:rPr>
          <w:rFonts w:ascii="Arial" w:hAnsi="Arial" w:cs="Arial"/>
          <w:sz w:val="22"/>
          <w:szCs w:val="22"/>
        </w:rPr>
      </w:pPr>
      <w:r w:rsidRPr="44E9A741">
        <w:rPr>
          <w:rFonts w:ascii="Arial" w:hAnsi="Arial" w:cs="Arial"/>
          <w:sz w:val="22"/>
          <w:szCs w:val="22"/>
        </w:rPr>
        <w:t xml:space="preserve">Dementia is a progressive condition affecting older adults, leading to memory loss, cognitive decline, and behavioural changes (James et al., 2021). As populations age, dementia cases are expected to rise. For those aged 65 and over, it poses challenges to mental health, independence, and quality of life. While care homes offer support, effective care requires more than physical </w:t>
      </w:r>
      <w:r w:rsidR="17E61B1B" w:rsidRPr="44E9A741">
        <w:rPr>
          <w:rFonts w:ascii="Arial" w:hAnsi="Arial" w:cs="Arial"/>
          <w:sz w:val="22"/>
          <w:szCs w:val="22"/>
        </w:rPr>
        <w:t>assistance,</w:t>
      </w:r>
      <w:r w:rsidRPr="44E9A741">
        <w:rPr>
          <w:rFonts w:ascii="Arial" w:hAnsi="Arial" w:cs="Arial"/>
          <w:sz w:val="22"/>
          <w:szCs w:val="22"/>
        </w:rPr>
        <w:t xml:space="preserve"> it also demands psychological insight and tailored emotional and </w:t>
      </w:r>
      <w:r w:rsidR="6DB16E5A" w:rsidRPr="44E9A741">
        <w:rPr>
          <w:rFonts w:ascii="Arial" w:hAnsi="Arial" w:cs="Arial"/>
          <w:sz w:val="22"/>
          <w:szCs w:val="22"/>
        </w:rPr>
        <w:t>behavioral</w:t>
      </w:r>
      <w:r w:rsidRPr="44E9A741">
        <w:rPr>
          <w:rFonts w:ascii="Arial" w:hAnsi="Arial" w:cs="Arial"/>
          <w:sz w:val="22"/>
          <w:szCs w:val="22"/>
        </w:rPr>
        <w:t xml:space="preserve"> responses (Scales et al., 2018).</w:t>
      </w:r>
    </w:p>
    <w:p w14:paraId="306BCB52" w14:textId="05097047" w:rsidR="008B0A61" w:rsidRDefault="00807CF1" w:rsidP="008B0A61">
      <w:pPr>
        <w:spacing w:line="360" w:lineRule="auto"/>
        <w:rPr>
          <w:rFonts w:ascii="Arial" w:hAnsi="Arial" w:cs="Arial"/>
          <w:sz w:val="22"/>
          <w:szCs w:val="22"/>
        </w:rPr>
      </w:pPr>
      <w:r w:rsidRPr="44E9A741">
        <w:rPr>
          <w:rFonts w:ascii="Arial" w:hAnsi="Arial" w:cs="Arial"/>
          <w:sz w:val="22"/>
          <w:szCs w:val="22"/>
        </w:rPr>
        <w:t xml:space="preserve">This report guides health and social care professionals on using psychological theories </w:t>
      </w:r>
      <w:r w:rsidR="008263CD" w:rsidRPr="44E9A741">
        <w:rPr>
          <w:rFonts w:ascii="Arial" w:hAnsi="Arial" w:cs="Arial"/>
          <w:sz w:val="22"/>
          <w:szCs w:val="22"/>
        </w:rPr>
        <w:t>Behaviorism</w:t>
      </w:r>
      <w:r w:rsidRPr="44E9A741">
        <w:rPr>
          <w:rFonts w:ascii="Arial" w:hAnsi="Arial" w:cs="Arial"/>
          <w:sz w:val="22"/>
          <w:szCs w:val="22"/>
        </w:rPr>
        <w:t xml:space="preserve"> and Erikson’s Psychosocial Theory to inform dementia care. It explores their relevance, practical use, and evaluates their strengths and limitations to support evidence-based, person-</w:t>
      </w:r>
      <w:r w:rsidR="395596BD" w:rsidRPr="44E9A741">
        <w:rPr>
          <w:rFonts w:ascii="Arial" w:hAnsi="Arial" w:cs="Arial"/>
          <w:sz w:val="22"/>
          <w:szCs w:val="22"/>
        </w:rPr>
        <w:t>centered</w:t>
      </w:r>
      <w:r w:rsidRPr="44E9A741">
        <w:rPr>
          <w:rFonts w:ascii="Arial" w:hAnsi="Arial" w:cs="Arial"/>
          <w:sz w:val="22"/>
          <w:szCs w:val="22"/>
        </w:rPr>
        <w:t> care.</w:t>
      </w:r>
      <w:bookmarkStart w:id="1" w:name="_Toc215606150"/>
    </w:p>
    <w:p w14:paraId="3263E46D" w14:textId="5412AB06" w:rsidR="005C5BC9" w:rsidRPr="008B0A61" w:rsidRDefault="6E5D010C" w:rsidP="008B0A61">
      <w:pPr>
        <w:spacing w:line="360" w:lineRule="auto"/>
        <w:rPr>
          <w:rFonts w:ascii="Arial" w:hAnsi="Arial" w:cs="Arial"/>
          <w:sz w:val="22"/>
          <w:szCs w:val="22"/>
        </w:rPr>
      </w:pPr>
      <w:r w:rsidRPr="44E9A741">
        <w:rPr>
          <w:rFonts w:ascii="Arial" w:hAnsi="Arial" w:cs="Arial"/>
          <w:b/>
          <w:bCs/>
          <w:color w:val="000000" w:themeColor="text1"/>
          <w:sz w:val="22"/>
          <w:szCs w:val="22"/>
        </w:rPr>
        <w:t>Behaviorism</w:t>
      </w:r>
      <w:r w:rsidR="00127B00" w:rsidRPr="44E9A741">
        <w:rPr>
          <w:rFonts w:ascii="Arial" w:hAnsi="Arial" w:cs="Arial"/>
          <w:b/>
          <w:bCs/>
          <w:color w:val="000000" w:themeColor="text1"/>
          <w:sz w:val="22"/>
          <w:szCs w:val="22"/>
        </w:rPr>
        <w:t xml:space="preserve"> </w:t>
      </w:r>
      <w:r w:rsidR="005C5BC9" w:rsidRPr="44E9A741">
        <w:rPr>
          <w:rFonts w:ascii="Arial" w:hAnsi="Arial" w:cs="Arial"/>
          <w:b/>
          <w:bCs/>
          <w:color w:val="000000" w:themeColor="text1"/>
          <w:sz w:val="22"/>
          <w:szCs w:val="22"/>
        </w:rPr>
        <w:t>Theory</w:t>
      </w:r>
      <w:bookmarkEnd w:id="1"/>
      <w:r w:rsidR="005C5BC9" w:rsidRPr="44E9A741">
        <w:rPr>
          <w:rFonts w:ascii="Arial" w:hAnsi="Arial" w:cs="Arial"/>
          <w:b/>
          <w:bCs/>
          <w:color w:val="000000" w:themeColor="text1"/>
          <w:sz w:val="22"/>
          <w:szCs w:val="22"/>
        </w:rPr>
        <w:t xml:space="preserve"> </w:t>
      </w:r>
    </w:p>
    <w:p w14:paraId="3D3F090F" w14:textId="5352166B" w:rsidR="00835B6A" w:rsidRPr="008B0A61" w:rsidRDefault="48225796" w:rsidP="008B0A61">
      <w:pPr>
        <w:spacing w:line="360" w:lineRule="auto"/>
        <w:rPr>
          <w:rFonts w:ascii="Arial" w:hAnsi="Arial" w:cs="Arial"/>
          <w:sz w:val="22"/>
          <w:szCs w:val="22"/>
        </w:rPr>
      </w:pPr>
      <w:r w:rsidRPr="44E9A741">
        <w:rPr>
          <w:rFonts w:ascii="Arial" w:hAnsi="Arial" w:cs="Arial"/>
          <w:sz w:val="22"/>
          <w:szCs w:val="22"/>
        </w:rPr>
        <w:t>Behaviorism</w:t>
      </w:r>
      <w:r w:rsidR="005C5BC9" w:rsidRPr="44E9A741">
        <w:rPr>
          <w:rFonts w:ascii="Arial" w:hAnsi="Arial" w:cs="Arial"/>
          <w:sz w:val="22"/>
          <w:szCs w:val="22"/>
        </w:rPr>
        <w:t xml:space="preserve">, developed in the early 20th century by psychologists like John B. Watson, Ivan Pavlov, and B.F. Skinner, is based on the idea that </w:t>
      </w:r>
      <w:r w:rsidR="76171412" w:rsidRPr="44E9A741">
        <w:rPr>
          <w:rFonts w:ascii="Arial" w:hAnsi="Arial" w:cs="Arial"/>
          <w:sz w:val="22"/>
          <w:szCs w:val="22"/>
        </w:rPr>
        <w:t>behavior</w:t>
      </w:r>
      <w:r w:rsidR="005C5BC9" w:rsidRPr="44E9A741">
        <w:rPr>
          <w:rFonts w:ascii="Arial" w:hAnsi="Arial" w:cs="Arial"/>
          <w:sz w:val="22"/>
          <w:szCs w:val="22"/>
        </w:rPr>
        <w:t xml:space="preserve"> is learned through environmental interactions (Buchanan, 2006). It emphasizes observable actions over internal thought processes. The theory is built on two main concepts</w:t>
      </w:r>
      <w:r w:rsidR="00B50780" w:rsidRPr="44E9A741">
        <w:rPr>
          <w:rFonts w:ascii="Arial" w:hAnsi="Arial" w:cs="Arial"/>
          <w:sz w:val="22"/>
          <w:szCs w:val="22"/>
        </w:rPr>
        <w:t>,</w:t>
      </w:r>
      <w:r w:rsidR="005C5BC9" w:rsidRPr="44E9A741">
        <w:rPr>
          <w:rFonts w:ascii="Arial" w:hAnsi="Arial" w:cs="Arial"/>
          <w:sz w:val="22"/>
          <w:szCs w:val="22"/>
        </w:rPr>
        <w:t xml:space="preserve"> classical and operant conditioning. </w:t>
      </w:r>
    </w:p>
    <w:p w14:paraId="364B47A9" w14:textId="1A6E7C21" w:rsidR="00835B6A" w:rsidRPr="008B0A61" w:rsidRDefault="00835B6A" w:rsidP="008B0A61">
      <w:pPr>
        <w:spacing w:line="360" w:lineRule="auto"/>
        <w:rPr>
          <w:rFonts w:ascii="Arial" w:hAnsi="Arial" w:cs="Arial"/>
          <w:sz w:val="22"/>
          <w:szCs w:val="22"/>
        </w:rPr>
      </w:pPr>
      <w:r w:rsidRPr="44E9A741">
        <w:rPr>
          <w:rFonts w:ascii="Arial" w:hAnsi="Arial" w:cs="Arial"/>
          <w:b/>
          <w:bCs/>
          <w:sz w:val="22"/>
          <w:szCs w:val="22"/>
        </w:rPr>
        <w:t>Classical Conditioning,</w:t>
      </w:r>
      <w:r w:rsidRPr="44E9A741">
        <w:rPr>
          <w:rFonts w:ascii="Arial" w:hAnsi="Arial" w:cs="Arial"/>
          <w:sz w:val="22"/>
          <w:szCs w:val="22"/>
        </w:rPr>
        <w:t xml:space="preserve"> introduced by Ivan Pavlov through his dog experiments, is a form of learning through association. A neutral stimulus becomes connected to an unconditioned stimulus, eventually triggering a conditioned response. In Pavlov’s case, dogs learned to salivate (conditioned response) at the sound of a bell (neutral stimulus) after it was repeatedly paired with food (unconditioned stimulus) (McLeod, 2025). In dementia care, this principle can be used by linking pleasant stimuli with routine </w:t>
      </w:r>
      <w:r w:rsidR="68ECAC46" w:rsidRPr="44E9A741">
        <w:rPr>
          <w:rFonts w:ascii="Arial" w:hAnsi="Arial" w:cs="Arial"/>
          <w:sz w:val="22"/>
          <w:szCs w:val="22"/>
        </w:rPr>
        <w:t>tasks,</w:t>
      </w:r>
      <w:r w:rsidR="00127B00" w:rsidRPr="44E9A741">
        <w:rPr>
          <w:rFonts w:ascii="Arial" w:hAnsi="Arial" w:cs="Arial"/>
          <w:sz w:val="22"/>
          <w:szCs w:val="22"/>
        </w:rPr>
        <w:t xml:space="preserve"> </w:t>
      </w:r>
      <w:r w:rsidRPr="44E9A741">
        <w:rPr>
          <w:rFonts w:ascii="Arial" w:hAnsi="Arial" w:cs="Arial"/>
          <w:sz w:val="22"/>
          <w:szCs w:val="22"/>
        </w:rPr>
        <w:t>for instance, playing calming music during meals to create a positive, soothing atmosphere and reduce agitation.</w:t>
      </w:r>
    </w:p>
    <w:p w14:paraId="0108F59D" w14:textId="1CB85683" w:rsidR="00835B6A" w:rsidRPr="008B0A61" w:rsidRDefault="00835B6A" w:rsidP="008B0A61">
      <w:pPr>
        <w:spacing w:line="360" w:lineRule="auto"/>
        <w:rPr>
          <w:rFonts w:ascii="Arial" w:hAnsi="Arial" w:cs="Arial"/>
          <w:sz w:val="22"/>
          <w:szCs w:val="22"/>
        </w:rPr>
      </w:pPr>
      <w:r w:rsidRPr="44E9A741">
        <w:rPr>
          <w:rFonts w:ascii="Arial" w:hAnsi="Arial" w:cs="Arial"/>
          <w:b/>
          <w:bCs/>
          <w:sz w:val="22"/>
          <w:szCs w:val="22"/>
        </w:rPr>
        <w:t>Operant Conditioning</w:t>
      </w:r>
      <w:r w:rsidRPr="44E9A741">
        <w:rPr>
          <w:rFonts w:ascii="Arial" w:hAnsi="Arial" w:cs="Arial"/>
          <w:sz w:val="22"/>
          <w:szCs w:val="22"/>
        </w:rPr>
        <w:t xml:space="preserve">, introduced by B.F. Skinner, explains how </w:t>
      </w:r>
      <w:r w:rsidR="3EA002F2" w:rsidRPr="44E9A741">
        <w:rPr>
          <w:rFonts w:ascii="Arial" w:hAnsi="Arial" w:cs="Arial"/>
          <w:sz w:val="22"/>
          <w:szCs w:val="22"/>
        </w:rPr>
        <w:t>behavior</w:t>
      </w:r>
      <w:r w:rsidRPr="44E9A741">
        <w:rPr>
          <w:rFonts w:ascii="Arial" w:hAnsi="Arial" w:cs="Arial"/>
          <w:sz w:val="22"/>
          <w:szCs w:val="22"/>
        </w:rPr>
        <w:t xml:space="preserve"> is influenced by its consequences. It highlights positive reinforcement, where rewarding a desired </w:t>
      </w:r>
      <w:r w:rsidR="4A7451D0" w:rsidRPr="44E9A741">
        <w:rPr>
          <w:rFonts w:ascii="Arial" w:hAnsi="Arial" w:cs="Arial"/>
          <w:sz w:val="22"/>
          <w:szCs w:val="22"/>
        </w:rPr>
        <w:t>behavior</w:t>
      </w:r>
      <w:r w:rsidRPr="44E9A741">
        <w:rPr>
          <w:rFonts w:ascii="Arial" w:hAnsi="Arial" w:cs="Arial"/>
          <w:sz w:val="22"/>
          <w:szCs w:val="22"/>
        </w:rPr>
        <w:t xml:space="preserve"> increases its likelihood, and negative reinforcement, where removing an unpleasant stimulus encourages behaviour. Punishment, in contrast, is used to reduce undesirable actions. Skinner also proposed reinforcement schedules, which outline how often and when rewards are given, affecting how strongly </w:t>
      </w:r>
      <w:r w:rsidR="1AE44439" w:rsidRPr="44E9A741">
        <w:rPr>
          <w:rFonts w:ascii="Arial" w:hAnsi="Arial" w:cs="Arial"/>
          <w:sz w:val="22"/>
          <w:szCs w:val="22"/>
        </w:rPr>
        <w:t>behaviors</w:t>
      </w:r>
      <w:r w:rsidRPr="44E9A741">
        <w:rPr>
          <w:rFonts w:ascii="Arial" w:hAnsi="Arial" w:cs="Arial"/>
          <w:sz w:val="22"/>
          <w:szCs w:val="22"/>
        </w:rPr>
        <w:t xml:space="preserve"> are learned and maintained (James et al., 2021). In dementia care, this approach is applied when caregivers use praise or preferred activities to reinforce calm, cooperative </w:t>
      </w:r>
      <w:r w:rsidR="478CCED4" w:rsidRPr="44E9A741">
        <w:rPr>
          <w:rFonts w:ascii="Arial" w:hAnsi="Arial" w:cs="Arial"/>
          <w:sz w:val="22"/>
          <w:szCs w:val="22"/>
        </w:rPr>
        <w:t>behavior</w:t>
      </w:r>
      <w:r w:rsidRPr="44E9A741">
        <w:rPr>
          <w:rFonts w:ascii="Arial" w:hAnsi="Arial" w:cs="Arial"/>
          <w:sz w:val="22"/>
          <w:szCs w:val="22"/>
        </w:rPr>
        <w:t xml:space="preserve"> during tasks like personal care.</w:t>
      </w:r>
    </w:p>
    <w:p w14:paraId="4FC34BFF" w14:textId="77777777" w:rsidR="00CA48C7" w:rsidRPr="008B0A61" w:rsidRDefault="00CA48C7" w:rsidP="008B0A61">
      <w:pPr>
        <w:pStyle w:val="Heading1"/>
        <w:spacing w:line="360" w:lineRule="auto"/>
        <w:rPr>
          <w:rFonts w:ascii="Arial" w:hAnsi="Arial" w:cs="Arial"/>
          <w:b/>
          <w:bCs/>
          <w:color w:val="000000" w:themeColor="text1"/>
          <w:sz w:val="22"/>
          <w:szCs w:val="22"/>
        </w:rPr>
      </w:pPr>
      <w:bookmarkStart w:id="2" w:name="_Toc215606151"/>
      <w:r w:rsidRPr="008B0A61">
        <w:rPr>
          <w:rFonts w:ascii="Arial" w:hAnsi="Arial" w:cs="Arial"/>
          <w:b/>
          <w:bCs/>
          <w:color w:val="000000" w:themeColor="text1"/>
          <w:sz w:val="22"/>
          <w:szCs w:val="22"/>
        </w:rPr>
        <w:t>Relevance to Adult Development</w:t>
      </w:r>
      <w:bookmarkEnd w:id="2"/>
    </w:p>
    <w:p w14:paraId="124745D0" w14:textId="5D8B58CA" w:rsidR="00683E9F" w:rsidRPr="008B0A61" w:rsidRDefault="6D53A97A" w:rsidP="008B0A61">
      <w:pPr>
        <w:spacing w:line="360" w:lineRule="auto"/>
        <w:rPr>
          <w:rFonts w:ascii="Arial" w:hAnsi="Arial" w:cs="Arial"/>
          <w:sz w:val="22"/>
          <w:szCs w:val="22"/>
        </w:rPr>
      </w:pPr>
      <w:r w:rsidRPr="44E9A741">
        <w:rPr>
          <w:rFonts w:ascii="Arial" w:hAnsi="Arial" w:cs="Arial"/>
          <w:sz w:val="22"/>
          <w:szCs w:val="22"/>
        </w:rPr>
        <w:t>Behaviorism</w:t>
      </w:r>
      <w:r w:rsidR="00CA48C7" w:rsidRPr="44E9A741">
        <w:rPr>
          <w:rFonts w:ascii="Arial" w:hAnsi="Arial" w:cs="Arial"/>
          <w:sz w:val="22"/>
          <w:szCs w:val="22"/>
        </w:rPr>
        <w:t xml:space="preserve"> is relevant to adults aged 65 and over as it provides practical methods for addressing </w:t>
      </w:r>
      <w:r w:rsidR="27BCCD1A" w:rsidRPr="44E9A741">
        <w:rPr>
          <w:rFonts w:ascii="Arial" w:hAnsi="Arial" w:cs="Arial"/>
          <w:sz w:val="22"/>
          <w:szCs w:val="22"/>
        </w:rPr>
        <w:t>behavioral</w:t>
      </w:r>
      <w:r w:rsidR="00CA48C7" w:rsidRPr="44E9A741">
        <w:rPr>
          <w:rFonts w:ascii="Arial" w:hAnsi="Arial" w:cs="Arial"/>
          <w:sz w:val="22"/>
          <w:szCs w:val="22"/>
        </w:rPr>
        <w:t xml:space="preserve"> symptoms linked to aging and dementia. Older adults may show signs of cognitive decline, memory issues, and emotional dysregulation, leading to </w:t>
      </w:r>
      <w:r w:rsidR="20E69411" w:rsidRPr="44E9A741">
        <w:rPr>
          <w:rFonts w:ascii="Arial" w:hAnsi="Arial" w:cs="Arial"/>
          <w:sz w:val="22"/>
          <w:szCs w:val="22"/>
        </w:rPr>
        <w:t>behaviors</w:t>
      </w:r>
      <w:r w:rsidR="00CA48C7" w:rsidRPr="44E9A741">
        <w:rPr>
          <w:rFonts w:ascii="Arial" w:hAnsi="Arial" w:cs="Arial"/>
          <w:sz w:val="22"/>
          <w:szCs w:val="22"/>
        </w:rPr>
        <w:t xml:space="preserve"> like agitation, wandering, or resisting care (James et al., 2021). These </w:t>
      </w:r>
      <w:r w:rsidR="3FE8175F" w:rsidRPr="44E9A741">
        <w:rPr>
          <w:rFonts w:ascii="Arial" w:hAnsi="Arial" w:cs="Arial"/>
          <w:sz w:val="22"/>
          <w:szCs w:val="22"/>
        </w:rPr>
        <w:t>behaviors</w:t>
      </w:r>
      <w:r w:rsidR="00CA48C7" w:rsidRPr="44E9A741">
        <w:rPr>
          <w:rFonts w:ascii="Arial" w:hAnsi="Arial" w:cs="Arial"/>
          <w:sz w:val="22"/>
          <w:szCs w:val="22"/>
        </w:rPr>
        <w:t xml:space="preserve"> can be difficult for both individuals and caregivers. </w:t>
      </w:r>
      <w:r w:rsidR="25A85811" w:rsidRPr="44E9A741">
        <w:rPr>
          <w:rFonts w:ascii="Arial" w:hAnsi="Arial" w:cs="Arial"/>
          <w:sz w:val="22"/>
          <w:szCs w:val="22"/>
        </w:rPr>
        <w:t>Behaviorism</w:t>
      </w:r>
      <w:r w:rsidR="00CA48C7" w:rsidRPr="44E9A741">
        <w:rPr>
          <w:rFonts w:ascii="Arial" w:hAnsi="Arial" w:cs="Arial"/>
          <w:sz w:val="22"/>
          <w:szCs w:val="22"/>
        </w:rPr>
        <w:t xml:space="preserve"> helps manage them by targeting observable actions and external triggers, rather than relying on cognitive processes that may be compromised due to dementia</w:t>
      </w:r>
    </w:p>
    <w:p w14:paraId="534E0923" w14:textId="2F575518" w:rsidR="00CA48C7" w:rsidRPr="008B0A61" w:rsidRDefault="00CA48C7" w:rsidP="008B0A61">
      <w:pPr>
        <w:spacing w:line="360" w:lineRule="auto"/>
        <w:rPr>
          <w:rFonts w:ascii="Arial" w:hAnsi="Arial" w:cs="Arial"/>
          <w:sz w:val="22"/>
          <w:szCs w:val="22"/>
        </w:rPr>
      </w:pPr>
      <w:r w:rsidRPr="44E9A741">
        <w:rPr>
          <w:rFonts w:ascii="Arial" w:hAnsi="Arial" w:cs="Arial"/>
          <w:sz w:val="22"/>
          <w:szCs w:val="22"/>
        </w:rPr>
        <w:t xml:space="preserve">For instance, operant conditioning can support positive </w:t>
      </w:r>
      <w:r w:rsidR="5113FFD2" w:rsidRPr="44E9A741">
        <w:rPr>
          <w:rFonts w:ascii="Arial" w:hAnsi="Arial" w:cs="Arial"/>
          <w:sz w:val="22"/>
          <w:szCs w:val="22"/>
        </w:rPr>
        <w:t>behaviors</w:t>
      </w:r>
      <w:r w:rsidRPr="44E9A741">
        <w:rPr>
          <w:rFonts w:ascii="Arial" w:hAnsi="Arial" w:cs="Arial"/>
          <w:sz w:val="22"/>
          <w:szCs w:val="22"/>
        </w:rPr>
        <w:t xml:space="preserve"> like cooperating during care routines or engaging in group activities. Using positive reinforcement such as praise or access to preferred activities can increase these </w:t>
      </w:r>
      <w:r w:rsidR="72D09D41" w:rsidRPr="44E9A741">
        <w:rPr>
          <w:rFonts w:ascii="Arial" w:hAnsi="Arial" w:cs="Arial"/>
          <w:sz w:val="22"/>
          <w:szCs w:val="22"/>
        </w:rPr>
        <w:t>behaviors</w:t>
      </w:r>
      <w:r w:rsidRPr="44E9A741">
        <w:rPr>
          <w:rFonts w:ascii="Arial" w:hAnsi="Arial" w:cs="Arial"/>
          <w:sz w:val="22"/>
          <w:szCs w:val="22"/>
        </w:rPr>
        <w:t>, while negative reinforcement may ease anxiety by removing discomfort (Buchanan, 2006). Classical conditioning can also link pleasant stimuli, like music, to daily tasks, making them more tolerable. These methods are especially suitable for older adults with dementia, as they rely on repetition and environmental cues rather than complex thinking or memory, making them effective even when cognitive function is impaired</w:t>
      </w:r>
    </w:p>
    <w:p w14:paraId="73C175FA" w14:textId="62CC51BC" w:rsidR="00CA48C7" w:rsidRPr="008B0A61" w:rsidRDefault="009C6CC0" w:rsidP="008B0A61">
      <w:pPr>
        <w:pStyle w:val="Heading1"/>
        <w:spacing w:line="360" w:lineRule="auto"/>
        <w:rPr>
          <w:rFonts w:ascii="Arial" w:hAnsi="Arial" w:cs="Arial"/>
          <w:b/>
          <w:bCs/>
          <w:color w:val="000000" w:themeColor="text1"/>
          <w:sz w:val="22"/>
          <w:szCs w:val="22"/>
        </w:rPr>
      </w:pPr>
      <w:bookmarkStart w:id="3" w:name="_Toc215606152"/>
      <w:r w:rsidRPr="44E9A741">
        <w:rPr>
          <w:rFonts w:ascii="Arial" w:hAnsi="Arial" w:cs="Arial"/>
          <w:b/>
          <w:bCs/>
          <w:color w:val="000000" w:themeColor="text1"/>
          <w:sz w:val="22"/>
          <w:szCs w:val="22"/>
        </w:rPr>
        <w:t>Strengths</w:t>
      </w:r>
      <w:r w:rsidR="00A3375A" w:rsidRPr="44E9A741">
        <w:rPr>
          <w:rFonts w:ascii="Arial" w:hAnsi="Arial" w:cs="Arial"/>
          <w:b/>
          <w:bCs/>
          <w:color w:val="000000" w:themeColor="text1"/>
          <w:sz w:val="22"/>
          <w:szCs w:val="22"/>
        </w:rPr>
        <w:t xml:space="preserve">, </w:t>
      </w:r>
      <w:r w:rsidR="00CA48C7" w:rsidRPr="44E9A741">
        <w:rPr>
          <w:rFonts w:ascii="Arial" w:hAnsi="Arial" w:cs="Arial"/>
          <w:b/>
          <w:bCs/>
          <w:color w:val="000000" w:themeColor="text1"/>
          <w:sz w:val="22"/>
          <w:szCs w:val="22"/>
        </w:rPr>
        <w:t>limitations</w:t>
      </w:r>
      <w:r w:rsidR="00A3375A" w:rsidRPr="44E9A741">
        <w:rPr>
          <w:rFonts w:ascii="Arial" w:hAnsi="Arial" w:cs="Arial"/>
          <w:b/>
          <w:bCs/>
          <w:color w:val="000000" w:themeColor="text1"/>
          <w:sz w:val="22"/>
          <w:szCs w:val="22"/>
        </w:rPr>
        <w:t xml:space="preserve"> and criticisms </w:t>
      </w:r>
      <w:r w:rsidR="00CA48C7" w:rsidRPr="44E9A741">
        <w:rPr>
          <w:rFonts w:ascii="Arial" w:hAnsi="Arial" w:cs="Arial"/>
          <w:b/>
          <w:bCs/>
          <w:color w:val="000000" w:themeColor="text1"/>
          <w:sz w:val="22"/>
          <w:szCs w:val="22"/>
        </w:rPr>
        <w:t xml:space="preserve">of </w:t>
      </w:r>
      <w:r w:rsidR="143F5A0C" w:rsidRPr="44E9A741">
        <w:rPr>
          <w:rFonts w:ascii="Arial" w:hAnsi="Arial" w:cs="Arial"/>
          <w:b/>
          <w:bCs/>
          <w:color w:val="000000" w:themeColor="text1"/>
          <w:sz w:val="22"/>
          <w:szCs w:val="22"/>
        </w:rPr>
        <w:t>Behaviorism</w:t>
      </w:r>
      <w:r w:rsidR="00CA48C7" w:rsidRPr="44E9A741">
        <w:rPr>
          <w:rFonts w:ascii="Arial" w:hAnsi="Arial" w:cs="Arial"/>
          <w:b/>
          <w:bCs/>
          <w:color w:val="000000" w:themeColor="text1"/>
          <w:sz w:val="22"/>
          <w:szCs w:val="22"/>
        </w:rPr>
        <w:t xml:space="preserve"> in Dementia Care.</w:t>
      </w:r>
      <w:bookmarkEnd w:id="3"/>
    </w:p>
    <w:p w14:paraId="5FD7F819" w14:textId="364D7BA4" w:rsidR="003C78A8" w:rsidRPr="008B0A61" w:rsidRDefault="41FFCB47" w:rsidP="008B0A61">
      <w:pPr>
        <w:spacing w:line="360" w:lineRule="auto"/>
        <w:rPr>
          <w:rFonts w:ascii="Arial" w:hAnsi="Arial" w:cs="Arial"/>
          <w:sz w:val="22"/>
          <w:szCs w:val="22"/>
        </w:rPr>
      </w:pPr>
      <w:r w:rsidRPr="44E9A741">
        <w:rPr>
          <w:rFonts w:ascii="Arial" w:hAnsi="Arial" w:cs="Arial"/>
          <w:sz w:val="22"/>
          <w:szCs w:val="22"/>
        </w:rPr>
        <w:t>The main</w:t>
      </w:r>
      <w:r w:rsidR="003C78A8" w:rsidRPr="44E9A741">
        <w:rPr>
          <w:rFonts w:ascii="Arial" w:hAnsi="Arial" w:cs="Arial"/>
          <w:sz w:val="22"/>
          <w:szCs w:val="22"/>
        </w:rPr>
        <w:t xml:space="preserve"> strength of </w:t>
      </w:r>
      <w:r w:rsidR="0965FBBE" w:rsidRPr="44E9A741">
        <w:rPr>
          <w:rFonts w:ascii="Arial" w:hAnsi="Arial" w:cs="Arial"/>
          <w:sz w:val="22"/>
          <w:szCs w:val="22"/>
        </w:rPr>
        <w:t>behaviorism</w:t>
      </w:r>
      <w:r w:rsidR="003C78A8" w:rsidRPr="44E9A741">
        <w:rPr>
          <w:rFonts w:ascii="Arial" w:hAnsi="Arial" w:cs="Arial"/>
          <w:sz w:val="22"/>
          <w:szCs w:val="22"/>
        </w:rPr>
        <w:t xml:space="preserve"> is its practical, measurable nature. Interventions are easy to implement in care homes and can be observed and adjusted (James et al., 2021). It supports non-drug approaches to managing challenging </w:t>
      </w:r>
      <w:r w:rsidR="5DE509D9" w:rsidRPr="44E9A741">
        <w:rPr>
          <w:rFonts w:ascii="Arial" w:hAnsi="Arial" w:cs="Arial"/>
          <w:sz w:val="22"/>
          <w:szCs w:val="22"/>
        </w:rPr>
        <w:t>behaviors</w:t>
      </w:r>
      <w:r w:rsidR="003C78A8" w:rsidRPr="44E9A741">
        <w:rPr>
          <w:rFonts w:ascii="Arial" w:hAnsi="Arial" w:cs="Arial"/>
          <w:sz w:val="22"/>
          <w:szCs w:val="22"/>
        </w:rPr>
        <w:t xml:space="preserve"> and aligns with best dementia care practices. Reinforcement techniques can be </w:t>
      </w:r>
      <w:r w:rsidR="189DC1D9" w:rsidRPr="44E9A741">
        <w:rPr>
          <w:rFonts w:ascii="Arial" w:hAnsi="Arial" w:cs="Arial"/>
          <w:sz w:val="22"/>
          <w:szCs w:val="22"/>
        </w:rPr>
        <w:t>personalized</w:t>
      </w:r>
      <w:r w:rsidR="003C78A8" w:rsidRPr="44E9A741">
        <w:rPr>
          <w:rFonts w:ascii="Arial" w:hAnsi="Arial" w:cs="Arial"/>
          <w:sz w:val="22"/>
          <w:szCs w:val="22"/>
        </w:rPr>
        <w:t>, making care more person-centred. Its emphasis on structured environments also helps lower anxiety and confusion in older adults with dementia.</w:t>
      </w:r>
    </w:p>
    <w:p w14:paraId="7B55AFB8" w14:textId="172BF3D4" w:rsidR="003C78A8" w:rsidRPr="008B0A61" w:rsidRDefault="003C78A8" w:rsidP="008B0A61">
      <w:pPr>
        <w:spacing w:line="360" w:lineRule="auto"/>
        <w:rPr>
          <w:rFonts w:ascii="Arial" w:hAnsi="Arial" w:cs="Arial"/>
          <w:sz w:val="22"/>
          <w:szCs w:val="22"/>
        </w:rPr>
      </w:pPr>
      <w:r w:rsidRPr="44E9A741">
        <w:rPr>
          <w:rFonts w:ascii="Arial" w:hAnsi="Arial" w:cs="Arial"/>
          <w:sz w:val="22"/>
          <w:szCs w:val="22"/>
        </w:rPr>
        <w:t xml:space="preserve">Despite its usefulness, </w:t>
      </w:r>
      <w:r w:rsidR="4FA051B9" w:rsidRPr="44E9A741">
        <w:rPr>
          <w:rFonts w:ascii="Arial" w:hAnsi="Arial" w:cs="Arial"/>
          <w:sz w:val="22"/>
          <w:szCs w:val="22"/>
        </w:rPr>
        <w:t>behaviorism</w:t>
      </w:r>
      <w:r w:rsidRPr="44E9A741">
        <w:rPr>
          <w:rFonts w:ascii="Arial" w:hAnsi="Arial" w:cs="Arial"/>
          <w:sz w:val="22"/>
          <w:szCs w:val="22"/>
        </w:rPr>
        <w:t xml:space="preserve"> has key limitations in dementia care. It takes a reductionist approach, focusing only on outward </w:t>
      </w:r>
      <w:r w:rsidR="716ED2C0" w:rsidRPr="44E9A741">
        <w:rPr>
          <w:rFonts w:ascii="Arial" w:hAnsi="Arial" w:cs="Arial"/>
          <w:sz w:val="22"/>
          <w:szCs w:val="22"/>
        </w:rPr>
        <w:t>behavior's</w:t>
      </w:r>
      <w:r w:rsidRPr="44E9A741">
        <w:rPr>
          <w:rFonts w:ascii="Arial" w:hAnsi="Arial" w:cs="Arial"/>
          <w:sz w:val="22"/>
          <w:szCs w:val="22"/>
        </w:rPr>
        <w:t xml:space="preserve"> while overlooking the emotional and cognitive aspects of the condition (Patel et al., 2018). This can result in symptom control without addressing deeper psychological needs. It may also </w:t>
      </w:r>
      <w:r w:rsidR="43506F44" w:rsidRPr="44E9A741">
        <w:rPr>
          <w:rFonts w:ascii="Arial" w:hAnsi="Arial" w:cs="Arial"/>
          <w:sz w:val="22"/>
          <w:szCs w:val="22"/>
        </w:rPr>
        <w:t>depersonalize</w:t>
      </w:r>
      <w:r w:rsidRPr="44E9A741">
        <w:rPr>
          <w:rFonts w:ascii="Arial" w:hAnsi="Arial" w:cs="Arial"/>
          <w:sz w:val="22"/>
          <w:szCs w:val="22"/>
        </w:rPr>
        <w:t xml:space="preserve"> individuals, treating them as subjects of control rather than as people with unique histories. Ethical concerns arise when strategies resemble punishment. Additionally, </w:t>
      </w:r>
      <w:r w:rsidR="3FC7DB08" w:rsidRPr="44E9A741">
        <w:rPr>
          <w:rFonts w:ascii="Arial" w:hAnsi="Arial" w:cs="Arial"/>
          <w:sz w:val="22"/>
          <w:szCs w:val="22"/>
        </w:rPr>
        <w:t>behaviorism</w:t>
      </w:r>
      <w:r w:rsidRPr="44E9A741">
        <w:rPr>
          <w:rFonts w:ascii="Arial" w:hAnsi="Arial" w:cs="Arial"/>
          <w:sz w:val="22"/>
          <w:szCs w:val="22"/>
        </w:rPr>
        <w:t xml:space="preserve"> lacks focus on empathy, emotional connection, and meaning</w:t>
      </w:r>
      <w:r w:rsidR="00BA6290" w:rsidRPr="44E9A741">
        <w:rPr>
          <w:rFonts w:ascii="Arial" w:hAnsi="Arial" w:cs="Arial"/>
          <w:sz w:val="22"/>
          <w:szCs w:val="22"/>
        </w:rPr>
        <w:t xml:space="preserve"> </w:t>
      </w:r>
      <w:r w:rsidRPr="44E9A741">
        <w:rPr>
          <w:rFonts w:ascii="Arial" w:hAnsi="Arial" w:cs="Arial"/>
          <w:sz w:val="22"/>
          <w:szCs w:val="22"/>
        </w:rPr>
        <w:t>all vital for preserving dignity and improving life quality in advanced dementia (Scales et al., 2018).</w:t>
      </w:r>
    </w:p>
    <w:p w14:paraId="2143217A" w14:textId="77777777" w:rsidR="009C6CC0" w:rsidRPr="008B0A61" w:rsidRDefault="009C6CC0" w:rsidP="008B0A61">
      <w:pPr>
        <w:pStyle w:val="Heading1"/>
        <w:spacing w:line="360" w:lineRule="auto"/>
        <w:rPr>
          <w:rFonts w:ascii="Arial" w:hAnsi="Arial" w:cs="Arial"/>
          <w:b/>
          <w:bCs/>
          <w:color w:val="000000" w:themeColor="text1"/>
          <w:sz w:val="22"/>
          <w:szCs w:val="22"/>
        </w:rPr>
      </w:pPr>
      <w:bookmarkStart w:id="4" w:name="_Toc215606153"/>
      <w:r w:rsidRPr="008B0A61">
        <w:rPr>
          <w:rFonts w:ascii="Arial" w:hAnsi="Arial" w:cs="Arial"/>
          <w:b/>
          <w:bCs/>
          <w:color w:val="000000" w:themeColor="text1"/>
          <w:sz w:val="22"/>
          <w:szCs w:val="22"/>
        </w:rPr>
        <w:t>Erikson’s Psychosocial Theory</w:t>
      </w:r>
      <w:bookmarkEnd w:id="4"/>
    </w:p>
    <w:p w14:paraId="276813EC" w14:textId="77777777" w:rsidR="00FE6449" w:rsidRPr="008B0A61" w:rsidRDefault="00FE6449" w:rsidP="008B0A61">
      <w:pPr>
        <w:spacing w:line="360" w:lineRule="auto"/>
        <w:rPr>
          <w:rFonts w:ascii="Arial" w:hAnsi="Arial" w:cs="Arial"/>
          <w:sz w:val="22"/>
          <w:szCs w:val="22"/>
        </w:rPr>
      </w:pPr>
      <w:r w:rsidRPr="008B0A61">
        <w:rPr>
          <w:rFonts w:ascii="Arial" w:hAnsi="Arial" w:cs="Arial"/>
          <w:sz w:val="22"/>
          <w:szCs w:val="22"/>
        </w:rPr>
        <w:t>Erikson’s psychosocial theory, developed by German-American psychologist Erik Erikson in the mid-20th century, builds on Freud’s psychodynamic ideas but shifts focus toward social and cultural factors influencing development throughout life. Unlike Freud’s emphasis on early childhood, Erikson proposed that human development unfolds in eight stages, each defined by a specific psychosocial conflict that must be resolved for healthy psychological growth (Erikson, 1982).</w:t>
      </w:r>
    </w:p>
    <w:p w14:paraId="5ED10CF7" w14:textId="77777777" w:rsidR="009F215A" w:rsidRPr="008B0A61" w:rsidRDefault="009F215A" w:rsidP="008B0A61">
      <w:pPr>
        <w:spacing w:line="360" w:lineRule="auto"/>
        <w:rPr>
          <w:rFonts w:ascii="Arial" w:hAnsi="Arial" w:cs="Arial"/>
          <w:sz w:val="22"/>
          <w:szCs w:val="22"/>
        </w:rPr>
      </w:pPr>
      <w:r w:rsidRPr="008B0A61">
        <w:rPr>
          <w:rFonts w:ascii="Arial" w:hAnsi="Arial" w:cs="Arial"/>
          <w:sz w:val="22"/>
          <w:szCs w:val="22"/>
        </w:rPr>
        <w:t>Erikson’s psychosocial stages start in infancy with trust versus mistrust, where reliable caregiving builds security. Early childhood focuses on autonomy versus shame and doubt, encouraging independence. Preschoolers navigate initiative versus guilt, learning to assert themselves. School-age children face industry versus inferiority, developing skills and confidence. Adolescents work through identity versus role confusion to form a sense of self. Young adults experience intimacy versus isolation, seeking close relationships. In middle adulthood, generativity versus stagnation involves contributing to society and supporting </w:t>
      </w:r>
      <w:r w:rsidR="00BA6290" w:rsidRPr="008B0A61">
        <w:rPr>
          <w:rFonts w:ascii="Arial" w:hAnsi="Arial" w:cs="Arial"/>
          <w:sz w:val="22"/>
          <w:szCs w:val="22"/>
        </w:rPr>
        <w:t>others. The</w:t>
      </w:r>
      <w:r w:rsidRPr="008B0A61">
        <w:rPr>
          <w:rFonts w:ascii="Arial" w:hAnsi="Arial" w:cs="Arial"/>
          <w:sz w:val="22"/>
          <w:szCs w:val="22"/>
        </w:rPr>
        <w:t xml:space="preserve"> final stage, integrity versus despair, applies to adults aged 65 and over as they reflect on their lives. Achieving integrity brings acceptance, wisdom, and emotional peace, while unresolved regrets can lead to despair, bitterness, and fear of death. This stage highlights the importance of identity, emotional well-being, and life review key considerations in dementia care, where cognitive decline can threaten a person’s sense of self and meaning.</w:t>
      </w:r>
    </w:p>
    <w:p w14:paraId="14EB3D78" w14:textId="77777777" w:rsidR="009C6CC0" w:rsidRPr="008B0A61" w:rsidRDefault="009C6CC0" w:rsidP="008B0A61">
      <w:pPr>
        <w:pStyle w:val="Heading1"/>
        <w:spacing w:line="360" w:lineRule="auto"/>
        <w:rPr>
          <w:rFonts w:ascii="Arial" w:hAnsi="Arial" w:cs="Arial"/>
          <w:b/>
          <w:bCs/>
          <w:color w:val="000000" w:themeColor="text1"/>
          <w:sz w:val="22"/>
          <w:szCs w:val="22"/>
        </w:rPr>
      </w:pPr>
      <w:bookmarkStart w:id="5" w:name="_Toc215606154"/>
      <w:r w:rsidRPr="008B0A61">
        <w:rPr>
          <w:rFonts w:ascii="Arial" w:hAnsi="Arial" w:cs="Arial"/>
          <w:b/>
          <w:bCs/>
          <w:color w:val="000000" w:themeColor="text1"/>
          <w:sz w:val="22"/>
          <w:szCs w:val="22"/>
        </w:rPr>
        <w:t>Relevance to Adult Development</w:t>
      </w:r>
      <w:bookmarkEnd w:id="5"/>
    </w:p>
    <w:p w14:paraId="1FA1E0FD" w14:textId="77777777" w:rsidR="009C6CC0" w:rsidRPr="008B0A61" w:rsidRDefault="009C6CC0" w:rsidP="008B0A61">
      <w:pPr>
        <w:spacing w:line="360" w:lineRule="auto"/>
        <w:rPr>
          <w:rFonts w:ascii="Arial" w:hAnsi="Arial" w:cs="Arial"/>
          <w:sz w:val="22"/>
          <w:szCs w:val="22"/>
        </w:rPr>
      </w:pPr>
      <w:r w:rsidRPr="008B0A61">
        <w:rPr>
          <w:rFonts w:ascii="Arial" w:hAnsi="Arial" w:cs="Arial"/>
          <w:sz w:val="22"/>
          <w:szCs w:val="22"/>
        </w:rPr>
        <w:t>Erikson’s psychosocial theory is highly relevant to individuals aged 65 and above, as it directly addresses the psychological tasks of later life. In the eighth and final stage, Integrity vs. Despair older adults engage in life reflection, assessing whether their lives have been meaningful and fulfilling (Erikson, 1982). A positive resolution of this stage fosters a sense of integrity, bringing feelings of wisdom, acceptance, and emotional peace. However, if individuals perceive their life as unfulfilled or filled with regret, they may experience despair, which can manifest as hopelessness, dissatisfaction, and fear of death (McLeod, 2025).</w:t>
      </w:r>
    </w:p>
    <w:p w14:paraId="20410CD3" w14:textId="77777777" w:rsidR="00573CAA" w:rsidRPr="008B0A61" w:rsidRDefault="00BA6290" w:rsidP="008B0A61">
      <w:pPr>
        <w:spacing w:line="360" w:lineRule="auto"/>
        <w:rPr>
          <w:rFonts w:ascii="Arial" w:hAnsi="Arial" w:cs="Arial"/>
          <w:sz w:val="22"/>
          <w:szCs w:val="22"/>
        </w:rPr>
      </w:pPr>
      <w:r w:rsidRPr="008B0A61">
        <w:rPr>
          <w:rFonts w:ascii="Arial" w:hAnsi="Arial" w:cs="Arial"/>
          <w:sz w:val="22"/>
          <w:szCs w:val="22"/>
        </w:rPr>
        <w:t>For people with dementia, Erikson’s final stage is harder to achieve due to memory loss and cognitive decline, which hinder meaningful life reflection (Patel et al., 2018). This can affect identity, autonomy, and emotional well-being, increasing feelings of despair. However, care staff can support this stage by using interventions that preserve identity and provide meaning. Techniques like reminiscence therapy, life story work, and validation therapy help individuals reconnect with their past, maintain selfhood, and improve emotional health (Scales et al., 2018). These are especially effective in care homes, where they also promote social interaction and reduce distress.</w:t>
      </w:r>
      <w:bookmarkStart w:id="6" w:name="_Toc215606155"/>
    </w:p>
    <w:p w14:paraId="7A95B5FE" w14:textId="77777777" w:rsidR="009C6CC0" w:rsidRPr="008B0A61" w:rsidRDefault="009C6CC0" w:rsidP="008B0A61">
      <w:pPr>
        <w:spacing w:line="360" w:lineRule="auto"/>
        <w:rPr>
          <w:rFonts w:ascii="Arial" w:hAnsi="Arial" w:cs="Arial"/>
          <w:b/>
          <w:bCs/>
          <w:color w:val="000000" w:themeColor="text1"/>
          <w:sz w:val="22"/>
          <w:szCs w:val="22"/>
        </w:rPr>
      </w:pPr>
      <w:r w:rsidRPr="008B0A61">
        <w:rPr>
          <w:rFonts w:ascii="Arial" w:hAnsi="Arial" w:cs="Arial"/>
          <w:b/>
          <w:bCs/>
          <w:color w:val="000000" w:themeColor="text1"/>
          <w:sz w:val="22"/>
          <w:szCs w:val="22"/>
        </w:rPr>
        <w:t>Strengths</w:t>
      </w:r>
      <w:r w:rsidR="004F5B77" w:rsidRPr="008B0A61">
        <w:rPr>
          <w:rFonts w:ascii="Arial" w:hAnsi="Arial" w:cs="Arial"/>
          <w:b/>
          <w:bCs/>
          <w:color w:val="000000" w:themeColor="text1"/>
          <w:sz w:val="22"/>
          <w:szCs w:val="22"/>
        </w:rPr>
        <w:t>,</w:t>
      </w:r>
      <w:r w:rsidRPr="008B0A61">
        <w:rPr>
          <w:rFonts w:ascii="Arial" w:hAnsi="Arial" w:cs="Arial"/>
          <w:b/>
          <w:bCs/>
          <w:color w:val="000000" w:themeColor="text1"/>
          <w:sz w:val="22"/>
          <w:szCs w:val="22"/>
        </w:rPr>
        <w:t xml:space="preserve"> </w:t>
      </w:r>
      <w:r w:rsidR="004F5B77" w:rsidRPr="008B0A61">
        <w:rPr>
          <w:rFonts w:ascii="Arial" w:hAnsi="Arial" w:cs="Arial"/>
          <w:b/>
          <w:bCs/>
          <w:color w:val="000000" w:themeColor="text1"/>
          <w:sz w:val="22"/>
          <w:szCs w:val="22"/>
        </w:rPr>
        <w:t xml:space="preserve">limitations and Criticisms </w:t>
      </w:r>
      <w:r w:rsidRPr="008B0A61">
        <w:rPr>
          <w:rFonts w:ascii="Arial" w:hAnsi="Arial" w:cs="Arial"/>
          <w:b/>
          <w:bCs/>
          <w:color w:val="000000" w:themeColor="text1"/>
          <w:sz w:val="22"/>
          <w:szCs w:val="22"/>
        </w:rPr>
        <w:t>of Erikson’s Theory in Dementia Care</w:t>
      </w:r>
      <w:bookmarkEnd w:id="6"/>
    </w:p>
    <w:p w14:paraId="5C73CC14" w14:textId="77777777" w:rsidR="003C78A8" w:rsidRPr="008B0A61" w:rsidRDefault="003C78A8" w:rsidP="008B0A61">
      <w:pPr>
        <w:spacing w:line="360" w:lineRule="auto"/>
        <w:rPr>
          <w:rFonts w:ascii="Arial" w:hAnsi="Arial" w:cs="Arial"/>
          <w:sz w:val="22"/>
          <w:szCs w:val="22"/>
        </w:rPr>
      </w:pPr>
      <w:r w:rsidRPr="008B0A61">
        <w:rPr>
          <w:rFonts w:ascii="Arial" w:hAnsi="Arial" w:cs="Arial"/>
          <w:sz w:val="22"/>
          <w:szCs w:val="22"/>
        </w:rPr>
        <w:t>A key strength of Erikson’s theory is its holistic, humanistic focus on emotional, social, and existential needs, aligning well with person-centred dementia care (Erikson, 1982). Unlike behaviourism, it emphasises identity, dignity, and meaning. Interventions like reminiscence therapy, based on this theory, improve mood, reduce agitation, and enhance social interaction (Patel et al., 2018). It also helps caregivers understand the emotional challenges of aging, encouraging more compassionate care.</w:t>
      </w:r>
    </w:p>
    <w:p w14:paraId="61691060" w14:textId="77777777" w:rsidR="003C78A8" w:rsidRPr="008B0A61" w:rsidRDefault="003C78A8" w:rsidP="008B0A61">
      <w:pPr>
        <w:spacing w:line="360" w:lineRule="auto"/>
        <w:rPr>
          <w:rFonts w:ascii="Arial" w:hAnsi="Arial" w:cs="Arial"/>
          <w:sz w:val="22"/>
          <w:szCs w:val="22"/>
        </w:rPr>
      </w:pPr>
      <w:r w:rsidRPr="008B0A61">
        <w:rPr>
          <w:rFonts w:ascii="Arial" w:hAnsi="Arial" w:cs="Arial"/>
          <w:sz w:val="22"/>
          <w:szCs w:val="22"/>
        </w:rPr>
        <w:t>Despite its value, Erikson’s theory has limitations in dementia care. It assumes the ability to reflect on life, which may be difficult for those with severe cognitive decline (Scales et al., 2018). Memory loss can hinder achieving integrity, reducing the theory’s relevance. It also reflects Western values like autonomy, limiting its cultural applicability (McLeod, 2025). Additionally, it lacks the measurable outcomes offered by behaviourist approaches, making evaluation harder. Therefore, it’s most effective when combined with other methods, such as behavioural strategies, for comprehensive care.</w:t>
      </w:r>
    </w:p>
    <w:p w14:paraId="16A62F69" w14:textId="77777777" w:rsidR="004E6F27" w:rsidRPr="008B0A61" w:rsidRDefault="004E6F27" w:rsidP="008B0A61">
      <w:pPr>
        <w:pStyle w:val="Heading1"/>
        <w:spacing w:line="360" w:lineRule="auto"/>
        <w:rPr>
          <w:rFonts w:ascii="Arial" w:hAnsi="Arial" w:cs="Arial"/>
          <w:b/>
          <w:bCs/>
          <w:color w:val="000000" w:themeColor="text1"/>
          <w:sz w:val="22"/>
          <w:szCs w:val="22"/>
        </w:rPr>
      </w:pPr>
      <w:bookmarkStart w:id="7" w:name="_Toc215606156"/>
      <w:r w:rsidRPr="008B0A61">
        <w:rPr>
          <w:rFonts w:ascii="Arial" w:hAnsi="Arial" w:cs="Arial"/>
          <w:b/>
          <w:bCs/>
          <w:color w:val="000000" w:themeColor="text1"/>
          <w:sz w:val="22"/>
          <w:szCs w:val="22"/>
        </w:rPr>
        <w:t>The application of psychological theories in dementia care homes</w:t>
      </w:r>
      <w:bookmarkEnd w:id="7"/>
    </w:p>
    <w:p w14:paraId="00757E47" w14:textId="77777777" w:rsidR="00BA6290" w:rsidRPr="008B0A61" w:rsidRDefault="00BA6290" w:rsidP="008B0A61">
      <w:pPr>
        <w:spacing w:line="360" w:lineRule="auto"/>
        <w:rPr>
          <w:rFonts w:ascii="Arial" w:hAnsi="Arial" w:cs="Arial"/>
          <w:sz w:val="22"/>
          <w:szCs w:val="22"/>
        </w:rPr>
      </w:pPr>
      <w:r w:rsidRPr="008B0A61">
        <w:rPr>
          <w:rFonts w:ascii="Arial" w:hAnsi="Arial" w:cs="Arial"/>
          <w:sz w:val="22"/>
          <w:szCs w:val="22"/>
        </w:rPr>
        <w:t>In care homes, Erikson’s theory can be applied through life story work, which uses photos and personal narratives to spark memories, reduce anxiety, and support emotional well-being. Reminiscence and music-based therapies also boost social engagement and reduce isolation. This approach helps explain behaviours like agitation or withdrawal as signs of unmet emotional needs. Promoting identity and a sense of integrity can ease distress. However, limited staff training in psychosocial care remains a barrier. Addressing this requires focused education on Erikson’s theory and person-centred care, emphasising the importance of preserving identity in dementia support.</w:t>
      </w:r>
    </w:p>
    <w:p w14:paraId="367A26EF" w14:textId="77777777" w:rsidR="00BA6290" w:rsidRPr="008B0A61" w:rsidRDefault="00BA6290" w:rsidP="008B0A61">
      <w:pPr>
        <w:spacing w:line="360" w:lineRule="auto"/>
        <w:rPr>
          <w:rFonts w:ascii="Arial" w:hAnsi="Arial" w:cs="Arial"/>
          <w:sz w:val="22"/>
          <w:szCs w:val="22"/>
        </w:rPr>
      </w:pPr>
      <w:r w:rsidRPr="008B0A61">
        <w:rPr>
          <w:rFonts w:ascii="Arial" w:hAnsi="Arial" w:cs="Arial"/>
          <w:sz w:val="22"/>
          <w:szCs w:val="22"/>
        </w:rPr>
        <w:t>Behaviourism targets observable behaviours and how reinforcement influences them. In dementia care, issues like agitation and wandering are common (James et al., 2020; Scharre, 2021). Tools like ABC analysis help identify triggers and outcomes. Positive reinforcement, such as praise or favourite activities, can promote cooperation and reduce resistance. Many behaviours result from stress or unmet needs rather than intent—agitation, for instance, may arise from overstimulation and can be managed by adjusting the environment. Strategies include structured routines, traffic light systems, and sensory therapies. However, time and staffing constraints often limit consistency. Standardised behaviour plans and staff training can help address these challenges.</w:t>
      </w:r>
    </w:p>
    <w:p w14:paraId="0734810F" w14:textId="77777777" w:rsidR="00BA6290" w:rsidRPr="008B0A61" w:rsidRDefault="00BA6290" w:rsidP="008B0A61">
      <w:pPr>
        <w:spacing w:line="360" w:lineRule="auto"/>
        <w:rPr>
          <w:rFonts w:ascii="Arial" w:hAnsi="Arial" w:cs="Arial"/>
          <w:sz w:val="22"/>
          <w:szCs w:val="22"/>
        </w:rPr>
      </w:pPr>
      <w:r w:rsidRPr="008B0A61">
        <w:rPr>
          <w:rFonts w:ascii="Arial" w:hAnsi="Arial" w:cs="Arial"/>
          <w:sz w:val="22"/>
          <w:szCs w:val="22"/>
        </w:rPr>
        <w:t>Applying Erikson’s theory and behaviourist principles in dementia care homes is challenging due to limited staff training, leading to reliance on routines or medication that overlook emotional and identity needs. Training sessions on life story work, reminiscence, and reinforcement strategies can help. Time and staffing constraints hinder consistency, but simple, brief interventions like memory prompts or small rewards can be integrated into daily care. Resident differences, especially with co-existing depression or anxiety, require tailored, interdisciplinary plans. Resistance to non-drug approaches can be reduced through education and advocacy, showing how these methods lower agitation and improve mood and quality of life.</w:t>
      </w:r>
    </w:p>
    <w:p w14:paraId="0447E06A" w14:textId="77777777" w:rsidR="00FE6449" w:rsidRPr="008B0A61" w:rsidRDefault="00FE6449" w:rsidP="008B0A61">
      <w:pPr>
        <w:pStyle w:val="Heading1"/>
        <w:spacing w:line="360" w:lineRule="auto"/>
        <w:rPr>
          <w:rFonts w:ascii="Arial" w:hAnsi="Arial" w:cs="Arial"/>
          <w:b/>
          <w:bCs/>
          <w:color w:val="000000" w:themeColor="text1"/>
          <w:sz w:val="22"/>
          <w:szCs w:val="22"/>
        </w:rPr>
      </w:pPr>
      <w:bookmarkStart w:id="8" w:name="_Toc215606157"/>
      <w:r w:rsidRPr="008B0A61">
        <w:rPr>
          <w:rFonts w:ascii="Arial" w:hAnsi="Arial" w:cs="Arial"/>
          <w:b/>
          <w:bCs/>
          <w:color w:val="000000" w:themeColor="text1"/>
          <w:sz w:val="22"/>
          <w:szCs w:val="22"/>
        </w:rPr>
        <w:t>Conclusion</w:t>
      </w:r>
      <w:bookmarkEnd w:id="8"/>
    </w:p>
    <w:p w14:paraId="5478EC51" w14:textId="77777777" w:rsidR="00807CF1" w:rsidRPr="008B0A61" w:rsidRDefault="00BA6290" w:rsidP="008B0A61">
      <w:pPr>
        <w:spacing w:line="360" w:lineRule="auto"/>
        <w:rPr>
          <w:rFonts w:ascii="Arial" w:hAnsi="Arial" w:cs="Arial"/>
          <w:sz w:val="22"/>
          <w:szCs w:val="22"/>
        </w:rPr>
      </w:pPr>
      <w:r w:rsidRPr="008B0A61">
        <w:rPr>
          <w:rFonts w:ascii="Arial" w:hAnsi="Arial" w:cs="Arial"/>
          <w:sz w:val="22"/>
          <w:szCs w:val="22"/>
        </w:rPr>
        <w:t>Dementia care for older adults requires more than physical support; it also demands psychological insight to manage behavioural and emotional challenges (Patel et al., 2018). Behaviourism and Erikson’s psychosocial theory offer complementary approaches. While behaviourism focuses on shaping behaviour through reinforcement and routine, Erikson highlights the importance of identity, meaning, and emotional well-being in later life (Erikson, 1982; Buchanan, 2006). Despite their individual limitations, using both together promotes a holistic, person-centred approach. This integrated model helps care professionals enhance well-being, preserve dignity, and reduce distress for individuals with dementia (Scales et al., 2018).</w:t>
      </w:r>
    </w:p>
    <w:p w14:paraId="3E0EC6E7" w14:textId="77777777" w:rsidR="00807CF1" w:rsidRPr="008B0A61" w:rsidRDefault="00807CF1" w:rsidP="008B0A61">
      <w:pPr>
        <w:pStyle w:val="Heading1"/>
        <w:spacing w:line="360" w:lineRule="auto"/>
        <w:rPr>
          <w:rFonts w:ascii="Arial" w:hAnsi="Arial" w:cs="Arial"/>
          <w:b/>
          <w:bCs/>
          <w:color w:val="auto"/>
          <w:sz w:val="22"/>
          <w:szCs w:val="22"/>
        </w:rPr>
      </w:pPr>
      <w:bookmarkStart w:id="9" w:name="_Toc215606158"/>
      <w:r w:rsidRPr="008B0A61">
        <w:rPr>
          <w:rFonts w:ascii="Arial" w:hAnsi="Arial" w:cs="Arial"/>
          <w:b/>
          <w:bCs/>
          <w:color w:val="auto"/>
          <w:sz w:val="22"/>
          <w:szCs w:val="22"/>
        </w:rPr>
        <w:t>Reference</w:t>
      </w:r>
      <w:bookmarkEnd w:id="9"/>
      <w:r w:rsidRPr="008B0A61">
        <w:rPr>
          <w:rFonts w:ascii="Arial" w:hAnsi="Arial" w:cs="Arial"/>
          <w:b/>
          <w:bCs/>
          <w:color w:val="auto"/>
          <w:sz w:val="22"/>
          <w:szCs w:val="22"/>
        </w:rPr>
        <w:t xml:space="preserve"> </w:t>
      </w:r>
    </w:p>
    <w:p w14:paraId="57F15FD6" w14:textId="5EEEAEF6" w:rsidR="00807CF1" w:rsidRPr="008B0A61" w:rsidRDefault="00807CF1" w:rsidP="008B0A61">
      <w:pPr>
        <w:spacing w:line="360" w:lineRule="auto"/>
        <w:rPr>
          <w:rFonts w:ascii="Arial" w:hAnsi="Arial" w:cs="Arial"/>
          <w:sz w:val="22"/>
          <w:szCs w:val="22"/>
        </w:rPr>
      </w:pPr>
      <w:r w:rsidRPr="008B0A61">
        <w:rPr>
          <w:rFonts w:ascii="Arial" w:hAnsi="Arial" w:cs="Arial"/>
          <w:sz w:val="22"/>
          <w:szCs w:val="22"/>
        </w:rPr>
        <w:t xml:space="preserve">Buchanan, J.A. (2006) </w:t>
      </w:r>
      <w:r w:rsidR="003E7ECA">
        <w:rPr>
          <w:rFonts w:ascii="Arial" w:hAnsi="Arial" w:cs="Arial"/>
          <w:sz w:val="22"/>
          <w:szCs w:val="22"/>
        </w:rPr>
        <w:t>‘</w:t>
      </w:r>
      <w:r w:rsidRPr="00D93416">
        <w:rPr>
          <w:rFonts w:ascii="Arial" w:hAnsi="Arial" w:cs="Arial"/>
          <w:sz w:val="22"/>
          <w:szCs w:val="22"/>
        </w:rPr>
        <w:t xml:space="preserve">A review of behavioral treatments for persons with </w:t>
      </w:r>
      <w:r w:rsidR="00300121" w:rsidRPr="00D93416">
        <w:rPr>
          <w:rFonts w:ascii="Arial" w:hAnsi="Arial" w:cs="Arial"/>
          <w:sz w:val="22"/>
          <w:szCs w:val="22"/>
        </w:rPr>
        <w:t>dementia</w:t>
      </w:r>
      <w:r w:rsidR="003E7ECA">
        <w:rPr>
          <w:rFonts w:ascii="Arial" w:hAnsi="Arial" w:cs="Arial"/>
          <w:sz w:val="22"/>
          <w:szCs w:val="22"/>
        </w:rPr>
        <w:t>’</w:t>
      </w:r>
      <w:r w:rsidR="00300121" w:rsidRPr="008B0A61">
        <w:rPr>
          <w:rFonts w:ascii="Arial" w:hAnsi="Arial" w:cs="Arial"/>
          <w:sz w:val="22"/>
          <w:szCs w:val="22"/>
        </w:rPr>
        <w:t>.</w:t>
      </w:r>
      <w:r w:rsidR="00300121" w:rsidRPr="008B0A61">
        <w:rPr>
          <w:rFonts w:ascii="Arial" w:hAnsi="Arial" w:cs="Arial"/>
          <w:i/>
          <w:iCs/>
          <w:sz w:val="22"/>
          <w:szCs w:val="22"/>
        </w:rPr>
        <w:t xml:space="preserve"> The</w:t>
      </w:r>
      <w:r w:rsidRPr="008B0A61">
        <w:rPr>
          <w:rFonts w:ascii="Arial" w:hAnsi="Arial" w:cs="Arial"/>
          <w:i/>
          <w:iCs/>
          <w:sz w:val="22"/>
          <w:szCs w:val="22"/>
        </w:rPr>
        <w:t xml:space="preserve"> Behavior Analyst Today</w:t>
      </w:r>
      <w:r w:rsidRPr="008B0A61">
        <w:rPr>
          <w:rFonts w:ascii="Arial" w:hAnsi="Arial" w:cs="Arial"/>
          <w:sz w:val="22"/>
          <w:szCs w:val="22"/>
        </w:rPr>
        <w:t>, 7(4), pp. 521–537. doi:10.1037/h0100092.</w:t>
      </w:r>
    </w:p>
    <w:p w14:paraId="61F67F5D" w14:textId="77777777" w:rsidR="00807CF1" w:rsidRPr="008B0A61" w:rsidRDefault="00807CF1" w:rsidP="008B0A61">
      <w:pPr>
        <w:spacing w:line="360" w:lineRule="auto"/>
        <w:rPr>
          <w:rFonts w:ascii="Arial" w:hAnsi="Arial" w:cs="Arial"/>
          <w:sz w:val="22"/>
          <w:szCs w:val="22"/>
        </w:rPr>
      </w:pPr>
      <w:r w:rsidRPr="008B0A61">
        <w:rPr>
          <w:rFonts w:ascii="Arial" w:hAnsi="Arial" w:cs="Arial"/>
          <w:sz w:val="22"/>
          <w:szCs w:val="22"/>
        </w:rPr>
        <w:t xml:space="preserve">Erikson, E.H. (1982) </w:t>
      </w:r>
      <w:r w:rsidRPr="008B0A61">
        <w:rPr>
          <w:rFonts w:ascii="Arial" w:hAnsi="Arial" w:cs="Arial"/>
          <w:i/>
          <w:iCs/>
          <w:sz w:val="22"/>
          <w:szCs w:val="22"/>
        </w:rPr>
        <w:t>The Life Cycle Completed</w:t>
      </w:r>
      <w:r w:rsidRPr="008B0A61">
        <w:rPr>
          <w:rFonts w:ascii="Arial" w:hAnsi="Arial" w:cs="Arial"/>
          <w:sz w:val="22"/>
          <w:szCs w:val="22"/>
        </w:rPr>
        <w:t>. New York: W.W. Norton.</w:t>
      </w:r>
    </w:p>
    <w:p w14:paraId="4880FED5" w14:textId="03172C85" w:rsidR="00807CF1" w:rsidRPr="008B0A61" w:rsidRDefault="00807CF1" w:rsidP="008B0A61">
      <w:pPr>
        <w:spacing w:line="360" w:lineRule="auto"/>
        <w:rPr>
          <w:rFonts w:ascii="Arial" w:hAnsi="Arial" w:cs="Arial"/>
          <w:sz w:val="22"/>
          <w:szCs w:val="22"/>
        </w:rPr>
      </w:pPr>
      <w:r w:rsidRPr="008B0A61">
        <w:rPr>
          <w:rFonts w:ascii="Arial" w:hAnsi="Arial" w:cs="Arial"/>
          <w:sz w:val="22"/>
          <w:szCs w:val="22"/>
        </w:rPr>
        <w:t xml:space="preserve">James, I.A., Gray, K., Moniz-Cook, E., Lee, K., Reichelt, K. and Richardson, J. (2021) </w:t>
      </w:r>
      <w:r w:rsidR="00802B7C">
        <w:rPr>
          <w:rFonts w:ascii="Arial" w:hAnsi="Arial" w:cs="Arial"/>
          <w:sz w:val="22"/>
          <w:szCs w:val="22"/>
        </w:rPr>
        <w:t>‘</w:t>
      </w:r>
      <w:r w:rsidRPr="00D52638">
        <w:rPr>
          <w:rFonts w:ascii="Arial" w:hAnsi="Arial" w:cs="Arial"/>
          <w:sz w:val="22"/>
          <w:szCs w:val="22"/>
        </w:rPr>
        <w:t>Behavioural and psychological symptoms of dementia</w:t>
      </w:r>
      <w:r w:rsidRPr="008B0A61">
        <w:rPr>
          <w:rFonts w:ascii="Arial" w:hAnsi="Arial" w:cs="Arial"/>
          <w:sz w:val="22"/>
          <w:szCs w:val="22"/>
        </w:rPr>
        <w:t>: a new framework for holistic understanding and non-pharmacological management</w:t>
      </w:r>
      <w:r w:rsidR="00802B7C">
        <w:rPr>
          <w:rFonts w:ascii="Arial" w:hAnsi="Arial" w:cs="Arial"/>
          <w:sz w:val="22"/>
          <w:szCs w:val="22"/>
        </w:rPr>
        <w:t>’</w:t>
      </w:r>
      <w:r w:rsidRPr="008B0A61">
        <w:rPr>
          <w:rFonts w:ascii="Arial" w:hAnsi="Arial" w:cs="Arial"/>
          <w:sz w:val="22"/>
          <w:szCs w:val="22"/>
        </w:rPr>
        <w:t xml:space="preserve">, </w:t>
      </w:r>
      <w:r w:rsidRPr="008B0A61">
        <w:rPr>
          <w:rFonts w:ascii="Arial" w:hAnsi="Arial" w:cs="Arial"/>
          <w:i/>
          <w:iCs/>
          <w:sz w:val="22"/>
          <w:szCs w:val="22"/>
        </w:rPr>
        <w:t>Psych Advances</w:t>
      </w:r>
      <w:r w:rsidRPr="008B0A61">
        <w:rPr>
          <w:rFonts w:ascii="Arial" w:hAnsi="Arial" w:cs="Arial"/>
          <w:sz w:val="22"/>
          <w:szCs w:val="22"/>
        </w:rPr>
        <w:t>, 28(1), pp. 11–20. doi:10.1192/bja.2021.12.</w:t>
      </w:r>
    </w:p>
    <w:p w14:paraId="17BD0860" w14:textId="499DE6AB" w:rsidR="00807CF1" w:rsidRPr="008B0A61" w:rsidRDefault="00807CF1" w:rsidP="008B0A61">
      <w:pPr>
        <w:spacing w:line="360" w:lineRule="auto"/>
        <w:rPr>
          <w:rFonts w:ascii="Arial" w:hAnsi="Arial" w:cs="Arial"/>
          <w:sz w:val="22"/>
          <w:szCs w:val="22"/>
        </w:rPr>
      </w:pPr>
      <w:r w:rsidRPr="008B0A61">
        <w:rPr>
          <w:rFonts w:ascii="Arial" w:hAnsi="Arial" w:cs="Arial"/>
          <w:sz w:val="22"/>
          <w:szCs w:val="22"/>
        </w:rPr>
        <w:t xml:space="preserve">McLeod, S. (2025) </w:t>
      </w:r>
      <w:r w:rsidR="00D718EE">
        <w:rPr>
          <w:rFonts w:ascii="Arial" w:hAnsi="Arial" w:cs="Arial"/>
          <w:sz w:val="22"/>
          <w:szCs w:val="22"/>
        </w:rPr>
        <w:t>‘</w:t>
      </w:r>
      <w:r w:rsidRPr="008B0A61">
        <w:rPr>
          <w:rFonts w:ascii="Arial" w:hAnsi="Arial" w:cs="Arial"/>
          <w:sz w:val="22"/>
          <w:szCs w:val="22"/>
        </w:rPr>
        <w:t>Erik Erikson’s Stages of Psychosocial Development</w:t>
      </w:r>
      <w:r w:rsidR="00D718EE">
        <w:rPr>
          <w:rFonts w:ascii="Arial" w:hAnsi="Arial" w:cs="Arial"/>
          <w:sz w:val="22"/>
          <w:szCs w:val="22"/>
        </w:rPr>
        <w:t>’</w:t>
      </w:r>
      <w:r w:rsidRPr="008B0A61">
        <w:rPr>
          <w:rFonts w:ascii="Arial" w:hAnsi="Arial" w:cs="Arial"/>
          <w:sz w:val="22"/>
          <w:szCs w:val="22"/>
        </w:rPr>
        <w:t xml:space="preserve">, </w:t>
      </w:r>
      <w:r w:rsidRPr="008B0A61">
        <w:rPr>
          <w:rFonts w:ascii="Arial" w:hAnsi="Arial" w:cs="Arial"/>
          <w:i/>
          <w:iCs/>
          <w:sz w:val="22"/>
          <w:szCs w:val="22"/>
        </w:rPr>
        <w:t>Simply Psychology</w:t>
      </w:r>
      <w:r w:rsidRPr="008B0A61">
        <w:rPr>
          <w:rFonts w:ascii="Arial" w:hAnsi="Arial" w:cs="Arial"/>
          <w:sz w:val="22"/>
          <w:szCs w:val="22"/>
        </w:rPr>
        <w:t>. Available at: https://www.simplypsychology.org/erik-erikson.html (Accessed: 30 November 2025).</w:t>
      </w:r>
    </w:p>
    <w:p w14:paraId="49F6F9EE" w14:textId="51841BA7" w:rsidR="00807CF1" w:rsidRPr="008B0A61" w:rsidRDefault="00807CF1" w:rsidP="008B0A61">
      <w:pPr>
        <w:spacing w:line="360" w:lineRule="auto"/>
        <w:rPr>
          <w:rFonts w:ascii="Arial" w:hAnsi="Arial" w:cs="Arial"/>
          <w:sz w:val="22"/>
          <w:szCs w:val="22"/>
        </w:rPr>
      </w:pPr>
      <w:r w:rsidRPr="008B0A61">
        <w:rPr>
          <w:rFonts w:ascii="Arial" w:hAnsi="Arial" w:cs="Arial"/>
          <w:sz w:val="22"/>
          <w:szCs w:val="22"/>
        </w:rPr>
        <w:t xml:space="preserve">Patel, B., Perera, M., Pendleton, J., Richman, A. and Majumdar, B. (2018) </w:t>
      </w:r>
      <w:r w:rsidR="0020202A">
        <w:rPr>
          <w:rFonts w:ascii="Arial" w:hAnsi="Arial" w:cs="Arial"/>
          <w:sz w:val="22"/>
          <w:szCs w:val="22"/>
        </w:rPr>
        <w:t>‘</w:t>
      </w:r>
      <w:r w:rsidRPr="000E09DA">
        <w:rPr>
          <w:rFonts w:ascii="Arial" w:hAnsi="Arial" w:cs="Arial"/>
          <w:sz w:val="22"/>
          <w:szCs w:val="22"/>
        </w:rPr>
        <w:t>Psychosocial interventions for dementia: from evidence to practice</w:t>
      </w:r>
      <w:r w:rsidR="0020202A">
        <w:rPr>
          <w:rFonts w:ascii="Arial" w:hAnsi="Arial" w:cs="Arial"/>
          <w:sz w:val="22"/>
          <w:szCs w:val="22"/>
        </w:rPr>
        <w:t>’</w:t>
      </w:r>
      <w:r w:rsidRPr="008B0A61">
        <w:rPr>
          <w:rFonts w:ascii="Arial" w:hAnsi="Arial" w:cs="Arial"/>
          <w:sz w:val="22"/>
          <w:szCs w:val="22"/>
        </w:rPr>
        <w:t xml:space="preserve">, </w:t>
      </w:r>
      <w:r w:rsidRPr="008B0A61">
        <w:rPr>
          <w:rFonts w:ascii="Arial" w:hAnsi="Arial" w:cs="Arial"/>
          <w:i/>
          <w:iCs/>
          <w:sz w:val="22"/>
          <w:szCs w:val="22"/>
        </w:rPr>
        <w:t>Advances in Psychiatric Treatment</w:t>
      </w:r>
      <w:r w:rsidRPr="008B0A61">
        <w:rPr>
          <w:rFonts w:ascii="Arial" w:hAnsi="Arial" w:cs="Arial"/>
          <w:sz w:val="22"/>
          <w:szCs w:val="22"/>
        </w:rPr>
        <w:t>, 20(5), pp. 340–349. doi:10.1192/apt.bp.113.011957.</w:t>
      </w:r>
    </w:p>
    <w:p w14:paraId="22DEFC00" w14:textId="4443C3A5" w:rsidR="00807CF1" w:rsidRPr="008B0A61" w:rsidRDefault="00807CF1" w:rsidP="008B0A61">
      <w:pPr>
        <w:spacing w:line="360" w:lineRule="auto"/>
        <w:rPr>
          <w:rFonts w:ascii="Arial" w:hAnsi="Arial" w:cs="Arial"/>
          <w:sz w:val="22"/>
          <w:szCs w:val="22"/>
        </w:rPr>
      </w:pPr>
      <w:r w:rsidRPr="008B0A61">
        <w:rPr>
          <w:rFonts w:ascii="Arial" w:hAnsi="Arial" w:cs="Arial"/>
          <w:sz w:val="22"/>
          <w:szCs w:val="22"/>
        </w:rPr>
        <w:t>Scales, K., Zimmerman, S. and Miller, S.J. (2018</w:t>
      </w:r>
      <w:r w:rsidRPr="003426B1">
        <w:rPr>
          <w:rFonts w:ascii="Arial" w:hAnsi="Arial" w:cs="Arial"/>
          <w:sz w:val="22"/>
          <w:szCs w:val="22"/>
        </w:rPr>
        <w:t xml:space="preserve">) </w:t>
      </w:r>
      <w:r w:rsidR="00DB044A">
        <w:rPr>
          <w:rFonts w:ascii="Arial" w:hAnsi="Arial" w:cs="Arial"/>
          <w:sz w:val="22"/>
          <w:szCs w:val="22"/>
        </w:rPr>
        <w:t>‘</w:t>
      </w:r>
      <w:r w:rsidRPr="003426B1">
        <w:rPr>
          <w:rFonts w:ascii="Arial" w:hAnsi="Arial" w:cs="Arial"/>
          <w:sz w:val="22"/>
          <w:szCs w:val="22"/>
        </w:rPr>
        <w:t>Evidence-based nonpharmacological practices to address behavioral and psychological symptoms of dementia</w:t>
      </w:r>
      <w:r w:rsidR="00DB044A">
        <w:rPr>
          <w:rFonts w:ascii="Arial" w:hAnsi="Arial" w:cs="Arial"/>
          <w:sz w:val="22"/>
          <w:szCs w:val="22"/>
        </w:rPr>
        <w:t>’</w:t>
      </w:r>
      <w:r w:rsidRPr="008B0A61">
        <w:rPr>
          <w:rFonts w:ascii="Arial" w:hAnsi="Arial" w:cs="Arial"/>
          <w:sz w:val="22"/>
          <w:szCs w:val="22"/>
        </w:rPr>
        <w:t xml:space="preserve">, </w:t>
      </w:r>
      <w:r w:rsidRPr="008B0A61">
        <w:rPr>
          <w:rFonts w:ascii="Arial" w:hAnsi="Arial" w:cs="Arial"/>
          <w:i/>
          <w:iCs/>
          <w:sz w:val="22"/>
          <w:szCs w:val="22"/>
        </w:rPr>
        <w:t>The Gerontologist</w:t>
      </w:r>
      <w:r w:rsidRPr="008B0A61">
        <w:rPr>
          <w:rFonts w:ascii="Arial" w:hAnsi="Arial" w:cs="Arial"/>
          <w:sz w:val="22"/>
          <w:szCs w:val="22"/>
        </w:rPr>
        <w:t>, 58(suppl_1), pp. S88–S102. doi:10.1093/geront/gnx167.</w:t>
      </w:r>
    </w:p>
    <w:p w14:paraId="5F764BFD" w14:textId="77777777" w:rsidR="00807CF1" w:rsidRPr="008B0A61" w:rsidRDefault="00807CF1" w:rsidP="008B0A61">
      <w:pPr>
        <w:spacing w:line="360" w:lineRule="auto"/>
        <w:rPr>
          <w:rFonts w:ascii="Arial" w:hAnsi="Arial" w:cs="Arial"/>
          <w:sz w:val="22"/>
          <w:szCs w:val="22"/>
        </w:rPr>
      </w:pPr>
    </w:p>
    <w:p w14:paraId="584E0765" w14:textId="77777777" w:rsidR="00CA48C7" w:rsidRPr="008B0A61" w:rsidRDefault="00CA48C7" w:rsidP="008B0A61">
      <w:pPr>
        <w:spacing w:line="360" w:lineRule="auto"/>
        <w:rPr>
          <w:rFonts w:ascii="Arial" w:hAnsi="Arial" w:cs="Arial"/>
          <w:sz w:val="22"/>
          <w:szCs w:val="22"/>
        </w:rPr>
      </w:pPr>
    </w:p>
    <w:sectPr w:rsidR="00CA48C7" w:rsidRPr="008B0A61" w:rsidSect="00573CAA">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948C1" w14:textId="77777777" w:rsidR="004D473F" w:rsidRDefault="004D473F" w:rsidP="00573CAA">
      <w:pPr>
        <w:spacing w:after="0" w:line="240" w:lineRule="auto"/>
      </w:pPr>
      <w:r>
        <w:separator/>
      </w:r>
    </w:p>
  </w:endnote>
  <w:endnote w:type="continuationSeparator" w:id="0">
    <w:p w14:paraId="1D7882BF" w14:textId="77777777" w:rsidR="004D473F" w:rsidRDefault="004D473F" w:rsidP="00573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2208521"/>
      <w:docPartObj>
        <w:docPartGallery w:val="Page Numbers (Bottom of Page)"/>
        <w:docPartUnique/>
      </w:docPartObj>
    </w:sdtPr>
    <w:sdtEndPr>
      <w:rPr>
        <w:noProof/>
      </w:rPr>
    </w:sdtEndPr>
    <w:sdtContent>
      <w:p w14:paraId="023914AB" w14:textId="77777777" w:rsidR="00573CAA" w:rsidRDefault="00573C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DA8324" w14:textId="77777777" w:rsidR="00573CAA" w:rsidRDefault="00573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064A4" w14:textId="77777777" w:rsidR="004D473F" w:rsidRDefault="004D473F" w:rsidP="00573CAA">
      <w:pPr>
        <w:spacing w:after="0" w:line="240" w:lineRule="auto"/>
      </w:pPr>
      <w:r>
        <w:separator/>
      </w:r>
    </w:p>
  </w:footnote>
  <w:footnote w:type="continuationSeparator" w:id="0">
    <w:p w14:paraId="5514E83B" w14:textId="77777777" w:rsidR="004D473F" w:rsidRDefault="004D473F" w:rsidP="00573C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E62"/>
    <w:rsid w:val="00036F89"/>
    <w:rsid w:val="00074A3F"/>
    <w:rsid w:val="000E09DA"/>
    <w:rsid w:val="00127B00"/>
    <w:rsid w:val="0020202A"/>
    <w:rsid w:val="00236220"/>
    <w:rsid w:val="00273EC9"/>
    <w:rsid w:val="002B5C4B"/>
    <w:rsid w:val="002F1ACB"/>
    <w:rsid w:val="00300121"/>
    <w:rsid w:val="003308AB"/>
    <w:rsid w:val="003426B1"/>
    <w:rsid w:val="0038794B"/>
    <w:rsid w:val="003A5441"/>
    <w:rsid w:val="003C78A8"/>
    <w:rsid w:val="003D4590"/>
    <w:rsid w:val="003E7ECA"/>
    <w:rsid w:val="00451B55"/>
    <w:rsid w:val="0046466B"/>
    <w:rsid w:val="004D473F"/>
    <w:rsid w:val="004E6F27"/>
    <w:rsid w:val="004F5B77"/>
    <w:rsid w:val="00505C94"/>
    <w:rsid w:val="00552E23"/>
    <w:rsid w:val="00573CAA"/>
    <w:rsid w:val="005C5BC9"/>
    <w:rsid w:val="005E251E"/>
    <w:rsid w:val="0065328B"/>
    <w:rsid w:val="00667AD5"/>
    <w:rsid w:val="00683E9F"/>
    <w:rsid w:val="006C1263"/>
    <w:rsid w:val="00715B87"/>
    <w:rsid w:val="0076154C"/>
    <w:rsid w:val="00784427"/>
    <w:rsid w:val="007D5DB6"/>
    <w:rsid w:val="007F1CD9"/>
    <w:rsid w:val="00802B7C"/>
    <w:rsid w:val="00807CF1"/>
    <w:rsid w:val="008263CD"/>
    <w:rsid w:val="00835B6A"/>
    <w:rsid w:val="00883812"/>
    <w:rsid w:val="008B0A61"/>
    <w:rsid w:val="00904181"/>
    <w:rsid w:val="00973428"/>
    <w:rsid w:val="00993FC8"/>
    <w:rsid w:val="009C51CB"/>
    <w:rsid w:val="009C6CC0"/>
    <w:rsid w:val="009F215A"/>
    <w:rsid w:val="00A3375A"/>
    <w:rsid w:val="00A44B92"/>
    <w:rsid w:val="00A474B2"/>
    <w:rsid w:val="00AB2827"/>
    <w:rsid w:val="00AE4820"/>
    <w:rsid w:val="00B50780"/>
    <w:rsid w:val="00B74A9F"/>
    <w:rsid w:val="00B94E62"/>
    <w:rsid w:val="00BA6290"/>
    <w:rsid w:val="00BB1BD9"/>
    <w:rsid w:val="00BB3AD8"/>
    <w:rsid w:val="00CA48C7"/>
    <w:rsid w:val="00CE3975"/>
    <w:rsid w:val="00D52638"/>
    <w:rsid w:val="00D718EE"/>
    <w:rsid w:val="00D93416"/>
    <w:rsid w:val="00DB044A"/>
    <w:rsid w:val="00DF1A4A"/>
    <w:rsid w:val="00DF7445"/>
    <w:rsid w:val="00EE3E9E"/>
    <w:rsid w:val="00EE60DC"/>
    <w:rsid w:val="00F97E98"/>
    <w:rsid w:val="00FE6449"/>
    <w:rsid w:val="014F7B05"/>
    <w:rsid w:val="05E51BB7"/>
    <w:rsid w:val="0965FBBE"/>
    <w:rsid w:val="0996F0B7"/>
    <w:rsid w:val="143F5A0C"/>
    <w:rsid w:val="17E61B1B"/>
    <w:rsid w:val="189DC1D9"/>
    <w:rsid w:val="1AE44439"/>
    <w:rsid w:val="20E69411"/>
    <w:rsid w:val="25A85811"/>
    <w:rsid w:val="27BCCD1A"/>
    <w:rsid w:val="2EB2DCD5"/>
    <w:rsid w:val="31BA7FD1"/>
    <w:rsid w:val="35D30C4C"/>
    <w:rsid w:val="3898BB86"/>
    <w:rsid w:val="395596BD"/>
    <w:rsid w:val="3A374256"/>
    <w:rsid w:val="3EA002F2"/>
    <w:rsid w:val="3FC7DB08"/>
    <w:rsid w:val="3FE8175F"/>
    <w:rsid w:val="41FFCB47"/>
    <w:rsid w:val="43506F44"/>
    <w:rsid w:val="44E9A741"/>
    <w:rsid w:val="478CCED4"/>
    <w:rsid w:val="48225796"/>
    <w:rsid w:val="4A7451D0"/>
    <w:rsid w:val="4FA051B9"/>
    <w:rsid w:val="5113FFD2"/>
    <w:rsid w:val="5D1FBD25"/>
    <w:rsid w:val="5DE509D9"/>
    <w:rsid w:val="68ECAC46"/>
    <w:rsid w:val="691C10FF"/>
    <w:rsid w:val="6D53A97A"/>
    <w:rsid w:val="6DB16E5A"/>
    <w:rsid w:val="6E5D010C"/>
    <w:rsid w:val="716ED2C0"/>
    <w:rsid w:val="72D09D41"/>
    <w:rsid w:val="7617141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E3BF0"/>
  <w15:chartTrackingRefBased/>
  <w15:docId w15:val="{491D693C-C6C4-44A2-9171-D8EE252E9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E6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4E6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4E6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4E6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4E6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4E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E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E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E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E6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4E6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4E6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4E6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4E6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4E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E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E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E62"/>
    <w:rPr>
      <w:rFonts w:eastAsiaTheme="majorEastAsia" w:cstheme="majorBidi"/>
      <w:color w:val="272727" w:themeColor="text1" w:themeTint="D8"/>
    </w:rPr>
  </w:style>
  <w:style w:type="paragraph" w:styleId="Title">
    <w:name w:val="Title"/>
    <w:basedOn w:val="Normal"/>
    <w:next w:val="Normal"/>
    <w:link w:val="TitleChar"/>
    <w:uiPriority w:val="10"/>
    <w:qFormat/>
    <w:rsid w:val="00B94E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E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E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E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E62"/>
    <w:pPr>
      <w:spacing w:before="160"/>
      <w:jc w:val="center"/>
    </w:pPr>
    <w:rPr>
      <w:i/>
      <w:iCs/>
      <w:color w:val="404040" w:themeColor="text1" w:themeTint="BF"/>
    </w:rPr>
  </w:style>
  <w:style w:type="character" w:customStyle="1" w:styleId="QuoteChar">
    <w:name w:val="Quote Char"/>
    <w:basedOn w:val="DefaultParagraphFont"/>
    <w:link w:val="Quote"/>
    <w:uiPriority w:val="29"/>
    <w:rsid w:val="00B94E62"/>
    <w:rPr>
      <w:i/>
      <w:iCs/>
      <w:color w:val="404040" w:themeColor="text1" w:themeTint="BF"/>
    </w:rPr>
  </w:style>
  <w:style w:type="paragraph" w:styleId="ListParagraph">
    <w:name w:val="List Paragraph"/>
    <w:basedOn w:val="Normal"/>
    <w:uiPriority w:val="34"/>
    <w:qFormat/>
    <w:rsid w:val="00B94E62"/>
    <w:pPr>
      <w:ind w:left="720"/>
      <w:contextualSpacing/>
    </w:pPr>
  </w:style>
  <w:style w:type="character" w:styleId="IntenseEmphasis">
    <w:name w:val="Intense Emphasis"/>
    <w:basedOn w:val="DefaultParagraphFont"/>
    <w:uiPriority w:val="21"/>
    <w:qFormat/>
    <w:rsid w:val="00B94E62"/>
    <w:rPr>
      <w:i/>
      <w:iCs/>
      <w:color w:val="2F5496" w:themeColor="accent1" w:themeShade="BF"/>
    </w:rPr>
  </w:style>
  <w:style w:type="paragraph" w:styleId="IntenseQuote">
    <w:name w:val="Intense Quote"/>
    <w:basedOn w:val="Normal"/>
    <w:next w:val="Normal"/>
    <w:link w:val="IntenseQuoteChar"/>
    <w:uiPriority w:val="30"/>
    <w:qFormat/>
    <w:rsid w:val="00B94E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4E62"/>
    <w:rPr>
      <w:i/>
      <w:iCs/>
      <w:color w:val="2F5496" w:themeColor="accent1" w:themeShade="BF"/>
    </w:rPr>
  </w:style>
  <w:style w:type="character" w:styleId="IntenseReference">
    <w:name w:val="Intense Reference"/>
    <w:basedOn w:val="DefaultParagraphFont"/>
    <w:uiPriority w:val="32"/>
    <w:qFormat/>
    <w:rsid w:val="00B94E62"/>
    <w:rPr>
      <w:b/>
      <w:bCs/>
      <w:smallCaps/>
      <w:color w:val="2F5496" w:themeColor="accent1" w:themeShade="BF"/>
      <w:spacing w:val="5"/>
    </w:rPr>
  </w:style>
  <w:style w:type="paragraph" w:styleId="Header">
    <w:name w:val="header"/>
    <w:basedOn w:val="Normal"/>
    <w:link w:val="HeaderChar"/>
    <w:uiPriority w:val="99"/>
    <w:unhideWhenUsed/>
    <w:rsid w:val="00573C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3CAA"/>
  </w:style>
  <w:style w:type="paragraph" w:styleId="Footer">
    <w:name w:val="footer"/>
    <w:basedOn w:val="Normal"/>
    <w:link w:val="FooterChar"/>
    <w:uiPriority w:val="99"/>
    <w:unhideWhenUsed/>
    <w:rsid w:val="00573C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3CAA"/>
  </w:style>
  <w:style w:type="paragraph" w:styleId="TOCHeading">
    <w:name w:val="TOC Heading"/>
    <w:basedOn w:val="Heading1"/>
    <w:next w:val="Normal"/>
    <w:uiPriority w:val="39"/>
    <w:unhideWhenUsed/>
    <w:qFormat/>
    <w:rsid w:val="00573CA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3CAA"/>
    <w:pPr>
      <w:spacing w:after="100"/>
    </w:pPr>
  </w:style>
  <w:style w:type="character" w:styleId="Hyperlink">
    <w:name w:val="Hyperlink"/>
    <w:basedOn w:val="DefaultParagraphFont"/>
    <w:uiPriority w:val="99"/>
    <w:unhideWhenUsed/>
    <w:rsid w:val="00573C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B4FFA-A30A-45D6-8179-7BFE85F76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2185</Words>
  <Characters>12456</Characters>
  <Application>Microsoft Office Word</Application>
  <DocSecurity>0</DocSecurity>
  <Lines>103</Lines>
  <Paragraphs>29</Paragraphs>
  <ScaleCrop>false</ScaleCrop>
  <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kyeremeh</dc:creator>
  <cp:keywords/>
  <dc:description/>
  <cp:lastModifiedBy>Regina Owusu (2427848)</cp:lastModifiedBy>
  <cp:revision>16</cp:revision>
  <dcterms:created xsi:type="dcterms:W3CDTF">2025-12-03T18:53:00Z</dcterms:created>
  <dcterms:modified xsi:type="dcterms:W3CDTF">2025-12-08T13:15:00Z</dcterms:modified>
</cp:coreProperties>
</file>