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E8AE1" w14:textId="77777777" w:rsidR="00046CA0" w:rsidRPr="00900BD4" w:rsidRDefault="00046CA0" w:rsidP="00046CA0">
      <w:pPr>
        <w:jc w:val="center"/>
        <w:rPr>
          <w:rFonts w:ascii="Arial" w:hAnsi="Arial" w:cs="Arial"/>
          <w:b/>
          <w:bCs/>
          <w:sz w:val="24"/>
          <w:szCs w:val="24"/>
        </w:rPr>
      </w:pPr>
    </w:p>
    <w:p w14:paraId="78ECE640" w14:textId="77777777" w:rsidR="00046CA0" w:rsidRPr="00900BD4" w:rsidRDefault="00046CA0" w:rsidP="00046CA0">
      <w:pPr>
        <w:jc w:val="center"/>
        <w:rPr>
          <w:rFonts w:ascii="Arial" w:hAnsi="Arial" w:cs="Arial"/>
          <w:b/>
          <w:bCs/>
          <w:sz w:val="24"/>
          <w:szCs w:val="24"/>
        </w:rPr>
      </w:pPr>
    </w:p>
    <w:p w14:paraId="3B2D4BB0" w14:textId="77777777" w:rsidR="00046CA0" w:rsidRPr="00900BD4" w:rsidRDefault="00046CA0" w:rsidP="00046CA0">
      <w:pPr>
        <w:jc w:val="center"/>
        <w:rPr>
          <w:rFonts w:ascii="Arial" w:hAnsi="Arial" w:cs="Arial"/>
          <w:b/>
          <w:bCs/>
          <w:sz w:val="24"/>
          <w:szCs w:val="24"/>
        </w:rPr>
      </w:pPr>
    </w:p>
    <w:p w14:paraId="235703EE" w14:textId="77777777" w:rsidR="00046CA0" w:rsidRPr="00900BD4" w:rsidRDefault="00046CA0" w:rsidP="00046CA0">
      <w:pPr>
        <w:jc w:val="center"/>
        <w:rPr>
          <w:rFonts w:ascii="Arial" w:hAnsi="Arial" w:cs="Arial"/>
          <w:b/>
          <w:bCs/>
          <w:sz w:val="24"/>
          <w:szCs w:val="24"/>
        </w:rPr>
      </w:pPr>
    </w:p>
    <w:p w14:paraId="18A24C77" w14:textId="53BD619F" w:rsidR="00046CA0" w:rsidRPr="00900BD4" w:rsidRDefault="00F766EB" w:rsidP="00046CA0">
      <w:pPr>
        <w:jc w:val="center"/>
        <w:rPr>
          <w:rFonts w:ascii="Arial" w:hAnsi="Arial" w:cs="Arial"/>
          <w:b/>
          <w:bCs/>
          <w:sz w:val="24"/>
          <w:szCs w:val="24"/>
        </w:rPr>
      </w:pPr>
      <w:r w:rsidRPr="00900BD4">
        <w:rPr>
          <w:rFonts w:ascii="Arial" w:hAnsi="Arial" w:cs="Arial"/>
          <w:b/>
          <w:bCs/>
          <w:sz w:val="24"/>
          <w:szCs w:val="24"/>
        </w:rPr>
        <w:t>MSc Public Health and Social Care in Practice</w:t>
      </w:r>
    </w:p>
    <w:p w14:paraId="5AB128A8" w14:textId="7E42648F" w:rsidR="00046CA0" w:rsidRPr="00900BD4" w:rsidRDefault="00F766EB" w:rsidP="00046CA0">
      <w:pPr>
        <w:jc w:val="center"/>
        <w:rPr>
          <w:rFonts w:ascii="Arial" w:hAnsi="Arial" w:cs="Arial"/>
          <w:b/>
          <w:bCs/>
          <w:sz w:val="24"/>
          <w:szCs w:val="24"/>
        </w:rPr>
      </w:pPr>
      <w:r w:rsidRPr="00900BD4">
        <w:rPr>
          <w:rFonts w:ascii="Arial" w:hAnsi="Arial" w:cs="Arial"/>
          <w:b/>
          <w:bCs/>
          <w:sz w:val="24"/>
          <w:szCs w:val="24"/>
        </w:rPr>
        <w:t>Module: Social Epidemiology and Public Health Development</w:t>
      </w:r>
    </w:p>
    <w:p w14:paraId="78628610" w14:textId="5418B171" w:rsidR="00046CA0" w:rsidRPr="00900BD4" w:rsidRDefault="00F766EB" w:rsidP="00046CA0">
      <w:pPr>
        <w:jc w:val="center"/>
        <w:rPr>
          <w:rFonts w:ascii="Arial" w:hAnsi="Arial" w:cs="Arial"/>
          <w:b/>
          <w:bCs/>
          <w:sz w:val="24"/>
          <w:szCs w:val="24"/>
        </w:rPr>
      </w:pPr>
      <w:r w:rsidRPr="00900BD4">
        <w:rPr>
          <w:rFonts w:ascii="Arial" w:hAnsi="Arial" w:cs="Arial"/>
          <w:b/>
          <w:bCs/>
          <w:sz w:val="24"/>
          <w:szCs w:val="24"/>
        </w:rPr>
        <w:t>Module code: LCHS7000</w:t>
      </w:r>
    </w:p>
    <w:p w14:paraId="257449AD" w14:textId="652907B9" w:rsidR="00046CA0" w:rsidRPr="00900BD4" w:rsidRDefault="003E1CF7" w:rsidP="00046CA0">
      <w:pPr>
        <w:jc w:val="center"/>
        <w:rPr>
          <w:rFonts w:ascii="Arial" w:hAnsi="Arial" w:cs="Arial"/>
          <w:b/>
          <w:bCs/>
          <w:sz w:val="24"/>
          <w:szCs w:val="24"/>
        </w:rPr>
      </w:pPr>
      <w:r>
        <w:rPr>
          <w:rFonts w:ascii="Arial" w:hAnsi="Arial" w:cs="Arial"/>
          <w:b/>
          <w:bCs/>
          <w:sz w:val="24"/>
          <w:szCs w:val="24"/>
        </w:rPr>
        <w:t xml:space="preserve">            </w:t>
      </w:r>
      <w:r w:rsidR="00046CA0" w:rsidRPr="00900BD4">
        <w:rPr>
          <w:rFonts w:ascii="Arial" w:hAnsi="Arial" w:cs="Arial"/>
          <w:b/>
          <w:bCs/>
          <w:sz w:val="24"/>
          <w:szCs w:val="24"/>
        </w:rPr>
        <w:t xml:space="preserve">Student </w:t>
      </w:r>
      <w:proofErr w:type="gramStart"/>
      <w:r w:rsidR="00046CA0" w:rsidRPr="00900BD4">
        <w:rPr>
          <w:rFonts w:ascii="Arial" w:hAnsi="Arial" w:cs="Arial"/>
          <w:b/>
          <w:bCs/>
          <w:sz w:val="24"/>
          <w:szCs w:val="24"/>
        </w:rPr>
        <w:t>Name</w:t>
      </w:r>
      <w:r w:rsidR="007A5C5F">
        <w:rPr>
          <w:rFonts w:ascii="Arial" w:hAnsi="Arial" w:cs="Arial"/>
          <w:b/>
          <w:bCs/>
          <w:sz w:val="24"/>
          <w:szCs w:val="24"/>
        </w:rPr>
        <w:t xml:space="preserve"> :</w:t>
      </w:r>
      <w:proofErr w:type="gramEnd"/>
      <w:r w:rsidR="007A5C5F">
        <w:rPr>
          <w:rFonts w:ascii="Arial" w:hAnsi="Arial" w:cs="Arial"/>
          <w:b/>
          <w:bCs/>
          <w:sz w:val="24"/>
          <w:szCs w:val="24"/>
        </w:rPr>
        <w:t xml:space="preserve"> Neelkumar </w:t>
      </w:r>
      <w:r w:rsidR="001F7AA3">
        <w:rPr>
          <w:rFonts w:ascii="Arial" w:hAnsi="Arial" w:cs="Arial"/>
          <w:b/>
          <w:bCs/>
          <w:sz w:val="24"/>
          <w:szCs w:val="24"/>
        </w:rPr>
        <w:t>patel</w:t>
      </w:r>
    </w:p>
    <w:p w14:paraId="657FD394" w14:textId="503B4A3C" w:rsidR="00C11931" w:rsidRDefault="000575AD" w:rsidP="000575AD">
      <w:pPr>
        <w:rPr>
          <w:rFonts w:ascii="Arial" w:hAnsi="Arial" w:cs="Arial"/>
          <w:b/>
          <w:bCs/>
          <w:sz w:val="24"/>
          <w:szCs w:val="24"/>
        </w:rPr>
      </w:pPr>
      <w:r>
        <w:rPr>
          <w:rFonts w:ascii="Arial" w:hAnsi="Arial" w:cs="Arial"/>
          <w:b/>
          <w:bCs/>
          <w:sz w:val="24"/>
          <w:szCs w:val="24"/>
        </w:rPr>
        <w:t xml:space="preserve">                                  </w:t>
      </w:r>
      <w:r w:rsidR="00046CA0" w:rsidRPr="00900BD4">
        <w:rPr>
          <w:rFonts w:ascii="Arial" w:hAnsi="Arial" w:cs="Arial"/>
          <w:b/>
          <w:bCs/>
          <w:sz w:val="24"/>
          <w:szCs w:val="24"/>
        </w:rPr>
        <w:t>S</w:t>
      </w:r>
      <w:r>
        <w:rPr>
          <w:rFonts w:ascii="Arial" w:hAnsi="Arial" w:cs="Arial"/>
          <w:b/>
          <w:bCs/>
          <w:sz w:val="24"/>
          <w:szCs w:val="24"/>
        </w:rPr>
        <w:t>tudent</w:t>
      </w:r>
      <w:r w:rsidR="001F7AA3">
        <w:rPr>
          <w:rFonts w:ascii="Arial" w:hAnsi="Arial" w:cs="Arial"/>
          <w:b/>
          <w:bCs/>
          <w:sz w:val="24"/>
          <w:szCs w:val="24"/>
        </w:rPr>
        <w:t xml:space="preserve"> </w:t>
      </w:r>
      <w:proofErr w:type="gramStart"/>
      <w:r w:rsidR="001F7AA3">
        <w:rPr>
          <w:rFonts w:ascii="Arial" w:hAnsi="Arial" w:cs="Arial"/>
          <w:b/>
          <w:bCs/>
          <w:sz w:val="24"/>
          <w:szCs w:val="24"/>
        </w:rPr>
        <w:t>I’d :</w:t>
      </w:r>
      <w:proofErr w:type="gramEnd"/>
      <w:r w:rsidR="001F7AA3">
        <w:rPr>
          <w:rFonts w:ascii="Arial" w:hAnsi="Arial" w:cs="Arial"/>
          <w:b/>
          <w:bCs/>
          <w:sz w:val="24"/>
          <w:szCs w:val="24"/>
        </w:rPr>
        <w:t xml:space="preserve"> 25</w:t>
      </w:r>
      <w:r w:rsidR="00C11931">
        <w:rPr>
          <w:rFonts w:ascii="Arial" w:hAnsi="Arial" w:cs="Arial"/>
          <w:b/>
          <w:bCs/>
          <w:sz w:val="24"/>
          <w:szCs w:val="24"/>
        </w:rPr>
        <w:t>04974</w:t>
      </w:r>
    </w:p>
    <w:p w14:paraId="6509F2CF" w14:textId="578F67E1" w:rsidR="00F766EB" w:rsidRPr="00900BD4" w:rsidRDefault="00C11931" w:rsidP="00046CA0">
      <w:pPr>
        <w:jc w:val="center"/>
        <w:rPr>
          <w:rFonts w:ascii="Arial" w:eastAsiaTheme="majorEastAsia" w:hAnsi="Arial" w:cs="Arial"/>
          <w:b/>
        </w:rPr>
      </w:pPr>
      <w:proofErr w:type="gramStart"/>
      <w:r>
        <w:rPr>
          <w:rFonts w:ascii="Arial" w:hAnsi="Arial" w:cs="Arial"/>
          <w:b/>
          <w:bCs/>
          <w:sz w:val="24"/>
          <w:szCs w:val="24"/>
        </w:rPr>
        <w:t>Tutor  :</w:t>
      </w:r>
      <w:proofErr w:type="gramEnd"/>
      <w:r>
        <w:rPr>
          <w:rFonts w:ascii="Arial" w:hAnsi="Arial" w:cs="Arial"/>
          <w:b/>
          <w:bCs/>
          <w:sz w:val="24"/>
          <w:szCs w:val="24"/>
        </w:rPr>
        <w:t xml:space="preserve"> Hamdi </w:t>
      </w:r>
      <w:r w:rsidR="00BC46D0">
        <w:rPr>
          <w:rFonts w:ascii="Arial" w:hAnsi="Arial" w:cs="Arial"/>
          <w:b/>
          <w:bCs/>
          <w:sz w:val="24"/>
          <w:szCs w:val="24"/>
        </w:rPr>
        <w:t xml:space="preserve">Hussain </w:t>
      </w:r>
      <w:r w:rsidR="00F766EB" w:rsidRPr="00900BD4">
        <w:rPr>
          <w:rFonts w:cs="Arial"/>
        </w:rPr>
        <w:br w:type="page"/>
      </w:r>
    </w:p>
    <w:p w14:paraId="7C813047" w14:textId="3AE7ADF9" w:rsidR="00E30977" w:rsidRPr="00900BD4" w:rsidRDefault="00E30977" w:rsidP="00E30977">
      <w:pPr>
        <w:pStyle w:val="Heading1"/>
        <w:jc w:val="left"/>
        <w:rPr>
          <w:rFonts w:cs="Arial"/>
          <w:sz w:val="22"/>
          <w:szCs w:val="22"/>
        </w:rPr>
      </w:pPr>
      <w:r w:rsidRPr="00900BD4">
        <w:rPr>
          <w:rFonts w:cs="Arial"/>
          <w:sz w:val="22"/>
          <w:szCs w:val="22"/>
        </w:rPr>
        <w:t xml:space="preserve">Task 1: Social Epidemiological Analysis </w:t>
      </w:r>
    </w:p>
    <w:p w14:paraId="10C6833F" w14:textId="27AEEB2F" w:rsidR="00CE11F2" w:rsidRPr="00900BD4" w:rsidRDefault="00CE11F2" w:rsidP="00BC1CD0">
      <w:pPr>
        <w:spacing w:line="360" w:lineRule="auto"/>
        <w:jc w:val="both"/>
        <w:rPr>
          <w:rFonts w:ascii="Arial" w:hAnsi="Arial" w:cs="Arial"/>
          <w:b/>
          <w:bCs/>
        </w:rPr>
      </w:pPr>
      <w:r w:rsidRPr="00900BD4">
        <w:rPr>
          <w:rFonts w:ascii="Arial" w:hAnsi="Arial" w:cs="Arial"/>
          <w:b/>
          <w:bCs/>
        </w:rPr>
        <w:t>Health Inequalities Among the Black Caribbean Population in the UK</w:t>
      </w:r>
    </w:p>
    <w:p w14:paraId="2AA5BE5C" w14:textId="5129EB3D" w:rsidR="00CE11F2" w:rsidRPr="00900BD4" w:rsidRDefault="00E30977" w:rsidP="00E30977">
      <w:pPr>
        <w:pStyle w:val="Heading2"/>
        <w:rPr>
          <w:rFonts w:cs="Arial"/>
          <w:color w:val="auto"/>
          <w:sz w:val="22"/>
          <w:szCs w:val="22"/>
        </w:rPr>
      </w:pPr>
      <w:r w:rsidRPr="00900BD4">
        <w:rPr>
          <w:rFonts w:cs="Arial"/>
          <w:color w:val="auto"/>
          <w:sz w:val="22"/>
          <w:szCs w:val="22"/>
        </w:rPr>
        <w:t xml:space="preserve">1. </w:t>
      </w:r>
      <w:r w:rsidR="00CE11F2" w:rsidRPr="00900BD4">
        <w:rPr>
          <w:rFonts w:cs="Arial"/>
          <w:color w:val="auto"/>
          <w:sz w:val="22"/>
          <w:szCs w:val="22"/>
        </w:rPr>
        <w:t>Introduction</w:t>
      </w:r>
    </w:p>
    <w:p w14:paraId="74782A82" w14:textId="55DB6DA0" w:rsidR="00D46789" w:rsidRPr="00900BD4" w:rsidRDefault="004C41C3" w:rsidP="00D46789">
      <w:pPr>
        <w:spacing w:line="360" w:lineRule="auto"/>
        <w:jc w:val="both"/>
        <w:rPr>
          <w:rFonts w:ascii="Arial" w:hAnsi="Arial" w:cs="Arial"/>
        </w:rPr>
      </w:pPr>
      <w:r w:rsidRPr="00900BD4">
        <w:rPr>
          <w:rFonts w:ascii="Arial" w:hAnsi="Arial" w:cs="Arial"/>
        </w:rPr>
        <w:t>The Black Caribbean community in the United Kingdom consists of people who identify themselves as Black Caribbean or who have a background connection with the Caribbean states of Jamaica, Trinidad and Tobago, Barbados, and Grenada</w:t>
      </w:r>
      <w:r w:rsidR="00A654FD" w:rsidRPr="00900BD4">
        <w:rPr>
          <w:rFonts w:ascii="Arial" w:hAnsi="Arial" w:cs="Arial"/>
        </w:rPr>
        <w:t>.</w:t>
      </w:r>
      <w:r w:rsidRPr="00900BD4">
        <w:rPr>
          <w:rFonts w:ascii="Arial" w:hAnsi="Arial" w:cs="Arial"/>
        </w:rPr>
        <w:t xml:space="preserve"> </w:t>
      </w:r>
      <w:r w:rsidR="00AE4205" w:rsidRPr="00900BD4">
        <w:rPr>
          <w:rFonts w:ascii="Arial" w:hAnsi="Arial" w:cs="Arial"/>
        </w:rPr>
        <w:t xml:space="preserve">Among this population, there exists a higher rate of </w:t>
      </w:r>
      <w:r w:rsidRPr="00900BD4">
        <w:rPr>
          <w:rFonts w:ascii="Arial" w:hAnsi="Arial" w:cs="Arial"/>
        </w:rPr>
        <w:t xml:space="preserve">long-term </w:t>
      </w:r>
      <w:r w:rsidR="00132C12" w:rsidRPr="00900BD4">
        <w:rPr>
          <w:rFonts w:ascii="Arial" w:hAnsi="Arial" w:cs="Arial"/>
        </w:rPr>
        <w:t xml:space="preserve">health </w:t>
      </w:r>
      <w:r w:rsidRPr="00900BD4">
        <w:rPr>
          <w:rFonts w:ascii="Arial" w:hAnsi="Arial" w:cs="Arial"/>
        </w:rPr>
        <w:t xml:space="preserve">conditions, </w:t>
      </w:r>
      <w:r w:rsidR="00AE4205" w:rsidRPr="00900BD4">
        <w:rPr>
          <w:rFonts w:ascii="Arial" w:hAnsi="Arial" w:cs="Arial"/>
        </w:rPr>
        <w:t>mental health</w:t>
      </w:r>
      <w:r w:rsidRPr="00900BD4">
        <w:rPr>
          <w:rFonts w:ascii="Arial" w:hAnsi="Arial" w:cs="Arial"/>
        </w:rPr>
        <w:t xml:space="preserve"> disorders, and lack of access to services </w:t>
      </w:r>
      <w:r w:rsidR="00AE4205" w:rsidRPr="00900BD4">
        <w:rPr>
          <w:rFonts w:ascii="Arial" w:hAnsi="Arial" w:cs="Arial"/>
        </w:rPr>
        <w:t>in comparison to</w:t>
      </w:r>
      <w:r w:rsidRPr="00900BD4">
        <w:rPr>
          <w:rFonts w:ascii="Arial" w:hAnsi="Arial" w:cs="Arial"/>
        </w:rPr>
        <w:t xml:space="preserve"> White British populations</w:t>
      </w:r>
      <w:r w:rsidR="00AE4205" w:rsidRPr="00900BD4">
        <w:rPr>
          <w:rFonts w:ascii="Arial" w:hAnsi="Arial" w:cs="Arial"/>
        </w:rPr>
        <w:t xml:space="preserve"> </w:t>
      </w:r>
      <w:r w:rsidRPr="00900BD4">
        <w:rPr>
          <w:rFonts w:ascii="Arial" w:hAnsi="Arial" w:cs="Arial"/>
        </w:rPr>
        <w:t>(Public Health England, 2018). Such inequalities are influenced by socioeconomic disadvantage, institutional racism, cultural obstacles in health care systems, and low levels of interaction with preventive services (Runnymede Trust, 2020). The Black Caribbean population is therefore at serious risk of experiencing health inequalities, physical, mental and social in nature.</w:t>
      </w:r>
    </w:p>
    <w:p w14:paraId="467E829B" w14:textId="128710D9" w:rsidR="00D46789" w:rsidRPr="00900BD4" w:rsidRDefault="00D46789" w:rsidP="00D46789">
      <w:pPr>
        <w:pStyle w:val="Heading1"/>
        <w:jc w:val="left"/>
        <w:rPr>
          <w:sz w:val="22"/>
          <w:szCs w:val="22"/>
        </w:rPr>
      </w:pPr>
      <w:r w:rsidRPr="00900BD4">
        <w:rPr>
          <w:sz w:val="22"/>
          <w:szCs w:val="22"/>
        </w:rPr>
        <w:t>2. Contextual background and underlying factor</w:t>
      </w:r>
    </w:p>
    <w:p w14:paraId="5E2B5C68" w14:textId="4103B689" w:rsidR="00AE243C" w:rsidRPr="00900BD4" w:rsidRDefault="00AE243C" w:rsidP="00D46789">
      <w:pPr>
        <w:spacing w:line="360" w:lineRule="auto"/>
        <w:jc w:val="both"/>
        <w:rPr>
          <w:rFonts w:ascii="Arial" w:hAnsi="Arial" w:cs="Arial"/>
          <w:b/>
          <w:bCs/>
        </w:rPr>
      </w:pPr>
      <w:r w:rsidRPr="00900BD4">
        <w:rPr>
          <w:rFonts w:ascii="Arial" w:hAnsi="Arial" w:cs="Arial"/>
          <w:b/>
          <w:bCs/>
        </w:rPr>
        <w:t>Higher Rates of Mental Illness</w:t>
      </w:r>
    </w:p>
    <w:p w14:paraId="01072D4C" w14:textId="66BF65F6" w:rsidR="00D46789" w:rsidRPr="00900BD4" w:rsidRDefault="0056141E" w:rsidP="00D46789">
      <w:pPr>
        <w:spacing w:line="360" w:lineRule="auto"/>
        <w:jc w:val="both"/>
        <w:rPr>
          <w:rFonts w:ascii="Arial" w:hAnsi="Arial" w:cs="Arial"/>
        </w:rPr>
      </w:pPr>
      <w:r w:rsidRPr="00900BD4">
        <w:rPr>
          <w:rFonts w:ascii="Arial" w:hAnsi="Arial" w:cs="Arial"/>
        </w:rPr>
        <w:t xml:space="preserve">According to Tortelli et al. (2015), the incidence of psychosis in Black Caribbean groups is </w:t>
      </w:r>
      <w:r w:rsidRPr="00900BD4">
        <w:rPr>
          <w:rFonts w:ascii="Arial" w:hAnsi="Arial" w:cs="Arial"/>
          <w:b/>
          <w:bCs/>
        </w:rPr>
        <w:t>up to 5 times higher</w:t>
      </w:r>
      <w:r w:rsidRPr="00900BD4">
        <w:rPr>
          <w:rFonts w:ascii="Arial" w:hAnsi="Arial" w:cs="Arial"/>
        </w:rPr>
        <w:t xml:space="preserve"> than in White British populations. </w:t>
      </w:r>
      <w:r w:rsidR="00D46789" w:rsidRPr="00900BD4">
        <w:rPr>
          <w:rFonts w:ascii="Arial" w:hAnsi="Arial" w:cs="Arial"/>
        </w:rPr>
        <w:t>A combination of multiple social and structural factors leads to those disparities, such as racism, socioeconomic disadvantage, and poor access to early intervention services.</w:t>
      </w:r>
      <w:r w:rsidR="00A654FD" w:rsidRPr="00900BD4">
        <w:rPr>
          <w:rFonts w:ascii="Arial" w:hAnsi="Arial" w:cs="Arial"/>
        </w:rPr>
        <w:t xml:space="preserve"> The described disparities are motivated by the combination of social and structural factors, </w:t>
      </w:r>
      <w:r w:rsidR="00900BD4" w:rsidRPr="00900BD4">
        <w:rPr>
          <w:rFonts w:ascii="Arial" w:hAnsi="Arial" w:cs="Arial"/>
        </w:rPr>
        <w:t>such as</w:t>
      </w:r>
      <w:r w:rsidR="00A654FD" w:rsidRPr="00900BD4">
        <w:rPr>
          <w:rFonts w:ascii="Arial" w:hAnsi="Arial" w:cs="Arial"/>
        </w:rPr>
        <w:t>. racism, socioeconomic disadvantage, and lack of access to early-intervention services</w:t>
      </w:r>
      <w:r w:rsidR="00900BD4" w:rsidRPr="00900BD4">
        <w:rPr>
          <w:rFonts w:ascii="Arial" w:hAnsi="Arial" w:cs="Arial"/>
        </w:rPr>
        <w:t xml:space="preserve"> (Runnymede Trust, 2020; Public Health England, 2018). As a result, </w:t>
      </w:r>
      <w:r w:rsidR="00A654FD" w:rsidRPr="00900BD4">
        <w:rPr>
          <w:rFonts w:ascii="Arial" w:hAnsi="Arial" w:cs="Arial"/>
        </w:rPr>
        <w:t>chronic stress levels of exposure to discrimination and deprivation increase and reduce timely access to mental-health care among Black Caribbean communities (Runnymede Trust, 2020; Public Health England, 2018).</w:t>
      </w:r>
      <w:r w:rsidR="00D46789" w:rsidRPr="00900BD4">
        <w:rPr>
          <w:rFonts w:ascii="Arial" w:hAnsi="Arial" w:cs="Arial"/>
        </w:rPr>
        <w:t xml:space="preserve"> Therefore, it is urgent to supplement early-intervention programmes, provide culturally-informed care and promote partnership with organisations of the Caribbean community to reduce such disparities.</w:t>
      </w:r>
    </w:p>
    <w:p w14:paraId="47D1CF67" w14:textId="54ACB777" w:rsidR="00AE243C" w:rsidRPr="00900BD4" w:rsidRDefault="00AE243C" w:rsidP="00D46789">
      <w:pPr>
        <w:spacing w:line="360" w:lineRule="auto"/>
        <w:jc w:val="both"/>
        <w:rPr>
          <w:rFonts w:ascii="Arial" w:hAnsi="Arial" w:cs="Arial"/>
          <w:b/>
          <w:bCs/>
        </w:rPr>
      </w:pPr>
      <w:r w:rsidRPr="00900BD4">
        <w:rPr>
          <w:rFonts w:ascii="Arial" w:hAnsi="Arial" w:cs="Arial"/>
          <w:b/>
          <w:bCs/>
        </w:rPr>
        <w:t>Low Rates of Access to Healthcare</w:t>
      </w:r>
    </w:p>
    <w:p w14:paraId="11DDE43B" w14:textId="4AD5FEE7" w:rsidR="00D46789" w:rsidRPr="00900BD4" w:rsidRDefault="00D46789" w:rsidP="00D46789">
      <w:pPr>
        <w:spacing w:line="360" w:lineRule="auto"/>
        <w:jc w:val="both"/>
        <w:rPr>
          <w:rFonts w:ascii="Arial" w:hAnsi="Arial" w:cs="Arial"/>
        </w:rPr>
      </w:pPr>
      <w:r w:rsidRPr="00900BD4">
        <w:rPr>
          <w:rFonts w:ascii="Arial" w:hAnsi="Arial" w:cs="Arial"/>
        </w:rPr>
        <w:t>Studies indicate that Black Caribbean patients might withhold help-seeking or show up late</w:t>
      </w:r>
      <w:r w:rsidR="0056141E" w:rsidRPr="00900BD4">
        <w:rPr>
          <w:rFonts w:ascii="Arial" w:hAnsi="Arial" w:cs="Arial"/>
        </w:rPr>
        <w:t xml:space="preserve"> </w:t>
      </w:r>
      <w:r w:rsidR="0056141E" w:rsidRPr="00900BD4">
        <w:rPr>
          <w:rFonts w:ascii="Arial" w:hAnsi="Arial" w:cs="Arial"/>
          <w:b/>
          <w:bCs/>
        </w:rPr>
        <w:t>(average 62.2%)</w:t>
      </w:r>
      <w:r w:rsidRPr="00900BD4">
        <w:rPr>
          <w:rFonts w:ascii="Arial" w:hAnsi="Arial" w:cs="Arial"/>
          <w:b/>
          <w:bCs/>
        </w:rPr>
        <w:t xml:space="preserve"> </w:t>
      </w:r>
      <w:r w:rsidRPr="00900BD4">
        <w:rPr>
          <w:rFonts w:ascii="Arial" w:hAnsi="Arial" w:cs="Arial"/>
        </w:rPr>
        <w:t>with conditions like stroke due to the fears of being biased or pressured (Aicken et al., 2019). To eliminate such access differences, culturally competent communication, increased representation of Black employees in the workforce, and aggressive outreach in trusted community environments are required.</w:t>
      </w:r>
    </w:p>
    <w:p w14:paraId="33C3989B" w14:textId="5F155722" w:rsidR="00AE243C" w:rsidRPr="00900BD4" w:rsidRDefault="00AE243C" w:rsidP="00D46789">
      <w:pPr>
        <w:spacing w:line="360" w:lineRule="auto"/>
        <w:jc w:val="both"/>
        <w:rPr>
          <w:rFonts w:ascii="Arial" w:hAnsi="Arial" w:cs="Arial"/>
          <w:b/>
          <w:bCs/>
        </w:rPr>
      </w:pPr>
      <w:r w:rsidRPr="00900BD4">
        <w:rPr>
          <w:rFonts w:ascii="Arial" w:hAnsi="Arial" w:cs="Arial"/>
          <w:b/>
          <w:bCs/>
        </w:rPr>
        <w:t>Higher Mortality Rates Related to Chronic Illness</w:t>
      </w:r>
    </w:p>
    <w:p w14:paraId="39A6D24B" w14:textId="70302C55" w:rsidR="00D46789" w:rsidRPr="00900BD4" w:rsidRDefault="00D46789" w:rsidP="00D46789">
      <w:pPr>
        <w:spacing w:line="360" w:lineRule="auto"/>
        <w:jc w:val="both"/>
        <w:rPr>
          <w:rFonts w:ascii="Arial" w:hAnsi="Arial" w:cs="Arial"/>
        </w:rPr>
      </w:pPr>
      <w:r w:rsidRPr="00900BD4">
        <w:rPr>
          <w:rFonts w:ascii="Arial" w:hAnsi="Arial" w:cs="Arial"/>
        </w:rPr>
        <w:t>The death rates of Black Caribbean adults show disproportionate rates in relation to the long-term conditions, especially hypertension, stroke, and type 2 diabetes</w:t>
      </w:r>
      <w:r w:rsidR="00A654FD" w:rsidRPr="00900BD4">
        <w:rPr>
          <w:rFonts w:ascii="Arial" w:hAnsi="Arial" w:cs="Arial"/>
        </w:rPr>
        <w:t xml:space="preserve"> </w:t>
      </w:r>
      <w:r w:rsidRPr="00900BD4">
        <w:rPr>
          <w:rFonts w:ascii="Arial" w:hAnsi="Arial" w:cs="Arial"/>
        </w:rPr>
        <w:t>(Emmett et al., 2025).</w:t>
      </w:r>
      <w:r w:rsidR="0056141E" w:rsidRPr="00900BD4">
        <w:rPr>
          <w:rFonts w:ascii="Arial" w:hAnsi="Arial" w:cs="Arial"/>
        </w:rPr>
        <w:t xml:space="preserve"> Stroke mortality rates in Black groups are around </w:t>
      </w:r>
      <w:r w:rsidR="0056141E" w:rsidRPr="00900BD4">
        <w:rPr>
          <w:rFonts w:ascii="Arial" w:hAnsi="Arial" w:cs="Arial"/>
          <w:b/>
          <w:bCs/>
        </w:rPr>
        <w:t xml:space="preserve">30% higher </w:t>
      </w:r>
      <w:r w:rsidR="00AE4205" w:rsidRPr="00900BD4">
        <w:rPr>
          <w:rFonts w:ascii="Arial" w:hAnsi="Arial" w:cs="Arial"/>
        </w:rPr>
        <w:t>in comparison to</w:t>
      </w:r>
      <w:r w:rsidR="0056141E" w:rsidRPr="00900BD4">
        <w:rPr>
          <w:rFonts w:ascii="Arial" w:hAnsi="Arial" w:cs="Arial"/>
        </w:rPr>
        <w:t xml:space="preserve"> White British groups (Wang et al., 2022).</w:t>
      </w:r>
      <w:r w:rsidRPr="00900BD4">
        <w:rPr>
          <w:rFonts w:ascii="Arial" w:hAnsi="Arial" w:cs="Arial"/>
        </w:rPr>
        <w:t xml:space="preserve"> Improving the early diagnosis and providing self-management education in a culturally sensitive manner are paramount solutions to the reduction of these disparities in mortality.</w:t>
      </w:r>
    </w:p>
    <w:p w14:paraId="223FB8AC" w14:textId="66D5F863" w:rsidR="00AE243C" w:rsidRPr="00900BD4" w:rsidRDefault="00AE243C" w:rsidP="00D46789">
      <w:pPr>
        <w:spacing w:line="360" w:lineRule="auto"/>
        <w:jc w:val="both"/>
        <w:rPr>
          <w:rFonts w:ascii="Arial" w:hAnsi="Arial" w:cs="Arial"/>
          <w:b/>
          <w:bCs/>
        </w:rPr>
      </w:pPr>
      <w:r w:rsidRPr="00900BD4">
        <w:rPr>
          <w:rFonts w:ascii="Arial" w:hAnsi="Arial" w:cs="Arial"/>
          <w:b/>
          <w:bCs/>
        </w:rPr>
        <w:t>Social Isolation and Loneliness</w:t>
      </w:r>
    </w:p>
    <w:p w14:paraId="4170C2B2" w14:textId="20A410CA" w:rsidR="00AE243C" w:rsidRPr="00900BD4" w:rsidRDefault="00D46789" w:rsidP="00D46789">
      <w:pPr>
        <w:spacing w:line="360" w:lineRule="auto"/>
        <w:jc w:val="both"/>
        <w:rPr>
          <w:rFonts w:ascii="Arial" w:hAnsi="Arial" w:cs="Arial"/>
        </w:rPr>
      </w:pPr>
      <w:r w:rsidRPr="00900BD4">
        <w:rPr>
          <w:rFonts w:ascii="Arial" w:hAnsi="Arial" w:cs="Arial"/>
        </w:rPr>
        <w:t>Social isolation is a major social determinant that hurts the health of most black Caribbean people, especially the elderly and new migrants.</w:t>
      </w:r>
      <w:r w:rsidR="00046CA0" w:rsidRPr="00900BD4">
        <w:rPr>
          <w:rFonts w:ascii="Arial" w:hAnsi="Arial" w:cs="Arial"/>
        </w:rPr>
        <w:t xml:space="preserve"> Taylor et al</w:t>
      </w:r>
      <w:r w:rsidR="00A654FD" w:rsidRPr="00900BD4">
        <w:rPr>
          <w:rFonts w:ascii="Arial" w:hAnsi="Arial" w:cs="Arial"/>
        </w:rPr>
        <w:t>.</w:t>
      </w:r>
      <w:r w:rsidR="00046CA0" w:rsidRPr="00900BD4">
        <w:rPr>
          <w:rFonts w:ascii="Arial" w:hAnsi="Arial" w:cs="Arial"/>
        </w:rPr>
        <w:t xml:space="preserve"> (2019) studied that </w:t>
      </w:r>
      <w:r w:rsidR="00046CA0" w:rsidRPr="00900BD4">
        <w:rPr>
          <w:rFonts w:ascii="Arial" w:hAnsi="Arial" w:cs="Arial"/>
          <w:b/>
          <w:bCs/>
        </w:rPr>
        <w:t>3 out of 10 older adults</w:t>
      </w:r>
      <w:r w:rsidR="00046CA0" w:rsidRPr="00900BD4">
        <w:rPr>
          <w:rFonts w:ascii="Arial" w:hAnsi="Arial" w:cs="Arial"/>
        </w:rPr>
        <w:t xml:space="preserve"> reported some level of objective isolation.</w:t>
      </w:r>
      <w:r w:rsidRPr="00900BD4">
        <w:rPr>
          <w:rFonts w:ascii="Arial" w:hAnsi="Arial" w:cs="Arial"/>
        </w:rPr>
        <w:t xml:space="preserve"> Constant exposure to racism, transgenerational trauma related to migration, and reduced social engagement are the factors that lead to a sense of exclusion and loneliness</w:t>
      </w:r>
      <w:r w:rsidR="00A654FD" w:rsidRPr="00900BD4">
        <w:rPr>
          <w:rFonts w:ascii="Arial" w:hAnsi="Arial" w:cs="Arial"/>
        </w:rPr>
        <w:t xml:space="preserve"> (Taylor et al., 2019)</w:t>
      </w:r>
      <w:r w:rsidRPr="00900BD4">
        <w:rPr>
          <w:rFonts w:ascii="Arial" w:hAnsi="Arial" w:cs="Arial"/>
        </w:rPr>
        <w:t xml:space="preserve">. </w:t>
      </w:r>
    </w:p>
    <w:p w14:paraId="1DEA017B" w14:textId="77777777" w:rsidR="00AE243C" w:rsidRPr="00900BD4" w:rsidRDefault="00AE243C" w:rsidP="00D46789">
      <w:pPr>
        <w:spacing w:line="360" w:lineRule="auto"/>
        <w:jc w:val="both"/>
        <w:rPr>
          <w:rFonts w:ascii="Arial" w:hAnsi="Arial" w:cs="Arial"/>
          <w:b/>
          <w:bCs/>
        </w:rPr>
      </w:pPr>
      <w:r w:rsidRPr="00900BD4">
        <w:rPr>
          <w:rFonts w:ascii="Arial" w:hAnsi="Arial" w:cs="Arial"/>
          <w:b/>
          <w:bCs/>
        </w:rPr>
        <w:t>Poverty</w:t>
      </w:r>
    </w:p>
    <w:p w14:paraId="0BC12319" w14:textId="402032C2" w:rsidR="00D46789" w:rsidRPr="00900BD4" w:rsidRDefault="00D46789" w:rsidP="00D46789">
      <w:pPr>
        <w:spacing w:line="360" w:lineRule="auto"/>
        <w:jc w:val="both"/>
        <w:rPr>
          <w:rFonts w:ascii="Arial" w:hAnsi="Arial" w:cs="Arial"/>
        </w:rPr>
      </w:pPr>
      <w:r w:rsidRPr="00900BD4">
        <w:rPr>
          <w:rFonts w:ascii="Arial" w:hAnsi="Arial" w:cs="Arial"/>
        </w:rPr>
        <w:t>Within the Black Caribbean communities, poverty has continued to be one of the leading predictors of ill health. According to national statistics, the black Caribbean households tend to face unemployment</w:t>
      </w:r>
      <w:r w:rsidR="00BF37CE" w:rsidRPr="00900BD4">
        <w:rPr>
          <w:rFonts w:ascii="Arial" w:hAnsi="Arial" w:cs="Arial"/>
        </w:rPr>
        <w:t xml:space="preserve"> </w:t>
      </w:r>
      <w:r w:rsidR="00BF37CE" w:rsidRPr="00900BD4">
        <w:rPr>
          <w:rFonts w:ascii="Arial" w:hAnsi="Arial" w:cs="Arial"/>
          <w:b/>
          <w:bCs/>
        </w:rPr>
        <w:t>(62% employed)</w:t>
      </w:r>
      <w:r w:rsidRPr="00900BD4">
        <w:rPr>
          <w:rFonts w:ascii="Arial" w:hAnsi="Arial" w:cs="Arial"/>
          <w:b/>
          <w:bCs/>
        </w:rPr>
        <w:t xml:space="preserve">, </w:t>
      </w:r>
      <w:r w:rsidRPr="00900BD4">
        <w:rPr>
          <w:rFonts w:ascii="Arial" w:hAnsi="Arial" w:cs="Arial"/>
        </w:rPr>
        <w:t xml:space="preserve">low income, and financial insecurity more than the national average (Public Health England, 2018). Poverty makes it hard to access healthy food, good housing, and access to exercise and sports, which are some of the primary factors of high blood pressure, diabetes and mental-health conditions. </w:t>
      </w:r>
    </w:p>
    <w:p w14:paraId="715D8ECF" w14:textId="09F80AC0" w:rsidR="00AE243C" w:rsidRPr="00900BD4" w:rsidRDefault="00AE243C" w:rsidP="00D46789">
      <w:pPr>
        <w:spacing w:line="360" w:lineRule="auto"/>
        <w:jc w:val="both"/>
        <w:rPr>
          <w:rFonts w:ascii="Arial" w:hAnsi="Arial" w:cs="Arial"/>
          <w:b/>
          <w:bCs/>
        </w:rPr>
      </w:pPr>
      <w:r w:rsidRPr="00900BD4">
        <w:rPr>
          <w:rFonts w:ascii="Arial" w:hAnsi="Arial" w:cs="Arial"/>
          <w:b/>
          <w:bCs/>
        </w:rPr>
        <w:t>Housing Issues</w:t>
      </w:r>
    </w:p>
    <w:p w14:paraId="28DAE707" w14:textId="041FFB2F" w:rsidR="00D46789" w:rsidRPr="00900BD4" w:rsidRDefault="00D46789" w:rsidP="00D46789">
      <w:pPr>
        <w:spacing w:line="360" w:lineRule="auto"/>
        <w:jc w:val="both"/>
        <w:rPr>
          <w:rFonts w:ascii="Arial" w:hAnsi="Arial" w:cs="Arial"/>
          <w:b/>
        </w:rPr>
      </w:pPr>
      <w:r w:rsidRPr="00900BD4">
        <w:rPr>
          <w:rFonts w:ascii="Arial" w:hAnsi="Arial" w:cs="Arial"/>
        </w:rPr>
        <w:t>The black Caribbean communities have an overrepresentation of crammed, poor, or unsafe housing.</w:t>
      </w:r>
      <w:r w:rsidR="00BF37CE" w:rsidRPr="00900BD4">
        <w:rPr>
          <w:rFonts w:ascii="Arial" w:hAnsi="Arial" w:cs="Arial"/>
        </w:rPr>
        <w:t xml:space="preserve"> Only</w:t>
      </w:r>
      <w:r w:rsidR="00BF37CE" w:rsidRPr="00900BD4">
        <w:rPr>
          <w:rFonts w:ascii="Arial" w:hAnsi="Arial" w:cs="Arial"/>
          <w:b/>
          <w:bCs/>
        </w:rPr>
        <w:t xml:space="preserve"> 40% </w:t>
      </w:r>
      <w:r w:rsidR="00BF37CE" w:rsidRPr="00900BD4">
        <w:rPr>
          <w:rFonts w:ascii="Arial" w:hAnsi="Arial" w:cs="Arial"/>
        </w:rPr>
        <w:t xml:space="preserve">of this community have their own homes (Black Equity Organisation, 2024). </w:t>
      </w:r>
      <w:r w:rsidRPr="00900BD4">
        <w:rPr>
          <w:rFonts w:ascii="Arial" w:hAnsi="Arial" w:cs="Arial"/>
        </w:rPr>
        <w:t>Poor housing conditions, including dampness, congestion, and insufficiency of green areas, are related to poor respiratory health, high stress levels, and stressful risk factors of chronic diseases</w:t>
      </w:r>
      <w:r w:rsidR="00A654FD" w:rsidRPr="00900BD4">
        <w:rPr>
          <w:rFonts w:ascii="Arial" w:hAnsi="Arial" w:cs="Arial"/>
        </w:rPr>
        <w:t xml:space="preserve"> (Black Equity Organisation, 2024)</w:t>
      </w:r>
      <w:r w:rsidRPr="00900BD4">
        <w:rPr>
          <w:rFonts w:ascii="Arial" w:hAnsi="Arial" w:cs="Arial"/>
        </w:rPr>
        <w:t>. Housing inequality is a problem that must be addressed in a concerted effort on the part of local governments, housing organisations, and government health providers.</w:t>
      </w:r>
    </w:p>
    <w:p w14:paraId="5BE0E574" w14:textId="287197D7" w:rsidR="00CE11F2" w:rsidRPr="00900BD4" w:rsidRDefault="00E30977" w:rsidP="00AE243C">
      <w:pPr>
        <w:pStyle w:val="Heading2"/>
        <w:rPr>
          <w:rFonts w:cs="Arial"/>
          <w:color w:val="auto"/>
          <w:sz w:val="22"/>
          <w:szCs w:val="22"/>
        </w:rPr>
      </w:pPr>
      <w:r w:rsidRPr="00900BD4">
        <w:rPr>
          <w:rFonts w:cs="Arial"/>
          <w:color w:val="auto"/>
          <w:sz w:val="22"/>
          <w:szCs w:val="22"/>
        </w:rPr>
        <w:t xml:space="preserve">3. </w:t>
      </w:r>
      <w:r w:rsidR="00CE11F2" w:rsidRPr="00900BD4">
        <w:rPr>
          <w:rFonts w:cs="Arial"/>
          <w:color w:val="auto"/>
          <w:sz w:val="22"/>
          <w:szCs w:val="22"/>
        </w:rPr>
        <w:t>National Response to Reduce Health Inequalities</w:t>
      </w:r>
    </w:p>
    <w:p w14:paraId="55384666" w14:textId="77777777" w:rsidR="009E4561" w:rsidRPr="00900BD4" w:rsidRDefault="004C41C3" w:rsidP="00BC1CD0">
      <w:pPr>
        <w:spacing w:line="360" w:lineRule="auto"/>
        <w:jc w:val="both"/>
        <w:rPr>
          <w:rFonts w:ascii="Arial" w:hAnsi="Arial" w:cs="Arial"/>
        </w:rPr>
      </w:pPr>
      <w:r w:rsidRPr="00900BD4">
        <w:rPr>
          <w:rFonts w:ascii="Arial" w:hAnsi="Arial" w:cs="Arial"/>
        </w:rPr>
        <w:t xml:space="preserve">Several national policies have been launched to curb health disparities in the Black Caribbean groups. The NHS Long-term Plan aims </w:t>
      </w:r>
      <w:r w:rsidR="00BC1CD0" w:rsidRPr="00900BD4">
        <w:rPr>
          <w:rFonts w:ascii="Arial" w:hAnsi="Arial" w:cs="Arial"/>
        </w:rPr>
        <w:t>to reduce</w:t>
      </w:r>
      <w:r w:rsidRPr="00900BD4">
        <w:rPr>
          <w:rFonts w:ascii="Arial" w:hAnsi="Arial" w:cs="Arial"/>
        </w:rPr>
        <w:t xml:space="preserve"> health disparities through the provision of more cardiovascular disease screenings, mental-health services, and earlier chronic disease diagnosis (NHS England, 2019). The Health Equity Report by Public Health England presents the country-wide studies of the disparities and suggests the specific actions to be carried out on the local level to assist the ethnic minorities (Public Health England, 2018). Also, the emergence of culturally </w:t>
      </w:r>
      <w:r w:rsidR="00BC1CD0" w:rsidRPr="00900BD4">
        <w:rPr>
          <w:rFonts w:ascii="Arial" w:hAnsi="Arial" w:cs="Arial"/>
        </w:rPr>
        <w:t>adopted</w:t>
      </w:r>
      <w:r w:rsidRPr="00900BD4">
        <w:rPr>
          <w:rFonts w:ascii="Arial" w:hAnsi="Arial" w:cs="Arial"/>
        </w:rPr>
        <w:t xml:space="preserve"> programmes, like the Heal</w:t>
      </w:r>
      <w:r w:rsidRPr="00900BD4">
        <w:rPr>
          <w:rFonts w:ascii="Arial" w:hAnsi="Arial" w:cs="Arial"/>
        </w:rPr>
        <w:noBreakHyphen/>
        <w:t xml:space="preserve">D diabetes-education program, shows that there is an increasing understanding of the importance of culturally tailored prevention strategies (Ahmed et al., 2022). </w:t>
      </w:r>
    </w:p>
    <w:p w14:paraId="7304CEB2" w14:textId="6576074F" w:rsidR="00CE11F2" w:rsidRPr="00900BD4" w:rsidRDefault="00E30977" w:rsidP="00E30977">
      <w:pPr>
        <w:pStyle w:val="Heading2"/>
        <w:rPr>
          <w:rFonts w:cs="Arial"/>
          <w:color w:val="auto"/>
          <w:sz w:val="22"/>
          <w:szCs w:val="22"/>
        </w:rPr>
      </w:pPr>
      <w:r w:rsidRPr="00900BD4">
        <w:rPr>
          <w:rFonts w:cs="Arial"/>
          <w:color w:val="auto"/>
          <w:sz w:val="22"/>
          <w:szCs w:val="22"/>
        </w:rPr>
        <w:t xml:space="preserve">4. </w:t>
      </w:r>
      <w:r w:rsidR="00CE11F2" w:rsidRPr="00900BD4">
        <w:rPr>
          <w:rFonts w:cs="Arial"/>
          <w:color w:val="auto"/>
          <w:sz w:val="22"/>
          <w:szCs w:val="22"/>
        </w:rPr>
        <w:t>Organisations Supporting the Black Caribbean Community</w:t>
      </w:r>
    </w:p>
    <w:p w14:paraId="665AAEA8" w14:textId="3684764E" w:rsidR="00CE11F2" w:rsidRPr="00900BD4" w:rsidRDefault="004C41C3" w:rsidP="00BC1CD0">
      <w:pPr>
        <w:spacing w:line="360" w:lineRule="auto"/>
        <w:jc w:val="both"/>
        <w:rPr>
          <w:rFonts w:ascii="Arial" w:hAnsi="Arial" w:cs="Arial"/>
        </w:rPr>
      </w:pPr>
      <w:r w:rsidRPr="00900BD4">
        <w:rPr>
          <w:rFonts w:ascii="Arial" w:hAnsi="Arial" w:cs="Arial"/>
        </w:rPr>
        <w:t>A number of organisations assist Black Caribbean people and attempt to overcome the health disparities. The Runnymede Trust, a major race-equality institute in the UK, has brought out a lot of research related to systemic racism, health disparities and social injustice (Runnymede Trust, 2020).</w:t>
      </w:r>
      <w:r w:rsidR="00A654FD" w:rsidRPr="00900BD4">
        <w:rPr>
          <w:rFonts w:ascii="Arial" w:hAnsi="Arial" w:cs="Arial"/>
        </w:rPr>
        <w:t xml:space="preserve"> The main goal of the organisation is to eliminate structural racism and improve health equity for Black and minority ethnic communities.</w:t>
      </w:r>
      <w:r w:rsidRPr="00900BD4">
        <w:rPr>
          <w:rFonts w:ascii="Arial" w:hAnsi="Arial" w:cs="Arial"/>
        </w:rPr>
        <w:t xml:space="preserve"> Diabetes UK works in partnership with African and Caribbean communities as a way of providing culturally sensitive diabetes-education programmes. Such programs </w:t>
      </w:r>
      <w:r w:rsidR="001665AD" w:rsidRPr="00900BD4">
        <w:rPr>
          <w:rFonts w:ascii="Arial" w:hAnsi="Arial" w:cs="Arial"/>
        </w:rPr>
        <w:t>improve self-management</w:t>
      </w:r>
      <w:r w:rsidRPr="00900BD4">
        <w:rPr>
          <w:rFonts w:ascii="Arial" w:hAnsi="Arial" w:cs="Arial"/>
        </w:rPr>
        <w:t xml:space="preserve"> (Diabetes UK, 2021). </w:t>
      </w:r>
      <w:r w:rsidR="00A654FD" w:rsidRPr="00900BD4">
        <w:rPr>
          <w:rFonts w:ascii="Arial" w:hAnsi="Arial" w:cs="Arial"/>
        </w:rPr>
        <w:t xml:space="preserve">Its goal is to reduce diabetes prevalence and improve health outcomes among high-risk Black communities. </w:t>
      </w:r>
      <w:r w:rsidRPr="00900BD4">
        <w:rPr>
          <w:rFonts w:ascii="Arial" w:hAnsi="Arial" w:cs="Arial"/>
        </w:rPr>
        <w:t xml:space="preserve">Mental-health charities like </w:t>
      </w:r>
      <w:r w:rsidRPr="00900BD4">
        <w:rPr>
          <w:rFonts w:ascii="Arial" w:hAnsi="Arial" w:cs="Arial"/>
          <w:i/>
          <w:iCs/>
        </w:rPr>
        <w:t>Mind</w:t>
      </w:r>
      <w:r w:rsidRPr="00900BD4">
        <w:rPr>
          <w:rFonts w:ascii="Arial" w:hAnsi="Arial" w:cs="Arial"/>
        </w:rPr>
        <w:t xml:space="preserve"> are working alongside Black Caribbean communities to raise awareness, eliminate stigma and encourage the provision of </w:t>
      </w:r>
      <w:r w:rsidR="004E398D" w:rsidRPr="00900BD4">
        <w:rPr>
          <w:rFonts w:ascii="Arial" w:hAnsi="Arial" w:cs="Arial"/>
        </w:rPr>
        <w:t>culturally sensitive</w:t>
      </w:r>
      <w:r w:rsidRPr="00900BD4">
        <w:rPr>
          <w:rFonts w:ascii="Arial" w:hAnsi="Arial" w:cs="Arial"/>
        </w:rPr>
        <w:t xml:space="preserve"> mental-health care</w:t>
      </w:r>
      <w:r w:rsidR="00AE4205" w:rsidRPr="00900BD4">
        <w:rPr>
          <w:rFonts w:ascii="Arial" w:hAnsi="Arial" w:cs="Arial"/>
        </w:rPr>
        <w:t xml:space="preserve"> (Mind, 2025)</w:t>
      </w:r>
      <w:r w:rsidRPr="00900BD4">
        <w:rPr>
          <w:rFonts w:ascii="Arial" w:hAnsi="Arial" w:cs="Arial"/>
        </w:rPr>
        <w:t>.</w:t>
      </w:r>
      <w:r w:rsidR="00A654FD" w:rsidRPr="00900BD4">
        <w:rPr>
          <w:rFonts w:ascii="Arial" w:hAnsi="Arial" w:cs="Arial"/>
        </w:rPr>
        <w:t xml:space="preserve"> Its main goal is to ensure equitable access to mental-health support and reduce inequalities in mental-health outcomes.</w:t>
      </w:r>
      <w:r w:rsidRPr="00900BD4">
        <w:rPr>
          <w:rFonts w:ascii="Arial" w:hAnsi="Arial" w:cs="Arial"/>
        </w:rPr>
        <w:t xml:space="preserve"> These organisations offer front-line services, campaign to transform the system, enhance care access, and boost the voice of ethnic minorities in national policy.</w:t>
      </w:r>
    </w:p>
    <w:p w14:paraId="3FEB48A2" w14:textId="4150738C" w:rsidR="00CE11F2" w:rsidRPr="00900BD4" w:rsidRDefault="00E30977" w:rsidP="00E30977">
      <w:pPr>
        <w:pStyle w:val="Heading2"/>
        <w:rPr>
          <w:rFonts w:cs="Arial"/>
          <w:color w:val="auto"/>
          <w:sz w:val="22"/>
          <w:szCs w:val="22"/>
        </w:rPr>
      </w:pPr>
      <w:r w:rsidRPr="00900BD4">
        <w:rPr>
          <w:rFonts w:cs="Arial"/>
          <w:color w:val="auto"/>
          <w:sz w:val="22"/>
          <w:szCs w:val="22"/>
        </w:rPr>
        <w:t xml:space="preserve">5. </w:t>
      </w:r>
      <w:r w:rsidR="00CE11F2" w:rsidRPr="00900BD4">
        <w:rPr>
          <w:rFonts w:cs="Arial"/>
          <w:color w:val="auto"/>
          <w:sz w:val="22"/>
          <w:szCs w:val="22"/>
        </w:rPr>
        <w:t>Conclusion</w:t>
      </w:r>
    </w:p>
    <w:p w14:paraId="655C2E5C" w14:textId="7785AD32" w:rsidR="00EF0D71" w:rsidRPr="00900BD4" w:rsidRDefault="004C41C3" w:rsidP="00BC1CD0">
      <w:pPr>
        <w:spacing w:line="360" w:lineRule="auto"/>
        <w:jc w:val="both"/>
        <w:rPr>
          <w:rFonts w:ascii="Arial" w:hAnsi="Arial" w:cs="Arial"/>
        </w:rPr>
      </w:pPr>
      <w:r w:rsidRPr="00900BD4">
        <w:rPr>
          <w:rFonts w:ascii="Arial" w:hAnsi="Arial" w:cs="Arial"/>
        </w:rPr>
        <w:t xml:space="preserve">The Black Caribbean community in </w:t>
      </w:r>
      <w:r w:rsidR="00BC1CD0" w:rsidRPr="00900BD4">
        <w:rPr>
          <w:rFonts w:ascii="Arial" w:hAnsi="Arial" w:cs="Arial"/>
        </w:rPr>
        <w:t xml:space="preserve">the </w:t>
      </w:r>
      <w:r w:rsidRPr="00900BD4">
        <w:rPr>
          <w:rFonts w:ascii="Arial" w:hAnsi="Arial" w:cs="Arial"/>
        </w:rPr>
        <w:t>UK is faced with huge health inequalities fuelled by disease burdens and social determinants. Working against structural inequalities and socioeconomic deprivation</w:t>
      </w:r>
      <w:r w:rsidR="00BC1CD0" w:rsidRPr="00900BD4">
        <w:rPr>
          <w:rFonts w:ascii="Arial" w:hAnsi="Arial" w:cs="Arial"/>
        </w:rPr>
        <w:t>,</w:t>
      </w:r>
      <w:r w:rsidRPr="00900BD4">
        <w:rPr>
          <w:rFonts w:ascii="Arial" w:hAnsi="Arial" w:cs="Arial"/>
        </w:rPr>
        <w:t xml:space="preserve"> and healthcare access barriers, elevated levels of hypertension, stroke, type 2 diabetes, and severe mental illness highlight structural inequalities. Racism and discrimination aggravate these differences, breaking the trust in institutions and reducing engagement with services. An extensive culturally-based initiative is still needed to minimise inequalities</w:t>
      </w:r>
      <w:r w:rsidR="00D20D16" w:rsidRPr="00900BD4">
        <w:rPr>
          <w:rFonts w:ascii="Arial" w:hAnsi="Arial" w:cs="Arial"/>
        </w:rPr>
        <w:t xml:space="preserve"> and </w:t>
      </w:r>
      <w:r w:rsidRPr="00900BD4">
        <w:rPr>
          <w:rFonts w:ascii="Arial" w:hAnsi="Arial" w:cs="Arial"/>
        </w:rPr>
        <w:t>boost health outcomes</w:t>
      </w:r>
      <w:r w:rsidR="00D20D16" w:rsidRPr="00900BD4">
        <w:rPr>
          <w:rFonts w:ascii="Arial" w:hAnsi="Arial" w:cs="Arial"/>
        </w:rPr>
        <w:t>.</w:t>
      </w:r>
      <w:r w:rsidR="00EF0D71" w:rsidRPr="00900BD4">
        <w:rPr>
          <w:rFonts w:ascii="Arial" w:hAnsi="Arial" w:cs="Arial"/>
        </w:rPr>
        <w:br w:type="page"/>
      </w:r>
    </w:p>
    <w:p w14:paraId="2792185A" w14:textId="77777777" w:rsidR="00AE243C" w:rsidRPr="00900BD4" w:rsidRDefault="00AE243C" w:rsidP="00AE243C">
      <w:pPr>
        <w:pStyle w:val="Heading1"/>
        <w:jc w:val="left"/>
        <w:rPr>
          <w:rFonts w:cs="Arial"/>
          <w:sz w:val="22"/>
          <w:szCs w:val="22"/>
        </w:rPr>
      </w:pPr>
      <w:r w:rsidRPr="00900BD4">
        <w:rPr>
          <w:rFonts w:cs="Arial"/>
          <w:sz w:val="22"/>
          <w:szCs w:val="22"/>
        </w:rPr>
        <w:t>Task 2: Epidemiological Analysis</w:t>
      </w:r>
    </w:p>
    <w:p w14:paraId="75A5C81D" w14:textId="5E3D3739" w:rsidR="00EF0D71" w:rsidRPr="00900BD4" w:rsidRDefault="00AE243C" w:rsidP="00AE243C">
      <w:pPr>
        <w:pStyle w:val="Heading1"/>
        <w:jc w:val="left"/>
        <w:rPr>
          <w:rFonts w:cs="Arial"/>
          <w:sz w:val="22"/>
          <w:szCs w:val="22"/>
        </w:rPr>
      </w:pPr>
      <w:r w:rsidRPr="00900BD4">
        <w:rPr>
          <w:rFonts w:cs="Arial"/>
          <w:sz w:val="22"/>
          <w:szCs w:val="22"/>
        </w:rPr>
        <w:t xml:space="preserve">1. </w:t>
      </w:r>
      <w:r w:rsidR="00EF0D71" w:rsidRPr="00900BD4">
        <w:rPr>
          <w:rFonts w:cs="Arial"/>
          <w:sz w:val="22"/>
          <w:szCs w:val="22"/>
        </w:rPr>
        <w:t>Introduction</w:t>
      </w:r>
    </w:p>
    <w:p w14:paraId="73FAECA7" w14:textId="77777777" w:rsidR="00EF0D71" w:rsidRPr="00900BD4" w:rsidRDefault="00EF0D71" w:rsidP="00BC1CD0">
      <w:pPr>
        <w:spacing w:line="360" w:lineRule="auto"/>
        <w:jc w:val="both"/>
        <w:rPr>
          <w:rFonts w:ascii="Arial" w:hAnsi="Arial" w:cs="Arial"/>
          <w:b/>
          <w:bCs/>
        </w:rPr>
      </w:pPr>
      <w:r w:rsidRPr="00900BD4">
        <w:rPr>
          <w:rFonts w:ascii="Arial" w:hAnsi="Arial" w:cs="Arial"/>
          <w:b/>
          <w:bCs/>
        </w:rPr>
        <w:t>Definition of the Health Problem</w:t>
      </w:r>
    </w:p>
    <w:p w14:paraId="373D825A" w14:textId="526DB4B7" w:rsidR="001665AD" w:rsidRPr="00900BD4" w:rsidRDefault="00844D0F" w:rsidP="00BC1CD0">
      <w:pPr>
        <w:spacing w:line="360" w:lineRule="auto"/>
        <w:jc w:val="both"/>
        <w:rPr>
          <w:rFonts w:ascii="Arial" w:hAnsi="Arial" w:cs="Arial"/>
        </w:rPr>
      </w:pPr>
      <w:r w:rsidRPr="00900BD4">
        <w:rPr>
          <w:rFonts w:ascii="Arial" w:hAnsi="Arial" w:cs="Arial"/>
        </w:rPr>
        <w:t>Type 2 Diabetes Mellitus (</w:t>
      </w:r>
      <w:r w:rsidR="004C41C3" w:rsidRPr="00900BD4">
        <w:rPr>
          <w:rFonts w:ascii="Arial" w:hAnsi="Arial" w:cs="Arial"/>
        </w:rPr>
        <w:t>T2DM</w:t>
      </w:r>
      <w:r w:rsidRPr="00900BD4">
        <w:rPr>
          <w:rFonts w:ascii="Arial" w:hAnsi="Arial" w:cs="Arial"/>
        </w:rPr>
        <w:t>)</w:t>
      </w:r>
      <w:r w:rsidR="004C41C3" w:rsidRPr="00900BD4">
        <w:rPr>
          <w:rFonts w:ascii="Arial" w:hAnsi="Arial" w:cs="Arial"/>
        </w:rPr>
        <w:t xml:space="preserve"> is a long-lasting metabolic syndrome that is associated with the inability to regulate insulin levels, resulting in chronic hyperglycaemia. T2DM has far-reaching social, cultural and health consequences, reduces the quality of life, life expectancy, lowers economic productivity, and affects community health</w:t>
      </w:r>
      <w:r w:rsidRPr="00900BD4">
        <w:rPr>
          <w:rFonts w:ascii="Arial" w:hAnsi="Arial" w:cs="Arial"/>
        </w:rPr>
        <w:t xml:space="preserve"> (Diabetes UK, 2021)</w:t>
      </w:r>
      <w:r w:rsidR="004C41C3" w:rsidRPr="00900BD4">
        <w:rPr>
          <w:rFonts w:ascii="Arial" w:hAnsi="Arial" w:cs="Arial"/>
        </w:rPr>
        <w:t xml:space="preserve">. The long-term effects include heart disease, kidney failure, peripheral nerve damage, eye damage, and high mortality (Bennett et al., 2015). In the societal context, uncontrolled diabetes reduces economic involvement, increases family care necessities and increases health system burden. </w:t>
      </w:r>
    </w:p>
    <w:p w14:paraId="01C2AF85" w14:textId="12E35B98" w:rsidR="00EF0D71" w:rsidRPr="00900BD4" w:rsidRDefault="00EF0D71" w:rsidP="00BC1CD0">
      <w:pPr>
        <w:spacing w:line="360" w:lineRule="auto"/>
        <w:jc w:val="both"/>
        <w:rPr>
          <w:rFonts w:ascii="Arial" w:hAnsi="Arial" w:cs="Arial"/>
          <w:b/>
          <w:bCs/>
        </w:rPr>
      </w:pPr>
      <w:r w:rsidRPr="00900BD4">
        <w:rPr>
          <w:rFonts w:ascii="Arial" w:hAnsi="Arial" w:cs="Arial"/>
          <w:b/>
          <w:bCs/>
        </w:rPr>
        <w:t>Incidence and Prevalence: Worldwide and UK</w:t>
      </w:r>
    </w:p>
    <w:p w14:paraId="48EDFA13" w14:textId="3CFDB4F9" w:rsidR="001665AD" w:rsidRPr="00900BD4" w:rsidRDefault="004C41C3" w:rsidP="00BC1CD0">
      <w:pPr>
        <w:spacing w:line="360" w:lineRule="auto"/>
        <w:jc w:val="both"/>
        <w:rPr>
          <w:rFonts w:ascii="Arial" w:hAnsi="Arial" w:cs="Arial"/>
        </w:rPr>
      </w:pPr>
      <w:r w:rsidRPr="00900BD4">
        <w:rPr>
          <w:rFonts w:ascii="Arial" w:hAnsi="Arial" w:cs="Arial"/>
        </w:rPr>
        <w:t>Diabetes is currently experienced by over 537 million adults globally, and it is estimated to continue increasing due to the ageing population, urbanisation, and changing lifestyle (International Diabetes Federation, 2021). T2DM is one of the most formidable public-health issues because its global prevalence has nearly doubled in the last four decades. The United Kingdom has a population of 4.3 million individuals with diabetes, with nearly 90</w:t>
      </w:r>
      <w:r w:rsidR="00BF37CE" w:rsidRPr="00900BD4">
        <w:rPr>
          <w:rFonts w:ascii="Arial" w:hAnsi="Arial" w:cs="Arial"/>
        </w:rPr>
        <w:t xml:space="preserve">% </w:t>
      </w:r>
      <w:r w:rsidRPr="00900BD4">
        <w:rPr>
          <w:rFonts w:ascii="Arial" w:hAnsi="Arial" w:cs="Arial"/>
        </w:rPr>
        <w:t>of cases involving T2DM (Diabetes UK, 2021). Such disparities are much greater in Black ethnic groups, such as the Black Caribbean population, two to three times more prone to the condition compared to the White British population (Pham et al., 2019). However, in the London Borough of Lewisham, where Black Caribbean people are approximately 12 per cent of the population, the T2DM rates are even greater than in the country</w:t>
      </w:r>
      <w:r w:rsidR="00BC1CD0" w:rsidRPr="00900BD4">
        <w:rPr>
          <w:rFonts w:ascii="Arial" w:hAnsi="Arial" w:cs="Arial"/>
        </w:rPr>
        <w:t>;</w:t>
      </w:r>
      <w:r w:rsidRPr="00900BD4">
        <w:rPr>
          <w:rFonts w:ascii="Arial" w:hAnsi="Arial" w:cs="Arial"/>
        </w:rPr>
        <w:t xml:space="preserve"> some neighbourhoods in the area have reported even higher rates of over 10</w:t>
      </w:r>
      <w:r w:rsidR="00BF37CE" w:rsidRPr="00900BD4">
        <w:rPr>
          <w:rFonts w:ascii="Arial" w:hAnsi="Arial" w:cs="Arial"/>
        </w:rPr>
        <w:t xml:space="preserve">% </w:t>
      </w:r>
      <w:r w:rsidRPr="00900BD4">
        <w:rPr>
          <w:rFonts w:ascii="Arial" w:hAnsi="Arial" w:cs="Arial"/>
        </w:rPr>
        <w:t xml:space="preserve">(Lewisham Public Health, 2022). </w:t>
      </w:r>
    </w:p>
    <w:p w14:paraId="3BE20D84" w14:textId="4B078297" w:rsidR="00EF0D71" w:rsidRPr="00900BD4" w:rsidRDefault="00AE243C" w:rsidP="00AE243C">
      <w:pPr>
        <w:pStyle w:val="Heading1"/>
        <w:jc w:val="left"/>
        <w:rPr>
          <w:rFonts w:cs="Arial"/>
          <w:sz w:val="22"/>
          <w:szCs w:val="22"/>
        </w:rPr>
      </w:pPr>
      <w:r w:rsidRPr="00900BD4">
        <w:rPr>
          <w:rFonts w:cs="Arial"/>
          <w:sz w:val="22"/>
          <w:szCs w:val="22"/>
        </w:rPr>
        <w:t xml:space="preserve">2. </w:t>
      </w:r>
      <w:r w:rsidR="00EF0D71" w:rsidRPr="00900BD4">
        <w:rPr>
          <w:rFonts w:cs="Arial"/>
          <w:sz w:val="22"/>
          <w:szCs w:val="22"/>
        </w:rPr>
        <w:t>Main Body</w:t>
      </w:r>
    </w:p>
    <w:p w14:paraId="6A2D6415" w14:textId="72C1260E" w:rsidR="00EF0D71" w:rsidRPr="00900BD4" w:rsidRDefault="00AE243C" w:rsidP="00AE243C">
      <w:pPr>
        <w:pStyle w:val="Heading2"/>
        <w:rPr>
          <w:rFonts w:cs="Arial"/>
          <w:color w:val="auto"/>
          <w:sz w:val="22"/>
          <w:szCs w:val="22"/>
        </w:rPr>
      </w:pPr>
      <w:r w:rsidRPr="00900BD4">
        <w:rPr>
          <w:rFonts w:cs="Arial"/>
          <w:color w:val="auto"/>
          <w:sz w:val="22"/>
          <w:szCs w:val="22"/>
        </w:rPr>
        <w:t xml:space="preserve">2.1 </w:t>
      </w:r>
      <w:r w:rsidR="00EF0D71" w:rsidRPr="00900BD4">
        <w:rPr>
          <w:rFonts w:cs="Arial"/>
          <w:color w:val="auto"/>
          <w:sz w:val="22"/>
          <w:szCs w:val="22"/>
        </w:rPr>
        <w:t>Public Health Measures in the Defined Population Using the 3 P’s</w:t>
      </w:r>
    </w:p>
    <w:p w14:paraId="3443FD07" w14:textId="2CB9A3D8" w:rsidR="004C41C3" w:rsidRPr="00900BD4" w:rsidRDefault="004C41C3" w:rsidP="00BC1CD0">
      <w:pPr>
        <w:spacing w:line="360" w:lineRule="auto"/>
        <w:jc w:val="both"/>
        <w:rPr>
          <w:rFonts w:ascii="Arial" w:hAnsi="Arial" w:cs="Arial"/>
        </w:rPr>
      </w:pPr>
      <w:r w:rsidRPr="00900BD4">
        <w:rPr>
          <w:rFonts w:ascii="Arial" w:hAnsi="Arial" w:cs="Arial"/>
        </w:rPr>
        <w:t xml:space="preserve">The prevention, protection, and promotion of health are types of intervention in T2DM among Black Caribbean populations of Lewisham to be considered in relation to the problem of public-health strategies. </w:t>
      </w:r>
      <w:r w:rsidRPr="00900BD4">
        <w:rPr>
          <w:rFonts w:ascii="Arial" w:hAnsi="Arial" w:cs="Arial"/>
          <w:b/>
          <w:bCs/>
        </w:rPr>
        <w:t>Primary prevention focuses on the reduction of risk factors</w:t>
      </w:r>
      <w:r w:rsidRPr="00900BD4">
        <w:rPr>
          <w:rFonts w:ascii="Arial" w:hAnsi="Arial" w:cs="Arial"/>
        </w:rPr>
        <w:t xml:space="preserve"> before the onset of the disease. Culturally adapted health-promotional campaigns have raised the awareness of the risk of diabetes among African and Caribbean communities in Lewisham through churches, community centres, and local radio (Lewisham Public Health, 2022). </w:t>
      </w:r>
      <w:r w:rsidRPr="00900BD4">
        <w:rPr>
          <w:rFonts w:ascii="Arial" w:hAnsi="Arial" w:cs="Arial"/>
          <w:b/>
          <w:bCs/>
        </w:rPr>
        <w:t>The secondary preventive intervention aims at early identification</w:t>
      </w:r>
      <w:r w:rsidRPr="00900BD4">
        <w:rPr>
          <w:rFonts w:ascii="Arial" w:hAnsi="Arial" w:cs="Arial"/>
        </w:rPr>
        <w:t xml:space="preserve"> by screening and early diagnosis. The NHS Health Checks is a program running in Lewisham to identify adults (40</w:t>
      </w:r>
      <w:r w:rsidR="00BF37CE" w:rsidRPr="00900BD4">
        <w:rPr>
          <w:rFonts w:ascii="Arial" w:hAnsi="Arial" w:cs="Arial"/>
        </w:rPr>
        <w:t>-</w:t>
      </w:r>
      <w:r w:rsidRPr="00900BD4">
        <w:rPr>
          <w:rFonts w:ascii="Arial" w:hAnsi="Arial" w:cs="Arial"/>
        </w:rPr>
        <w:t xml:space="preserve">74) at risk of T2DM and more in Black Caribbean communities, as they are </w:t>
      </w:r>
      <w:r w:rsidR="00BC1CD0" w:rsidRPr="00900BD4">
        <w:rPr>
          <w:rFonts w:ascii="Arial" w:hAnsi="Arial" w:cs="Arial"/>
        </w:rPr>
        <w:t>disproportionately</w:t>
      </w:r>
      <w:r w:rsidRPr="00900BD4">
        <w:rPr>
          <w:rFonts w:ascii="Arial" w:hAnsi="Arial" w:cs="Arial"/>
        </w:rPr>
        <w:t xml:space="preserve"> at risk (NHS England, 2019). </w:t>
      </w:r>
      <w:r w:rsidRPr="00900BD4">
        <w:rPr>
          <w:rFonts w:ascii="Arial" w:hAnsi="Arial" w:cs="Arial"/>
          <w:b/>
          <w:bCs/>
        </w:rPr>
        <w:t>The tertiary prevention</w:t>
      </w:r>
      <w:r w:rsidR="00844D0F" w:rsidRPr="00900BD4">
        <w:rPr>
          <w:rFonts w:ascii="Arial" w:hAnsi="Arial" w:cs="Arial"/>
          <w:b/>
          <w:bCs/>
        </w:rPr>
        <w:t xml:space="preserve"> focuses</w:t>
      </w:r>
      <w:r w:rsidRPr="00900BD4">
        <w:rPr>
          <w:rFonts w:ascii="Arial" w:hAnsi="Arial" w:cs="Arial"/>
          <w:b/>
          <w:bCs/>
        </w:rPr>
        <w:t xml:space="preserve"> </w:t>
      </w:r>
      <w:r w:rsidR="00844D0F" w:rsidRPr="00900BD4">
        <w:rPr>
          <w:rFonts w:ascii="Arial" w:hAnsi="Arial" w:cs="Arial"/>
          <w:b/>
          <w:bCs/>
        </w:rPr>
        <w:t>on avoiding</w:t>
      </w:r>
      <w:r w:rsidRPr="00900BD4">
        <w:rPr>
          <w:rFonts w:ascii="Arial" w:hAnsi="Arial" w:cs="Arial"/>
          <w:b/>
          <w:bCs/>
        </w:rPr>
        <w:t xml:space="preserve"> complications</w:t>
      </w:r>
      <w:r w:rsidRPr="00900BD4">
        <w:rPr>
          <w:rFonts w:ascii="Arial" w:hAnsi="Arial" w:cs="Arial"/>
        </w:rPr>
        <w:t xml:space="preserve"> in diagnosed persons. Other programs like DESMOND (Diabetes Education and Self-Management-Ongoing and Newly Diagnosed) and the culturally specific program Heal-D pilot can offer systematic training to enhance self-management and decrease the risk of complications in the long term (Ahmed et al., 2022). </w:t>
      </w:r>
      <w:r w:rsidRPr="00900BD4">
        <w:rPr>
          <w:rFonts w:ascii="Arial" w:hAnsi="Arial" w:cs="Arial"/>
          <w:b/>
          <w:bCs/>
        </w:rPr>
        <w:t>Interventions made through health promotion strategies focus on enhancing the diet, bodily exercise</w:t>
      </w:r>
      <w:r w:rsidRPr="00900BD4">
        <w:rPr>
          <w:rFonts w:ascii="Arial" w:hAnsi="Arial" w:cs="Arial"/>
        </w:rPr>
        <w:t xml:space="preserve">, and literacy in health through community-based initiatives. </w:t>
      </w:r>
    </w:p>
    <w:p w14:paraId="4E08FFB4" w14:textId="3E8A27DC" w:rsidR="00EF0D71" w:rsidRPr="00900BD4" w:rsidRDefault="00AE243C" w:rsidP="00AE243C">
      <w:pPr>
        <w:pStyle w:val="Heading2"/>
        <w:rPr>
          <w:rFonts w:cs="Arial"/>
          <w:color w:val="auto"/>
          <w:sz w:val="22"/>
          <w:szCs w:val="22"/>
        </w:rPr>
      </w:pPr>
      <w:r w:rsidRPr="00900BD4">
        <w:rPr>
          <w:rFonts w:cs="Arial"/>
          <w:color w:val="auto"/>
          <w:sz w:val="22"/>
          <w:szCs w:val="22"/>
        </w:rPr>
        <w:t xml:space="preserve">2.2 </w:t>
      </w:r>
      <w:r w:rsidR="00EF0D71" w:rsidRPr="00900BD4">
        <w:rPr>
          <w:rFonts w:cs="Arial"/>
          <w:color w:val="auto"/>
          <w:sz w:val="22"/>
          <w:szCs w:val="22"/>
        </w:rPr>
        <w:t>Key Determinants and Risk Factors</w:t>
      </w:r>
    </w:p>
    <w:p w14:paraId="0E1467E7" w14:textId="5F204F65" w:rsidR="00844D0F" w:rsidRPr="00900BD4" w:rsidRDefault="00844D0F" w:rsidP="00844D0F">
      <w:pPr>
        <w:spacing w:line="360" w:lineRule="auto"/>
        <w:rPr>
          <w:rFonts w:ascii="Arial" w:hAnsi="Arial" w:cs="Arial"/>
          <w:b/>
        </w:rPr>
      </w:pPr>
      <w:r w:rsidRPr="00900BD4">
        <w:rPr>
          <w:rFonts w:ascii="Arial" w:hAnsi="Arial" w:cs="Arial"/>
        </w:rPr>
        <w:t>Determinants of type-2 diabetes mellitus (T2DM) in black Caribbean adults are a complex interplay of biological, behavioural, environmental, and structural determinants. As an illustration, 70.8% of Black adults in England are overweight or obese, as opposed to 65.2% of White British adults (Aicken et al., 2019). The behavioural determinants also include high levels of obesity rates, as reported to be around 39% among the Afro-Caribbean groups, and this increases the risk of diabetes (Aicken et al., 2019). The environmental determinants can also be traced to poor neighbourhoods, which often represent Black Caribbean communities, having lower rates of access to healthy foods and physical exercise facilities. Structural factors are especially blatant: patients who report victimisation by racial discrimination in the United Kingdom are more likely to have a long-standing physical or mental health issue (Pham et al., 2019). All of this shows that, among Black Caribbean adults, T2DM is not as much a biological disease as an expression of structural and social injustices that are deeply rooted.</w:t>
      </w:r>
    </w:p>
    <w:p w14:paraId="0BAB6D30" w14:textId="0DB25931" w:rsidR="00EF0D71" w:rsidRPr="00900BD4" w:rsidRDefault="00AE243C" w:rsidP="00AE243C">
      <w:pPr>
        <w:pStyle w:val="Heading2"/>
        <w:rPr>
          <w:rFonts w:cs="Arial"/>
          <w:color w:val="auto"/>
          <w:sz w:val="22"/>
          <w:szCs w:val="22"/>
        </w:rPr>
      </w:pPr>
      <w:r w:rsidRPr="00900BD4">
        <w:rPr>
          <w:rFonts w:cs="Arial"/>
          <w:color w:val="auto"/>
          <w:sz w:val="22"/>
          <w:szCs w:val="22"/>
        </w:rPr>
        <w:t xml:space="preserve">2.3 </w:t>
      </w:r>
      <w:r w:rsidR="00EF0D71" w:rsidRPr="00900BD4">
        <w:rPr>
          <w:rFonts w:cs="Arial"/>
          <w:color w:val="auto"/>
          <w:sz w:val="22"/>
          <w:szCs w:val="22"/>
        </w:rPr>
        <w:t>Identifying Those Affected or at Risk Using Epidemiological Studies and Health Needs Assessment</w:t>
      </w:r>
    </w:p>
    <w:p w14:paraId="5A1D713E" w14:textId="5FFD370F" w:rsidR="004C41C3" w:rsidRPr="00900BD4" w:rsidRDefault="004C41C3" w:rsidP="00BC1CD0">
      <w:pPr>
        <w:spacing w:line="360" w:lineRule="auto"/>
        <w:jc w:val="both"/>
        <w:rPr>
          <w:rFonts w:ascii="Arial" w:hAnsi="Arial" w:cs="Arial"/>
        </w:rPr>
      </w:pPr>
      <w:r w:rsidRPr="00900BD4">
        <w:rPr>
          <w:rFonts w:ascii="Arial" w:hAnsi="Arial" w:cs="Arial"/>
        </w:rPr>
        <w:t xml:space="preserve">Epidemiological research gives strong support from which it is observed that Black Caribbean adults have increased incidence, onset and worse outcomes of T2DM. A systematic review by Pham et al. (2019) confirms that Black Caribbean groups have very high levels of prevalence compared to White groups. The epidemiological analysis of the area of Lewisham reveals that T2DM concentrates in neighbourhoods like Catford, Deptford, and New Cross, in which the levels of deprivation are also the highest (Lewisham Public Health, 2022). </w:t>
      </w:r>
    </w:p>
    <w:p w14:paraId="704AB0DA" w14:textId="10C5655A" w:rsidR="004C41C3" w:rsidRPr="00900BD4" w:rsidRDefault="004C41C3" w:rsidP="00BC1CD0">
      <w:pPr>
        <w:spacing w:line="360" w:lineRule="auto"/>
        <w:jc w:val="both"/>
        <w:rPr>
          <w:rFonts w:ascii="Arial" w:hAnsi="Arial" w:cs="Arial"/>
        </w:rPr>
      </w:pPr>
      <w:r w:rsidRPr="00900BD4">
        <w:rPr>
          <w:rFonts w:ascii="Arial" w:hAnsi="Arial" w:cs="Arial"/>
        </w:rPr>
        <w:t>An all-inclusive HNA involves reviewing the demographics of the population, local disease prevalence, evaluating service accessibility</w:t>
      </w:r>
      <w:r w:rsidR="00BC1CD0" w:rsidRPr="00900BD4">
        <w:rPr>
          <w:rFonts w:ascii="Arial" w:hAnsi="Arial" w:cs="Arial"/>
        </w:rPr>
        <w:t>,</w:t>
      </w:r>
      <w:r w:rsidRPr="00900BD4">
        <w:rPr>
          <w:rFonts w:ascii="Arial" w:hAnsi="Arial" w:cs="Arial"/>
        </w:rPr>
        <w:t xml:space="preserve"> as well as unmet needs</w:t>
      </w:r>
      <w:r w:rsidR="00844D0F" w:rsidRPr="00900BD4">
        <w:rPr>
          <w:rFonts w:ascii="Arial" w:hAnsi="Arial" w:cs="Arial"/>
        </w:rPr>
        <w:t xml:space="preserve"> (Pham et al., 2019)</w:t>
      </w:r>
      <w:r w:rsidRPr="00900BD4">
        <w:rPr>
          <w:rFonts w:ascii="Arial" w:hAnsi="Arial" w:cs="Arial"/>
        </w:rPr>
        <w:t>. These results prompt the urgent need to focus on increased screening, personalised health education, and culturally competent services.</w:t>
      </w:r>
    </w:p>
    <w:p w14:paraId="52C50786" w14:textId="6B433CD2" w:rsidR="00EF0D71" w:rsidRPr="00900BD4" w:rsidRDefault="00AE243C" w:rsidP="00AE243C">
      <w:pPr>
        <w:pStyle w:val="Heading2"/>
        <w:rPr>
          <w:rFonts w:cs="Arial"/>
          <w:color w:val="auto"/>
          <w:sz w:val="22"/>
          <w:szCs w:val="22"/>
        </w:rPr>
      </w:pPr>
      <w:r w:rsidRPr="00900BD4">
        <w:rPr>
          <w:rFonts w:cs="Arial"/>
          <w:color w:val="auto"/>
          <w:sz w:val="22"/>
          <w:szCs w:val="22"/>
        </w:rPr>
        <w:t xml:space="preserve">2.4 </w:t>
      </w:r>
      <w:r w:rsidR="00EF0D71" w:rsidRPr="00900BD4">
        <w:rPr>
          <w:rFonts w:cs="Arial"/>
          <w:color w:val="auto"/>
          <w:sz w:val="22"/>
          <w:szCs w:val="22"/>
        </w:rPr>
        <w:t>Public Health Approaches and Surveillance Systems for Monitoring Incidence</w:t>
      </w:r>
    </w:p>
    <w:p w14:paraId="01BFECF4" w14:textId="170C2705" w:rsidR="00E30977" w:rsidRPr="00900BD4" w:rsidRDefault="004C41C3" w:rsidP="00BC1CD0">
      <w:pPr>
        <w:spacing w:line="360" w:lineRule="auto"/>
        <w:jc w:val="both"/>
        <w:rPr>
          <w:rFonts w:ascii="Arial" w:hAnsi="Arial" w:cs="Arial"/>
        </w:rPr>
      </w:pPr>
      <w:r w:rsidRPr="00900BD4">
        <w:rPr>
          <w:rFonts w:ascii="Arial" w:hAnsi="Arial" w:cs="Arial"/>
        </w:rPr>
        <w:t>The surveillance of T2DM in Lewisham is based on various surveillance modalities. Passive surveillance is through GP recording of diagnoses, prescriptions, and clinical indicators (HbA1c, feeding the Quality and Outcomes Framework (QOF)), which provides annual prevalence data</w:t>
      </w:r>
      <w:r w:rsidR="00844D0F" w:rsidRPr="00900BD4">
        <w:rPr>
          <w:rFonts w:ascii="Arial" w:hAnsi="Arial" w:cs="Arial"/>
        </w:rPr>
        <w:t xml:space="preserve"> (Lewisham Public Health, 2022)</w:t>
      </w:r>
      <w:r w:rsidRPr="00900BD4">
        <w:rPr>
          <w:rFonts w:ascii="Arial" w:hAnsi="Arial" w:cs="Arial"/>
        </w:rPr>
        <w:t xml:space="preserve">. Active surveillance also involves specific screening programs like the NHS Health Checks, where active screening of the high-risk population is carried out. Sentinel surveillance is also implemented using a set of selected practices that will offer in detail data on the risk factors of diabetes and allow the analysis of trends among the populations of Black Caribbean to be concentrated. </w:t>
      </w:r>
      <w:r w:rsidR="00E30977" w:rsidRPr="00900BD4">
        <w:rPr>
          <w:rFonts w:ascii="Arial" w:hAnsi="Arial" w:cs="Arial"/>
        </w:rPr>
        <w:t xml:space="preserve">The </w:t>
      </w:r>
      <w:r w:rsidRPr="00900BD4">
        <w:rPr>
          <w:rFonts w:ascii="Arial" w:hAnsi="Arial" w:cs="Arial"/>
        </w:rPr>
        <w:t xml:space="preserve">National Diabetes Audit (NDA) provide all the national data, including ethnicity-specific data about the processes and outcomes of care (NHS Digital, 2022). </w:t>
      </w:r>
    </w:p>
    <w:p w14:paraId="049C3CC0" w14:textId="7A9CB968" w:rsidR="00EF0D71" w:rsidRPr="00900BD4" w:rsidRDefault="00AE243C" w:rsidP="00AE243C">
      <w:pPr>
        <w:pStyle w:val="Heading2"/>
        <w:rPr>
          <w:rFonts w:cs="Arial"/>
          <w:color w:val="auto"/>
          <w:sz w:val="22"/>
          <w:szCs w:val="22"/>
        </w:rPr>
      </w:pPr>
      <w:r w:rsidRPr="00900BD4">
        <w:rPr>
          <w:rFonts w:cs="Arial"/>
          <w:color w:val="auto"/>
          <w:sz w:val="22"/>
          <w:szCs w:val="22"/>
        </w:rPr>
        <w:t xml:space="preserve">2.5 </w:t>
      </w:r>
      <w:r w:rsidR="00EF0D71" w:rsidRPr="00900BD4">
        <w:rPr>
          <w:rFonts w:cs="Arial"/>
          <w:color w:val="auto"/>
          <w:sz w:val="22"/>
          <w:szCs w:val="22"/>
        </w:rPr>
        <w:t>Using Epidemiology to Determine the Public Health Impact</w:t>
      </w:r>
    </w:p>
    <w:p w14:paraId="148F1B64" w14:textId="77777777" w:rsidR="00D20D16" w:rsidRPr="00900BD4" w:rsidRDefault="00093F50" w:rsidP="00093F50">
      <w:pPr>
        <w:spacing w:line="360" w:lineRule="auto"/>
        <w:jc w:val="both"/>
        <w:rPr>
          <w:rFonts w:ascii="Arial" w:hAnsi="Arial" w:cs="Arial"/>
        </w:rPr>
      </w:pPr>
      <w:r w:rsidRPr="00900BD4">
        <w:rPr>
          <w:rFonts w:ascii="Arial" w:hAnsi="Arial" w:cs="Arial"/>
        </w:rPr>
        <w:t xml:space="preserve">Epidemiological diagnosis explains that type 2 diabetes mellitus (T2DM) has serious immediate and prolonged effects on the Black Caribbean population living in Lewisham. This demographic will be proportionally more likely to arrive with insufficiently controlled levels of glycaemia in the short term, and local datasets indicate high levels of haemoglobin A1c (HbA1c) at the time of initial diagnosis compared to the average of the borough (Lewisham Public Health, 2022). This effect helps to increase the overall demand for general practitioners (GPs), the demanding nature of pharmacological treatments, and the rate of emergency admissions due to hyperglycaemic episodes and foot infections. </w:t>
      </w:r>
    </w:p>
    <w:p w14:paraId="29FCF568" w14:textId="0F463C97" w:rsidR="00093F50" w:rsidRPr="00900BD4" w:rsidRDefault="00093F50" w:rsidP="00093F50">
      <w:pPr>
        <w:spacing w:line="360" w:lineRule="auto"/>
        <w:jc w:val="both"/>
        <w:rPr>
          <w:rFonts w:ascii="Arial" w:hAnsi="Arial" w:cs="Arial"/>
          <w:b/>
        </w:rPr>
      </w:pPr>
      <w:r w:rsidRPr="00900BD4">
        <w:rPr>
          <w:rFonts w:ascii="Arial" w:hAnsi="Arial" w:cs="Arial"/>
        </w:rPr>
        <w:t>The long-term consequences are stronger. Black Caribbean adults exhibit greater levels of multimorbidity related to diabetes, including increased rates of cardiovascular disease, renal failure, or having damaged vision (Ahmed et al., 2022). Stroke risk is also significantly higher, and the data show an incidence rate as high as 30</w:t>
      </w:r>
      <w:r w:rsidRPr="00900BD4">
        <w:rPr>
          <w:rFonts w:ascii="Arial" w:hAnsi="Arial" w:cs="Arial"/>
          <w:b/>
        </w:rPr>
        <w:t xml:space="preserve">% </w:t>
      </w:r>
      <w:r w:rsidRPr="00900BD4">
        <w:rPr>
          <w:rFonts w:ascii="Arial" w:hAnsi="Arial" w:cs="Arial"/>
        </w:rPr>
        <w:t>higher than compared of White British populations (Wang et</w:t>
      </w:r>
      <w:r w:rsidRPr="00900BD4">
        <w:rPr>
          <w:rFonts w:ascii="Cambria Math" w:hAnsi="Cambria Math" w:cs="Cambria Math"/>
        </w:rPr>
        <w:t>⁻</w:t>
      </w:r>
      <w:r w:rsidRPr="00900BD4">
        <w:rPr>
          <w:rFonts w:ascii="Arial" w:hAnsi="Arial" w:cs="Arial"/>
        </w:rPr>
        <w:t xml:space="preserve"> al., 2022). Without specific interventions, modelling suggests that the increase in prevalence will increase the existing disparities in health.</w:t>
      </w:r>
    </w:p>
    <w:p w14:paraId="5E9776C6" w14:textId="64A506A6" w:rsidR="00EF0D71" w:rsidRPr="00900BD4" w:rsidRDefault="00AE243C" w:rsidP="00093F50">
      <w:pPr>
        <w:pStyle w:val="Heading2"/>
        <w:rPr>
          <w:rFonts w:cs="Arial"/>
          <w:color w:val="auto"/>
          <w:sz w:val="22"/>
          <w:szCs w:val="22"/>
        </w:rPr>
      </w:pPr>
      <w:r w:rsidRPr="00900BD4">
        <w:rPr>
          <w:rFonts w:cs="Arial"/>
          <w:color w:val="auto"/>
          <w:sz w:val="22"/>
          <w:szCs w:val="22"/>
        </w:rPr>
        <w:t xml:space="preserve">2.6 </w:t>
      </w:r>
      <w:r w:rsidR="00EF0D71" w:rsidRPr="00900BD4">
        <w:rPr>
          <w:rFonts w:cs="Arial"/>
          <w:color w:val="auto"/>
          <w:sz w:val="22"/>
          <w:szCs w:val="22"/>
        </w:rPr>
        <w:t>Designing an Appropriate Health Intervention and Evaluation</w:t>
      </w:r>
    </w:p>
    <w:p w14:paraId="220C9447" w14:textId="5057C7FB" w:rsidR="004C41C3" w:rsidRPr="00900BD4" w:rsidRDefault="004C41C3" w:rsidP="00BC1CD0">
      <w:pPr>
        <w:spacing w:line="360" w:lineRule="auto"/>
        <w:jc w:val="both"/>
        <w:rPr>
          <w:rFonts w:ascii="Arial" w:hAnsi="Arial" w:cs="Arial"/>
        </w:rPr>
      </w:pPr>
      <w:r w:rsidRPr="00900BD4">
        <w:rPr>
          <w:rFonts w:ascii="Arial" w:hAnsi="Arial" w:cs="Arial"/>
        </w:rPr>
        <w:t xml:space="preserve">To deal with the inequalities in T2DM in Lewisham, a culturally-fitted health intervention programme is necessary. The proposed programme will be the Caribbean Diabetes Prevention and Support Initiative (CDPSI) and will be provided at the local community centres, which include churches and cultural centres associated with the Caribbean culture. It will integrate culturally modified dietary education, physical activity training, psychological assistance and early screening. </w:t>
      </w:r>
    </w:p>
    <w:p w14:paraId="2D0C7E1F" w14:textId="2984CC8A" w:rsidR="004C41C3" w:rsidRPr="00900BD4" w:rsidRDefault="004C41C3" w:rsidP="00BC1CD0">
      <w:pPr>
        <w:spacing w:line="360" w:lineRule="auto"/>
        <w:jc w:val="both"/>
        <w:rPr>
          <w:rFonts w:ascii="Arial" w:hAnsi="Arial" w:cs="Arial"/>
        </w:rPr>
      </w:pPr>
      <w:r w:rsidRPr="00900BD4">
        <w:rPr>
          <w:rFonts w:ascii="Arial" w:hAnsi="Arial" w:cs="Arial"/>
        </w:rPr>
        <w:t>The intervention will be based on the successful Heal Neither, demonstrating the combination of African and Caribbean food and cultural traditions into the diabetes education (Ahmed et al., 2022). Healthcare workers of Black Caribbean origin will be brought in to increase trust and involvement. The evaluation will be</w:t>
      </w:r>
      <w:r w:rsidR="00093F50" w:rsidRPr="00900BD4">
        <w:rPr>
          <w:rFonts w:ascii="Arial" w:hAnsi="Arial" w:cs="Arial"/>
        </w:rPr>
        <w:t xml:space="preserve"> conducted</w:t>
      </w:r>
      <w:r w:rsidRPr="00900BD4">
        <w:rPr>
          <w:rFonts w:ascii="Arial" w:hAnsi="Arial" w:cs="Arial"/>
        </w:rPr>
        <w:t xml:space="preserve"> through a mixed methods approach. Quantitatively, the outcomes will be a decrease in the level of HbA1c, weight change, attendance, and new diagnosis. Effectiveness may be assessed in a controlled before-and-after study or a cluster-randomised study across Lewisham GP practices</w:t>
      </w:r>
      <w:r w:rsidR="00093F50" w:rsidRPr="00900BD4">
        <w:rPr>
          <w:rFonts w:ascii="Arial" w:hAnsi="Arial" w:cs="Arial"/>
        </w:rPr>
        <w:t xml:space="preserve"> (NHS Digital, 2022)</w:t>
      </w:r>
      <w:r w:rsidRPr="00900BD4">
        <w:rPr>
          <w:rFonts w:ascii="Arial" w:hAnsi="Arial" w:cs="Arial"/>
        </w:rPr>
        <w:t>. Qualitatively, interviews with the participants will focus on experiences, cultural suitability, and barriers to engagement</w:t>
      </w:r>
      <w:r w:rsidR="00093F50" w:rsidRPr="00900BD4">
        <w:rPr>
          <w:rFonts w:ascii="Arial" w:hAnsi="Arial" w:cs="Arial"/>
        </w:rPr>
        <w:t xml:space="preserve"> (Aicken et al., 2019)</w:t>
      </w:r>
      <w:r w:rsidRPr="00900BD4">
        <w:rPr>
          <w:rFonts w:ascii="Arial" w:hAnsi="Arial" w:cs="Arial"/>
        </w:rPr>
        <w:t>. The equity-impact assessments will be used to find out whether the intervention will decrease the disparities between Black Caribbean and White British. This is a holistic assessment that is both effective and culturally relevant.</w:t>
      </w:r>
    </w:p>
    <w:p w14:paraId="23336FA3" w14:textId="27612A11" w:rsidR="00EF0D71" w:rsidRPr="00900BD4" w:rsidRDefault="00AE243C" w:rsidP="00AE243C">
      <w:pPr>
        <w:pStyle w:val="Heading2"/>
        <w:rPr>
          <w:rFonts w:cs="Arial"/>
          <w:color w:val="auto"/>
          <w:sz w:val="22"/>
          <w:szCs w:val="22"/>
        </w:rPr>
      </w:pPr>
      <w:r w:rsidRPr="00900BD4">
        <w:rPr>
          <w:rFonts w:cs="Arial"/>
          <w:color w:val="auto"/>
          <w:sz w:val="22"/>
          <w:szCs w:val="22"/>
        </w:rPr>
        <w:t xml:space="preserve">2.7 </w:t>
      </w:r>
      <w:r w:rsidR="00EF0D71" w:rsidRPr="00900BD4">
        <w:rPr>
          <w:rFonts w:cs="Arial"/>
          <w:color w:val="auto"/>
          <w:sz w:val="22"/>
          <w:szCs w:val="22"/>
        </w:rPr>
        <w:t>Strengths and Weaknesses of the Epidemiological Approach</w:t>
      </w:r>
    </w:p>
    <w:p w14:paraId="030510A0" w14:textId="7FCDF89F" w:rsidR="004C41C3" w:rsidRPr="00900BD4" w:rsidRDefault="004C41C3" w:rsidP="00BC1CD0">
      <w:pPr>
        <w:spacing w:line="360" w:lineRule="auto"/>
        <w:jc w:val="both"/>
        <w:rPr>
          <w:rFonts w:ascii="Arial" w:hAnsi="Arial" w:cs="Arial"/>
        </w:rPr>
      </w:pPr>
      <w:r w:rsidRPr="00900BD4">
        <w:rPr>
          <w:rFonts w:ascii="Arial" w:hAnsi="Arial" w:cs="Arial"/>
        </w:rPr>
        <w:t>The epidemiological method adopted in this study has a number of advantages. It also uses several data sources, which allows it to provide an in-depth interpretation of disease trends. Ethnicity-specific data allow for a clearer definition of differences, and merging HNA results conforms interventions to the local requirements</w:t>
      </w:r>
      <w:r w:rsidR="00AE243C" w:rsidRPr="00900BD4">
        <w:rPr>
          <w:rFonts w:ascii="Arial" w:hAnsi="Arial" w:cs="Arial"/>
        </w:rPr>
        <w:t xml:space="preserve"> (Bennett et al., 2015)</w:t>
      </w:r>
      <w:r w:rsidRPr="00900BD4">
        <w:rPr>
          <w:rFonts w:ascii="Arial" w:hAnsi="Arial" w:cs="Arial"/>
        </w:rPr>
        <w:t>. The interception of the surveillance systems improves accuracy and allows one to analyse trends over time. The constraints are that ethnicity is not fully recorded in primary-care data</w:t>
      </w:r>
      <w:r w:rsidR="00BC1CD0" w:rsidRPr="00900BD4">
        <w:rPr>
          <w:rFonts w:ascii="Arial" w:hAnsi="Arial" w:cs="Arial"/>
        </w:rPr>
        <w:t>,</w:t>
      </w:r>
      <w:r w:rsidRPr="00900BD4">
        <w:rPr>
          <w:rFonts w:ascii="Arial" w:hAnsi="Arial" w:cs="Arial"/>
        </w:rPr>
        <w:t xml:space="preserve"> which can decrease the accuracy of </w:t>
      </w:r>
      <w:r w:rsidR="00BC1CD0" w:rsidRPr="00900BD4">
        <w:rPr>
          <w:rFonts w:ascii="Arial" w:hAnsi="Arial" w:cs="Arial"/>
        </w:rPr>
        <w:t xml:space="preserve">the </w:t>
      </w:r>
      <w:r w:rsidRPr="00900BD4">
        <w:rPr>
          <w:rFonts w:ascii="Arial" w:hAnsi="Arial" w:cs="Arial"/>
        </w:rPr>
        <w:t>data</w:t>
      </w:r>
      <w:r w:rsidR="00AE243C" w:rsidRPr="00900BD4">
        <w:rPr>
          <w:rFonts w:ascii="Arial" w:hAnsi="Arial" w:cs="Arial"/>
        </w:rPr>
        <w:t xml:space="preserve"> (Ahmed et al., 2022)</w:t>
      </w:r>
      <w:r w:rsidRPr="00900BD4">
        <w:rPr>
          <w:rFonts w:ascii="Arial" w:hAnsi="Arial" w:cs="Arial"/>
        </w:rPr>
        <w:t xml:space="preserve">. Surveillance systems are also based on timely and correct clinical coding, and this may differ among practices. </w:t>
      </w:r>
    </w:p>
    <w:p w14:paraId="19307FAA" w14:textId="195A5D74" w:rsidR="00EF0D71" w:rsidRPr="00900BD4" w:rsidRDefault="00AE243C" w:rsidP="00AE243C">
      <w:pPr>
        <w:pStyle w:val="Heading1"/>
        <w:jc w:val="left"/>
        <w:rPr>
          <w:rFonts w:cs="Arial"/>
          <w:sz w:val="22"/>
          <w:szCs w:val="22"/>
        </w:rPr>
      </w:pPr>
      <w:r w:rsidRPr="00900BD4">
        <w:rPr>
          <w:rFonts w:cs="Arial"/>
          <w:sz w:val="22"/>
          <w:szCs w:val="22"/>
        </w:rPr>
        <w:t xml:space="preserve">3. </w:t>
      </w:r>
      <w:r w:rsidR="00EF0D71" w:rsidRPr="00900BD4">
        <w:rPr>
          <w:rFonts w:cs="Arial"/>
          <w:sz w:val="22"/>
          <w:szCs w:val="22"/>
        </w:rPr>
        <w:t>Conclusion</w:t>
      </w:r>
    </w:p>
    <w:p w14:paraId="6305D643" w14:textId="0F16231B" w:rsidR="00BC1CD0" w:rsidRPr="00900BD4" w:rsidRDefault="004C41C3" w:rsidP="00BC1CD0">
      <w:pPr>
        <w:spacing w:line="360" w:lineRule="auto"/>
        <w:jc w:val="both"/>
        <w:rPr>
          <w:rFonts w:ascii="Arial" w:hAnsi="Arial" w:cs="Arial"/>
        </w:rPr>
      </w:pPr>
      <w:r w:rsidRPr="00900BD4">
        <w:rPr>
          <w:rFonts w:ascii="Arial" w:hAnsi="Arial" w:cs="Arial"/>
        </w:rPr>
        <w:t>T2DM poses a significant health issue for Black Caribbean people in Lewisham. By the use of epidemiological approaches, one can identify the most vulnerable individuals, outline the most relevant determinants, and develop specific interventions. However, structural inequalities and culturally appropriate services should be challenged, which requires proper management. Further prevention, early diagnosis, and personalised support must be increased to support long-term health equity by decreasing the incidence of T2DM.</w:t>
      </w:r>
    </w:p>
    <w:p w14:paraId="5F4D6C18" w14:textId="77777777" w:rsidR="00BC1CD0" w:rsidRPr="00900BD4" w:rsidRDefault="00BC1CD0" w:rsidP="00BC1CD0">
      <w:pPr>
        <w:spacing w:line="360" w:lineRule="auto"/>
        <w:rPr>
          <w:rFonts w:ascii="Arial" w:hAnsi="Arial" w:cs="Arial"/>
        </w:rPr>
      </w:pPr>
      <w:r w:rsidRPr="00900BD4">
        <w:rPr>
          <w:rFonts w:ascii="Arial" w:hAnsi="Arial" w:cs="Arial"/>
        </w:rPr>
        <w:br w:type="page"/>
      </w:r>
    </w:p>
    <w:p w14:paraId="12FEC168" w14:textId="3D0F06A7" w:rsidR="00133740" w:rsidRPr="00900BD4" w:rsidRDefault="00BC1CD0" w:rsidP="009E4561">
      <w:pPr>
        <w:spacing w:line="360" w:lineRule="auto"/>
        <w:rPr>
          <w:rFonts w:ascii="Arial" w:hAnsi="Arial" w:cs="Arial"/>
          <w:b/>
          <w:bCs/>
        </w:rPr>
      </w:pPr>
      <w:r w:rsidRPr="00900BD4">
        <w:rPr>
          <w:rFonts w:ascii="Arial" w:hAnsi="Arial" w:cs="Arial"/>
          <w:b/>
          <w:bCs/>
        </w:rPr>
        <w:t>References</w:t>
      </w:r>
    </w:p>
    <w:p w14:paraId="524E67C1" w14:textId="77777777" w:rsidR="009E4561" w:rsidRPr="00900BD4" w:rsidRDefault="009E4561" w:rsidP="00093F50">
      <w:pPr>
        <w:spacing w:line="360" w:lineRule="auto"/>
        <w:jc w:val="both"/>
        <w:rPr>
          <w:rFonts w:ascii="Arial" w:hAnsi="Arial" w:cs="Arial"/>
        </w:rPr>
      </w:pPr>
      <w:r w:rsidRPr="00900BD4">
        <w:rPr>
          <w:rFonts w:ascii="Arial" w:hAnsi="Arial" w:cs="Arial"/>
        </w:rPr>
        <w:t xml:space="preserve">Ahmed, M., Kumari, N., Mirgani, Z., Saeed, A., Ramadan, A., Ahmed, M.H. and Almobarak, A.O. (2022) ‘Correction to: Metabolic syndrome; definition, pathogenesis, elements, and the effects of medicinal plants on its elements’, </w:t>
      </w:r>
      <w:r w:rsidRPr="00900BD4">
        <w:rPr>
          <w:rFonts w:ascii="Arial" w:hAnsi="Arial" w:cs="Arial"/>
          <w:i/>
          <w:iCs/>
        </w:rPr>
        <w:t>Journal of Diabetes and Metabolic Disorders</w:t>
      </w:r>
      <w:r w:rsidRPr="00900BD4">
        <w:rPr>
          <w:rFonts w:ascii="Arial" w:hAnsi="Arial" w:cs="Arial"/>
        </w:rPr>
        <w:t xml:space="preserve">, 21(1), pp. 12–17. Available at: </w:t>
      </w:r>
      <w:hyperlink r:id="rId7" w:tgtFrame="_new" w:history="1">
        <w:r w:rsidRPr="00900BD4">
          <w:rPr>
            <w:rStyle w:val="Hyperlink"/>
            <w:rFonts w:ascii="Arial" w:hAnsi="Arial" w:cs="Arial"/>
            <w:color w:val="auto"/>
          </w:rPr>
          <w:t>https://pmc.ncbi.nlm.nih.gov/articles/PMC9167378/</w:t>
        </w:r>
      </w:hyperlink>
      <w:r w:rsidRPr="00900BD4">
        <w:rPr>
          <w:rFonts w:ascii="Arial" w:hAnsi="Arial" w:cs="Arial"/>
        </w:rPr>
        <w:t xml:space="preserve"> (Accessed: 14 November 2025).</w:t>
      </w:r>
    </w:p>
    <w:p w14:paraId="24EF4110" w14:textId="77777777" w:rsidR="009E4561" w:rsidRPr="00900BD4" w:rsidRDefault="009E4561" w:rsidP="00093F50">
      <w:pPr>
        <w:spacing w:line="360" w:lineRule="auto"/>
        <w:jc w:val="both"/>
        <w:rPr>
          <w:rFonts w:ascii="Arial" w:hAnsi="Arial" w:cs="Arial"/>
        </w:rPr>
      </w:pPr>
      <w:r w:rsidRPr="00900BD4">
        <w:rPr>
          <w:rFonts w:ascii="Arial" w:hAnsi="Arial" w:cs="Arial"/>
        </w:rPr>
        <w:t xml:space="preserve">Aicken, C.R.H., Wayal, S., Clifton, S., Rait, G., Hughes, G. and Mercer, C.H. (2019) ‘Pathways to, and use of, sexual healthcare among Black Caribbean communities’, </w:t>
      </w:r>
      <w:r w:rsidRPr="00900BD4">
        <w:rPr>
          <w:rFonts w:ascii="Arial" w:hAnsi="Arial" w:cs="Arial"/>
          <w:i/>
          <w:iCs/>
        </w:rPr>
        <w:t>UK Health Security Agency</w:t>
      </w:r>
      <w:r w:rsidRPr="00900BD4">
        <w:rPr>
          <w:rFonts w:ascii="Arial" w:hAnsi="Arial" w:cs="Arial"/>
        </w:rPr>
        <w:t xml:space="preserve">. Available at: </w:t>
      </w:r>
      <w:hyperlink r:id="rId8" w:history="1">
        <w:r w:rsidRPr="00900BD4">
          <w:rPr>
            <w:rStyle w:val="Hyperlink"/>
            <w:rFonts w:ascii="Arial" w:hAnsi="Arial" w:cs="Arial"/>
            <w:color w:val="auto"/>
          </w:rPr>
          <w:t>https://researchportal.ukhsa.gov.uk/en/publications/pathways-to-and-use-of-sexual-healthcare-among-black-caribbean-se</w:t>
        </w:r>
      </w:hyperlink>
      <w:r w:rsidRPr="00900BD4">
        <w:rPr>
          <w:rFonts w:ascii="Arial" w:hAnsi="Arial" w:cs="Arial"/>
        </w:rPr>
        <w:t xml:space="preserve"> (Accessed: 14 November 2025).</w:t>
      </w:r>
    </w:p>
    <w:p w14:paraId="74424D52" w14:textId="77777777" w:rsidR="00BF37CE" w:rsidRPr="00900BD4" w:rsidRDefault="009E4561" w:rsidP="00093F50">
      <w:pPr>
        <w:spacing w:line="360" w:lineRule="auto"/>
        <w:jc w:val="both"/>
        <w:rPr>
          <w:rFonts w:ascii="Arial" w:hAnsi="Arial" w:cs="Arial"/>
        </w:rPr>
      </w:pPr>
      <w:r w:rsidRPr="00900BD4">
        <w:rPr>
          <w:rFonts w:ascii="Arial" w:hAnsi="Arial" w:cs="Arial"/>
        </w:rPr>
        <w:t xml:space="preserve">Bennett, N.R., Francis, D.K., Ferguson, T.S., Hennis, A.J., Wilks, R.J., Harris, E.N. and US Caribbean Alliance for Health Disparities Research Group (USCAHDR) (2015) ‘Disparities in diabetes mellitus among Caribbean populations: a scoping review’, </w:t>
      </w:r>
      <w:r w:rsidRPr="00900BD4">
        <w:rPr>
          <w:rFonts w:ascii="Arial" w:hAnsi="Arial" w:cs="Arial"/>
          <w:i/>
          <w:iCs/>
        </w:rPr>
        <w:t>International Journal for Equity in Health</w:t>
      </w:r>
      <w:r w:rsidRPr="00900BD4">
        <w:rPr>
          <w:rFonts w:ascii="Arial" w:hAnsi="Arial" w:cs="Arial"/>
        </w:rPr>
        <w:t xml:space="preserve">, 14(1), pp. 1–17. Available at: </w:t>
      </w:r>
      <w:hyperlink r:id="rId9" w:tgtFrame="_new" w:history="1">
        <w:r w:rsidRPr="00900BD4">
          <w:rPr>
            <w:rStyle w:val="Hyperlink"/>
            <w:rFonts w:ascii="Arial" w:hAnsi="Arial" w:cs="Arial"/>
            <w:color w:val="auto"/>
          </w:rPr>
          <w:t>https://link.springer.com/article/10.1186/s12939-015-0149-z</w:t>
        </w:r>
      </w:hyperlink>
      <w:r w:rsidRPr="00900BD4">
        <w:rPr>
          <w:rFonts w:ascii="Arial" w:hAnsi="Arial" w:cs="Arial"/>
        </w:rPr>
        <w:t xml:space="preserve"> (Accessed: 14 November 2025).</w:t>
      </w:r>
    </w:p>
    <w:p w14:paraId="5F0EC363" w14:textId="27F26B69" w:rsidR="00BF37CE" w:rsidRPr="00900BD4" w:rsidRDefault="00BF37CE" w:rsidP="00093F50">
      <w:pPr>
        <w:spacing w:line="360" w:lineRule="auto"/>
        <w:jc w:val="both"/>
        <w:rPr>
          <w:rFonts w:ascii="Arial" w:hAnsi="Arial" w:cs="Arial"/>
        </w:rPr>
      </w:pPr>
      <w:r w:rsidRPr="00900BD4">
        <w:rPr>
          <w:rFonts w:ascii="Arial" w:hAnsi="Arial" w:cs="Arial"/>
        </w:rPr>
        <w:t xml:space="preserve">Black Equity Organisation (2024) </w:t>
      </w:r>
      <w:r w:rsidRPr="00900BD4">
        <w:rPr>
          <w:rFonts w:ascii="Arial" w:hAnsi="Arial" w:cs="Arial"/>
          <w:i/>
          <w:iCs/>
        </w:rPr>
        <w:t>Neighbourhood and Housing Briefing</w:t>
      </w:r>
      <w:r w:rsidRPr="00900BD4">
        <w:rPr>
          <w:rFonts w:ascii="Arial" w:hAnsi="Arial" w:cs="Arial"/>
        </w:rPr>
        <w:t xml:space="preserve">. May. Available at: </w:t>
      </w:r>
      <w:hyperlink r:id="rId10" w:history="1">
        <w:r w:rsidRPr="00900BD4">
          <w:rPr>
            <w:rStyle w:val="Hyperlink"/>
            <w:rFonts w:ascii="Arial" w:hAnsi="Arial" w:cs="Arial"/>
            <w:color w:val="auto"/>
          </w:rPr>
          <w:t>https://blackequityorg.com/wp-content/uploads/2024/05/Briefing-Neighbourhood-and-Housings.pdf</w:t>
        </w:r>
      </w:hyperlink>
      <w:r w:rsidRPr="00900BD4">
        <w:rPr>
          <w:rFonts w:ascii="Arial" w:hAnsi="Arial" w:cs="Arial"/>
        </w:rPr>
        <w:t xml:space="preserve"> (Accessed: 15 February 2024).</w:t>
      </w:r>
    </w:p>
    <w:p w14:paraId="53F50EF2" w14:textId="2E9D2E87" w:rsidR="009E4561" w:rsidRPr="00900BD4" w:rsidRDefault="009E4561" w:rsidP="00093F50">
      <w:pPr>
        <w:spacing w:line="360" w:lineRule="auto"/>
        <w:jc w:val="both"/>
        <w:rPr>
          <w:rFonts w:ascii="Arial" w:hAnsi="Arial" w:cs="Arial"/>
        </w:rPr>
      </w:pPr>
      <w:r w:rsidRPr="00900BD4">
        <w:rPr>
          <w:rFonts w:ascii="Arial" w:hAnsi="Arial" w:cs="Arial"/>
        </w:rPr>
        <w:t xml:space="preserve">Diabetes UK (2021) </w:t>
      </w:r>
      <w:r w:rsidRPr="00900BD4">
        <w:rPr>
          <w:rFonts w:ascii="Arial" w:hAnsi="Arial" w:cs="Arial"/>
          <w:i/>
          <w:iCs/>
        </w:rPr>
        <w:t>Diabetes Can’t Wait: The importance of diabetes care and prevention in building back a better health system</w:t>
      </w:r>
      <w:r w:rsidRPr="00900BD4">
        <w:rPr>
          <w:rFonts w:ascii="Arial" w:hAnsi="Arial" w:cs="Arial"/>
        </w:rPr>
        <w:t xml:space="preserve">. London: Diabetes UK. Available at: </w:t>
      </w:r>
      <w:hyperlink r:id="rId11" w:history="1">
        <w:r w:rsidRPr="00900BD4">
          <w:rPr>
            <w:rStyle w:val="Hyperlink"/>
            <w:rFonts w:ascii="Arial" w:hAnsi="Arial" w:cs="Arial"/>
            <w:color w:val="auto"/>
          </w:rPr>
          <w:t>https://www.diabetes.org.uk/sites/default/files/2021-07/Diabetes%20is%20Serious%20Report%20Final_0.pdf</w:t>
        </w:r>
      </w:hyperlink>
      <w:r w:rsidRPr="00900BD4">
        <w:rPr>
          <w:rFonts w:ascii="Arial" w:hAnsi="Arial" w:cs="Arial"/>
        </w:rPr>
        <w:t xml:space="preserve">  (Accessed: 14 November 2025).</w:t>
      </w:r>
    </w:p>
    <w:p w14:paraId="7B4B2BF5" w14:textId="34250258" w:rsidR="009E4561" w:rsidRPr="00900BD4" w:rsidRDefault="009E4561" w:rsidP="00093F50">
      <w:pPr>
        <w:spacing w:line="360" w:lineRule="auto"/>
        <w:jc w:val="both"/>
        <w:rPr>
          <w:rFonts w:ascii="Arial" w:hAnsi="Arial" w:cs="Arial"/>
        </w:rPr>
      </w:pPr>
      <w:r w:rsidRPr="00900BD4">
        <w:rPr>
          <w:rFonts w:ascii="Arial" w:hAnsi="Arial" w:cs="Arial"/>
        </w:rPr>
        <w:t xml:space="preserve">Emmett, E.S., O’Connell, M.D., Pei, R., Douiri, A., Wyatt, D., Bhalla, A. and Marshall, I.J. (2025) ‘Trends in ethnic disparities in stroke care and long-term outcomes’, </w:t>
      </w:r>
      <w:r w:rsidRPr="00900BD4">
        <w:rPr>
          <w:rFonts w:ascii="Arial" w:hAnsi="Arial" w:cs="Arial"/>
          <w:i/>
          <w:iCs/>
        </w:rPr>
        <w:t>JAMA Network Open</w:t>
      </w:r>
      <w:r w:rsidRPr="00900BD4">
        <w:rPr>
          <w:rFonts w:ascii="Arial" w:hAnsi="Arial" w:cs="Arial"/>
        </w:rPr>
        <w:t xml:space="preserve">, 8(1), pp. </w:t>
      </w:r>
      <w:r w:rsidR="00037A2D" w:rsidRPr="00900BD4">
        <w:rPr>
          <w:rFonts w:ascii="Arial" w:hAnsi="Arial" w:cs="Arial"/>
        </w:rPr>
        <w:t>1-14</w:t>
      </w:r>
      <w:r w:rsidRPr="00900BD4">
        <w:rPr>
          <w:rFonts w:ascii="Arial" w:hAnsi="Arial" w:cs="Arial"/>
        </w:rPr>
        <w:t xml:space="preserve">. Available at: </w:t>
      </w:r>
      <w:hyperlink r:id="rId12" w:tgtFrame="_new" w:history="1">
        <w:r w:rsidRPr="00900BD4">
          <w:rPr>
            <w:rStyle w:val="Hyperlink"/>
            <w:rFonts w:ascii="Arial" w:hAnsi="Arial" w:cs="Arial"/>
            <w:color w:val="auto"/>
          </w:rPr>
          <w:t>https://jamanetwork.com/journals/jamanetworkopen/article-abstract/2828870</w:t>
        </w:r>
      </w:hyperlink>
      <w:r w:rsidRPr="00900BD4">
        <w:rPr>
          <w:rFonts w:ascii="Arial" w:hAnsi="Arial" w:cs="Arial"/>
        </w:rPr>
        <w:t xml:space="preserve"> (Accessed: 14 November 2025).</w:t>
      </w:r>
    </w:p>
    <w:p w14:paraId="0DE2523D" w14:textId="10263104" w:rsidR="009E4561" w:rsidRPr="00900BD4" w:rsidRDefault="009E4561" w:rsidP="00093F50">
      <w:pPr>
        <w:spacing w:line="360" w:lineRule="auto"/>
        <w:jc w:val="both"/>
        <w:rPr>
          <w:rFonts w:ascii="Arial" w:hAnsi="Arial" w:cs="Arial"/>
        </w:rPr>
      </w:pPr>
      <w:r w:rsidRPr="00900BD4">
        <w:rPr>
          <w:rFonts w:ascii="Arial" w:hAnsi="Arial" w:cs="Arial"/>
        </w:rPr>
        <w:t>International Diabetes Federation (2021)</w:t>
      </w:r>
      <w:r w:rsidR="00AE4205" w:rsidRPr="00900BD4">
        <w:rPr>
          <w:rFonts w:ascii="Arial" w:hAnsi="Arial" w:cs="Arial"/>
        </w:rPr>
        <w:t xml:space="preserve">. </w:t>
      </w:r>
      <w:r w:rsidRPr="00900BD4">
        <w:rPr>
          <w:rFonts w:ascii="Arial" w:hAnsi="Arial" w:cs="Arial"/>
          <w:i/>
          <w:iCs/>
        </w:rPr>
        <w:t>IDF Diabetes Atlas</w:t>
      </w:r>
      <w:r w:rsidRPr="00900BD4">
        <w:rPr>
          <w:rFonts w:ascii="Arial" w:hAnsi="Arial" w:cs="Arial"/>
        </w:rPr>
        <w:t xml:space="preserve">. Brussels: International Diabetes Federation. Available at: </w:t>
      </w:r>
      <w:hyperlink r:id="rId13" w:tgtFrame="_new" w:history="1">
        <w:r w:rsidRPr="00900BD4">
          <w:rPr>
            <w:rStyle w:val="Hyperlink"/>
            <w:rFonts w:ascii="Arial" w:hAnsi="Arial" w:cs="Arial"/>
            <w:color w:val="auto"/>
          </w:rPr>
          <w:t>https://diabetesatlas.org/</w:t>
        </w:r>
      </w:hyperlink>
      <w:r w:rsidRPr="00900BD4">
        <w:rPr>
          <w:rFonts w:ascii="Arial" w:hAnsi="Arial" w:cs="Arial"/>
        </w:rPr>
        <w:t xml:space="preserve"> (Accessed: 14 November 2025).</w:t>
      </w:r>
    </w:p>
    <w:p w14:paraId="3E79A7EE" w14:textId="099EA27B" w:rsidR="009E4561" w:rsidRPr="00900BD4" w:rsidRDefault="009E4561" w:rsidP="00093F50">
      <w:pPr>
        <w:spacing w:line="360" w:lineRule="auto"/>
        <w:jc w:val="both"/>
        <w:rPr>
          <w:rFonts w:ascii="Arial" w:hAnsi="Arial" w:cs="Arial"/>
        </w:rPr>
      </w:pPr>
      <w:r w:rsidRPr="00900BD4">
        <w:rPr>
          <w:rFonts w:ascii="Arial" w:hAnsi="Arial" w:cs="Arial"/>
        </w:rPr>
        <w:t>Lewisham Public Health (2022)</w:t>
      </w:r>
      <w:r w:rsidR="00D46789" w:rsidRPr="00900BD4">
        <w:rPr>
          <w:rFonts w:ascii="Arial" w:hAnsi="Arial" w:cs="Arial"/>
        </w:rPr>
        <w:t>.</w:t>
      </w:r>
      <w:r w:rsidRPr="00900BD4">
        <w:rPr>
          <w:rFonts w:ascii="Arial" w:hAnsi="Arial" w:cs="Arial"/>
        </w:rPr>
        <w:t xml:space="preserve"> </w:t>
      </w:r>
      <w:r w:rsidRPr="00900BD4">
        <w:rPr>
          <w:rFonts w:ascii="Arial" w:hAnsi="Arial" w:cs="Arial"/>
          <w:i/>
          <w:iCs/>
        </w:rPr>
        <w:t>Annual public health report</w:t>
      </w:r>
      <w:r w:rsidRPr="00900BD4">
        <w:rPr>
          <w:rFonts w:ascii="Arial" w:hAnsi="Arial" w:cs="Arial"/>
        </w:rPr>
        <w:t xml:space="preserve">. Lewisham: Lewisham Council. Available at: </w:t>
      </w:r>
      <w:hyperlink r:id="rId14" w:tgtFrame="_new" w:history="1">
        <w:r w:rsidRPr="00900BD4">
          <w:rPr>
            <w:rStyle w:val="Hyperlink"/>
            <w:rFonts w:ascii="Arial" w:hAnsi="Arial" w:cs="Arial"/>
            <w:color w:val="auto"/>
          </w:rPr>
          <w:t>https://lewisham.gov.uk/myservices/socialcare/health/improving-public-health/annual-public-health-reports</w:t>
        </w:r>
      </w:hyperlink>
      <w:r w:rsidRPr="00900BD4">
        <w:rPr>
          <w:rFonts w:ascii="Arial" w:hAnsi="Arial" w:cs="Arial"/>
        </w:rPr>
        <w:t xml:space="preserve"> (Accessed: 14 November 2025).</w:t>
      </w:r>
    </w:p>
    <w:p w14:paraId="273ADEE4" w14:textId="40F9AE01" w:rsidR="00AE4205" w:rsidRPr="00900BD4" w:rsidRDefault="00AE4205" w:rsidP="00093F50">
      <w:pPr>
        <w:spacing w:line="360" w:lineRule="auto"/>
        <w:jc w:val="both"/>
        <w:rPr>
          <w:rFonts w:ascii="Arial" w:hAnsi="Arial" w:cs="Arial"/>
        </w:rPr>
      </w:pPr>
      <w:r w:rsidRPr="00900BD4">
        <w:rPr>
          <w:rFonts w:ascii="Arial" w:hAnsi="Arial" w:cs="Arial"/>
        </w:rPr>
        <w:t xml:space="preserve">Mind (2025). </w:t>
      </w:r>
      <w:r w:rsidRPr="00900BD4">
        <w:rPr>
          <w:rFonts w:ascii="Arial" w:hAnsi="Arial" w:cs="Arial"/>
          <w:i/>
          <w:iCs/>
        </w:rPr>
        <w:t>We’re Mind</w:t>
      </w:r>
      <w:r w:rsidRPr="00900BD4">
        <w:rPr>
          <w:rFonts w:ascii="Arial" w:hAnsi="Arial" w:cs="Arial"/>
        </w:rPr>
        <w:t xml:space="preserve"> [online]. Available at: </w:t>
      </w:r>
      <w:hyperlink r:id="rId15" w:history="1">
        <w:r w:rsidRPr="00900BD4">
          <w:rPr>
            <w:rStyle w:val="Hyperlink"/>
            <w:rFonts w:ascii="Arial" w:hAnsi="Arial" w:cs="Arial"/>
            <w:color w:val="auto"/>
          </w:rPr>
          <w:t>https://www.mind.org.uk/</w:t>
        </w:r>
      </w:hyperlink>
      <w:r w:rsidRPr="00900BD4">
        <w:rPr>
          <w:rFonts w:ascii="Arial" w:hAnsi="Arial" w:cs="Arial"/>
        </w:rPr>
        <w:t xml:space="preserve"> (Accessed: 15 February 2024).</w:t>
      </w:r>
    </w:p>
    <w:p w14:paraId="5C2C3106" w14:textId="77777777" w:rsidR="009E4561" w:rsidRPr="00900BD4" w:rsidRDefault="009E4561" w:rsidP="00093F50">
      <w:pPr>
        <w:spacing w:line="360" w:lineRule="auto"/>
        <w:jc w:val="both"/>
        <w:rPr>
          <w:rFonts w:ascii="Arial" w:hAnsi="Arial" w:cs="Arial"/>
        </w:rPr>
      </w:pPr>
      <w:r w:rsidRPr="00900BD4">
        <w:rPr>
          <w:rFonts w:ascii="Arial" w:hAnsi="Arial" w:cs="Arial"/>
        </w:rPr>
        <w:t xml:space="preserve">NHS Digital (2022) </w:t>
      </w:r>
      <w:r w:rsidRPr="00900BD4">
        <w:rPr>
          <w:rFonts w:ascii="Arial" w:hAnsi="Arial" w:cs="Arial"/>
          <w:i/>
          <w:iCs/>
        </w:rPr>
        <w:t>National Diabetes Audit</w:t>
      </w:r>
      <w:r w:rsidRPr="00900BD4">
        <w:rPr>
          <w:rFonts w:ascii="Arial" w:hAnsi="Arial" w:cs="Arial"/>
        </w:rPr>
        <w:t xml:space="preserve">. Available at: </w:t>
      </w:r>
      <w:hyperlink r:id="rId16" w:tgtFrame="_new" w:history="1">
        <w:r w:rsidRPr="00900BD4">
          <w:rPr>
            <w:rStyle w:val="Hyperlink"/>
            <w:rFonts w:ascii="Arial" w:hAnsi="Arial" w:cs="Arial"/>
            <w:color w:val="auto"/>
          </w:rPr>
          <w:t>https://digital.nhs.uk/data-and-information/publications/statistical/national-diabetes-audit</w:t>
        </w:r>
      </w:hyperlink>
      <w:r w:rsidRPr="00900BD4">
        <w:rPr>
          <w:rFonts w:ascii="Arial" w:hAnsi="Arial" w:cs="Arial"/>
        </w:rPr>
        <w:t xml:space="preserve"> (Accessed: 14 November 2025).</w:t>
      </w:r>
    </w:p>
    <w:p w14:paraId="26618BAC" w14:textId="178EDEC9" w:rsidR="009E4561" w:rsidRPr="00900BD4" w:rsidRDefault="009E4561" w:rsidP="00093F50">
      <w:pPr>
        <w:spacing w:line="360" w:lineRule="auto"/>
        <w:jc w:val="both"/>
        <w:rPr>
          <w:rFonts w:ascii="Arial" w:hAnsi="Arial" w:cs="Arial"/>
        </w:rPr>
      </w:pPr>
      <w:r w:rsidRPr="00900BD4">
        <w:rPr>
          <w:rFonts w:ascii="Arial" w:hAnsi="Arial" w:cs="Arial"/>
        </w:rPr>
        <w:t>NHS England (2019)</w:t>
      </w:r>
      <w:r w:rsidR="00D46789" w:rsidRPr="00900BD4">
        <w:rPr>
          <w:rFonts w:ascii="Arial" w:hAnsi="Arial" w:cs="Arial"/>
        </w:rPr>
        <w:t>.</w:t>
      </w:r>
      <w:r w:rsidRPr="00900BD4">
        <w:rPr>
          <w:rFonts w:ascii="Arial" w:hAnsi="Arial" w:cs="Arial"/>
        </w:rPr>
        <w:t xml:space="preserve"> </w:t>
      </w:r>
      <w:r w:rsidRPr="00900BD4">
        <w:rPr>
          <w:rFonts w:ascii="Arial" w:hAnsi="Arial" w:cs="Arial"/>
          <w:i/>
          <w:iCs/>
        </w:rPr>
        <w:t xml:space="preserve">The NHS </w:t>
      </w:r>
      <w:r w:rsidR="00D46789" w:rsidRPr="00900BD4">
        <w:rPr>
          <w:rFonts w:ascii="Arial" w:hAnsi="Arial" w:cs="Arial"/>
          <w:i/>
          <w:iCs/>
        </w:rPr>
        <w:t>long-term</w:t>
      </w:r>
      <w:r w:rsidRPr="00900BD4">
        <w:rPr>
          <w:rFonts w:ascii="Arial" w:hAnsi="Arial" w:cs="Arial"/>
          <w:i/>
          <w:iCs/>
        </w:rPr>
        <w:t xml:space="preserve"> plan</w:t>
      </w:r>
      <w:r w:rsidRPr="00900BD4">
        <w:rPr>
          <w:rFonts w:ascii="Arial" w:hAnsi="Arial" w:cs="Arial"/>
        </w:rPr>
        <w:t xml:space="preserve">. Available at: </w:t>
      </w:r>
      <w:hyperlink r:id="rId17" w:tgtFrame="_new" w:history="1">
        <w:r w:rsidRPr="00900BD4">
          <w:rPr>
            <w:rStyle w:val="Hyperlink"/>
            <w:rFonts w:ascii="Arial" w:hAnsi="Arial" w:cs="Arial"/>
            <w:color w:val="auto"/>
          </w:rPr>
          <w:t>https://www.longtermplan.nhs.uk</w:t>
        </w:r>
      </w:hyperlink>
      <w:r w:rsidRPr="00900BD4">
        <w:rPr>
          <w:rFonts w:ascii="Arial" w:hAnsi="Arial" w:cs="Arial"/>
        </w:rPr>
        <w:t xml:space="preserve"> (Accessed: 14 November 2025).</w:t>
      </w:r>
    </w:p>
    <w:p w14:paraId="07380CD2" w14:textId="77777777" w:rsidR="009E4561" w:rsidRPr="00900BD4" w:rsidRDefault="009E4561" w:rsidP="00093F50">
      <w:pPr>
        <w:spacing w:line="360" w:lineRule="auto"/>
        <w:jc w:val="both"/>
        <w:rPr>
          <w:rFonts w:ascii="Arial" w:hAnsi="Arial" w:cs="Arial"/>
        </w:rPr>
      </w:pPr>
      <w:r w:rsidRPr="00900BD4">
        <w:rPr>
          <w:rFonts w:ascii="Arial" w:hAnsi="Arial" w:cs="Arial"/>
        </w:rPr>
        <w:t xml:space="preserve">Pham, T.M., Carpenter, J.R., Morris, T.P., Sharma, M. and Petersen, I. (2019) ‘Ethnic differences in the prevalence of type 2 diabetes diagnoses in the UK: cross-sectional analysis of the Health Improvement Network primary care database’, </w:t>
      </w:r>
      <w:r w:rsidRPr="00900BD4">
        <w:rPr>
          <w:rFonts w:ascii="Arial" w:hAnsi="Arial" w:cs="Arial"/>
          <w:i/>
          <w:iCs/>
        </w:rPr>
        <w:t>Clinical Epidemiology</w:t>
      </w:r>
      <w:r w:rsidRPr="00900BD4">
        <w:rPr>
          <w:rFonts w:ascii="Arial" w:hAnsi="Arial" w:cs="Arial"/>
        </w:rPr>
        <w:t xml:space="preserve">, pp. 1081–1088. Available at: </w:t>
      </w:r>
      <w:hyperlink r:id="rId18" w:tgtFrame="_new" w:history="1">
        <w:r w:rsidRPr="00900BD4">
          <w:rPr>
            <w:rStyle w:val="Hyperlink"/>
            <w:rFonts w:ascii="Arial" w:hAnsi="Arial" w:cs="Arial"/>
            <w:color w:val="auto"/>
          </w:rPr>
          <w:t>https://www.tandfonline.com/doi/abs/10.2147/CLEP.S227621</w:t>
        </w:r>
      </w:hyperlink>
      <w:r w:rsidRPr="00900BD4">
        <w:rPr>
          <w:rFonts w:ascii="Arial" w:hAnsi="Arial" w:cs="Arial"/>
        </w:rPr>
        <w:t xml:space="preserve"> (Accessed: 14 November 2025).</w:t>
      </w:r>
    </w:p>
    <w:p w14:paraId="0C5084C5" w14:textId="77777777" w:rsidR="009E4561" w:rsidRPr="00900BD4" w:rsidRDefault="009E4561" w:rsidP="00093F50">
      <w:pPr>
        <w:spacing w:line="360" w:lineRule="auto"/>
        <w:jc w:val="both"/>
        <w:rPr>
          <w:rFonts w:ascii="Arial" w:hAnsi="Arial" w:cs="Arial"/>
        </w:rPr>
      </w:pPr>
      <w:r w:rsidRPr="00900BD4">
        <w:rPr>
          <w:rFonts w:ascii="Arial" w:hAnsi="Arial" w:cs="Arial"/>
        </w:rPr>
        <w:t xml:space="preserve">Public Health England (2018) </w:t>
      </w:r>
      <w:r w:rsidRPr="00900BD4">
        <w:rPr>
          <w:rFonts w:ascii="Arial" w:hAnsi="Arial" w:cs="Arial"/>
          <w:i/>
          <w:iCs/>
        </w:rPr>
        <w:t>Health equity report: focus on ethnicity</w:t>
      </w:r>
      <w:r w:rsidRPr="00900BD4">
        <w:rPr>
          <w:rFonts w:ascii="Arial" w:hAnsi="Arial" w:cs="Arial"/>
        </w:rPr>
        <w:t xml:space="preserve">. London: Public Health England. Available at: </w:t>
      </w:r>
      <w:hyperlink r:id="rId19" w:history="1">
        <w:r w:rsidRPr="00900BD4">
          <w:rPr>
            <w:rStyle w:val="Hyperlink"/>
            <w:rFonts w:ascii="Arial" w:hAnsi="Arial" w:cs="Arial"/>
            <w:color w:val="auto"/>
          </w:rPr>
          <w:t>https://assets.publishing.service.gov.uk/media/5b6c4f54e5274a29643d0f6e/PHOF_Health_Equity_Report.pdf</w:t>
        </w:r>
      </w:hyperlink>
      <w:r w:rsidRPr="00900BD4">
        <w:rPr>
          <w:rFonts w:ascii="Arial" w:hAnsi="Arial" w:cs="Arial"/>
        </w:rPr>
        <w:t xml:space="preserve"> (Accessed: 14 November 2025).</w:t>
      </w:r>
    </w:p>
    <w:p w14:paraId="0802410D" w14:textId="4832A3B2" w:rsidR="009E4561" w:rsidRPr="00900BD4" w:rsidRDefault="009E4561" w:rsidP="00093F50">
      <w:pPr>
        <w:spacing w:line="360" w:lineRule="auto"/>
        <w:jc w:val="both"/>
        <w:rPr>
          <w:rFonts w:ascii="Arial" w:hAnsi="Arial" w:cs="Arial"/>
        </w:rPr>
      </w:pPr>
      <w:r w:rsidRPr="00900BD4">
        <w:rPr>
          <w:rFonts w:ascii="Arial" w:hAnsi="Arial" w:cs="Arial"/>
        </w:rPr>
        <w:t xml:space="preserve">Runnymede Trust (n.d.) </w:t>
      </w:r>
      <w:r w:rsidRPr="00900BD4">
        <w:rPr>
          <w:rFonts w:ascii="Arial" w:hAnsi="Arial" w:cs="Arial"/>
          <w:i/>
          <w:iCs/>
        </w:rPr>
        <w:t>Health publications – Runnymede Trust</w:t>
      </w:r>
      <w:r w:rsidRPr="00900BD4">
        <w:rPr>
          <w:rFonts w:ascii="Arial" w:hAnsi="Arial" w:cs="Arial"/>
        </w:rPr>
        <w:t xml:space="preserve">. Available at: </w:t>
      </w:r>
      <w:hyperlink r:id="rId20" w:history="1">
        <w:r w:rsidRPr="00900BD4">
          <w:rPr>
            <w:rStyle w:val="Hyperlink"/>
            <w:rFonts w:ascii="Arial" w:hAnsi="Arial" w:cs="Arial"/>
            <w:color w:val="auto"/>
          </w:rPr>
          <w:t>https://www.runnymedetrust.org/publication-categories/health</w:t>
        </w:r>
      </w:hyperlink>
      <w:r w:rsidRPr="00900BD4">
        <w:rPr>
          <w:rFonts w:ascii="Arial" w:hAnsi="Arial" w:cs="Arial"/>
        </w:rPr>
        <w:t xml:space="preserve">  </w:t>
      </w:r>
      <w:r w:rsidR="00046CA0" w:rsidRPr="00900BD4">
        <w:rPr>
          <w:rFonts w:ascii="Arial" w:hAnsi="Arial" w:cs="Arial"/>
        </w:rPr>
        <w:t>(Accessed: 14 November 2025).</w:t>
      </w:r>
    </w:p>
    <w:p w14:paraId="3D385478" w14:textId="5ABCD98C" w:rsidR="00046CA0" w:rsidRPr="00900BD4" w:rsidRDefault="00046CA0" w:rsidP="00093F50">
      <w:pPr>
        <w:spacing w:line="360" w:lineRule="auto"/>
        <w:jc w:val="both"/>
        <w:rPr>
          <w:rFonts w:ascii="Arial" w:hAnsi="Arial" w:cs="Arial"/>
        </w:rPr>
      </w:pPr>
      <w:r w:rsidRPr="00900BD4">
        <w:rPr>
          <w:rFonts w:ascii="Arial" w:hAnsi="Arial" w:cs="Arial"/>
        </w:rPr>
        <w:t xml:space="preserve">Taylor, R.J., Chatters, L.M. and Taylor, H.O. (2019). ‘Race and objective social isolation: Older African Americans, black Caribbeans, and non-Hispanic </w:t>
      </w:r>
      <w:proofErr w:type="gramStart"/>
      <w:r w:rsidRPr="00900BD4">
        <w:rPr>
          <w:rFonts w:ascii="Arial" w:hAnsi="Arial" w:cs="Arial"/>
        </w:rPr>
        <w:t>whites’</w:t>
      </w:r>
      <w:proofErr w:type="gramEnd"/>
      <w:r w:rsidRPr="00900BD4">
        <w:rPr>
          <w:rFonts w:ascii="Arial" w:hAnsi="Arial" w:cs="Arial"/>
        </w:rPr>
        <w:t>. </w:t>
      </w:r>
      <w:r w:rsidRPr="00900BD4">
        <w:rPr>
          <w:rFonts w:ascii="Arial" w:hAnsi="Arial" w:cs="Arial"/>
          <w:i/>
          <w:iCs/>
        </w:rPr>
        <w:t>The Journals of Gerontology: Series B</w:t>
      </w:r>
      <w:r w:rsidRPr="00900BD4">
        <w:rPr>
          <w:rFonts w:ascii="Arial" w:hAnsi="Arial" w:cs="Arial"/>
        </w:rPr>
        <w:t>, </w:t>
      </w:r>
      <w:r w:rsidRPr="00900BD4">
        <w:rPr>
          <w:rFonts w:ascii="Arial" w:hAnsi="Arial" w:cs="Arial"/>
          <w:i/>
          <w:iCs/>
        </w:rPr>
        <w:t>74</w:t>
      </w:r>
      <w:r w:rsidRPr="00900BD4">
        <w:rPr>
          <w:rFonts w:ascii="Arial" w:hAnsi="Arial" w:cs="Arial"/>
        </w:rPr>
        <w:t xml:space="preserve">(8), pp.1429-1440. Available at: </w:t>
      </w:r>
      <w:hyperlink r:id="rId21" w:history="1">
        <w:r w:rsidRPr="00900BD4">
          <w:rPr>
            <w:rStyle w:val="Hyperlink"/>
            <w:rFonts w:ascii="Arial" w:hAnsi="Arial" w:cs="Arial"/>
            <w:color w:val="auto"/>
          </w:rPr>
          <w:t>https://academic.oup.com/psychsocgerontology/article-abstract/74/8/1429/5115776</w:t>
        </w:r>
      </w:hyperlink>
      <w:r w:rsidRPr="00900BD4">
        <w:rPr>
          <w:rFonts w:ascii="Arial" w:hAnsi="Arial" w:cs="Arial"/>
        </w:rPr>
        <w:t xml:space="preserve"> (Accessed: 14 November 2025).</w:t>
      </w:r>
    </w:p>
    <w:p w14:paraId="59864E23" w14:textId="04E91601" w:rsidR="009E4561" w:rsidRPr="00900BD4" w:rsidRDefault="009E4561" w:rsidP="00093F50">
      <w:pPr>
        <w:spacing w:line="360" w:lineRule="auto"/>
        <w:jc w:val="both"/>
        <w:rPr>
          <w:rFonts w:ascii="Arial" w:hAnsi="Arial" w:cs="Arial"/>
        </w:rPr>
      </w:pPr>
      <w:r w:rsidRPr="00900BD4">
        <w:rPr>
          <w:rFonts w:ascii="Arial" w:hAnsi="Arial" w:cs="Arial"/>
        </w:rPr>
        <w:t xml:space="preserve">Tortelli, A., Errazuriz, A., Croudace, T., Morgan, C., Murray, R.M., Jones, P.B. and Kirkbride, J.B. (2015) ‘Schizophrenia and other psychotic disorders in Caribbean-born migrants and their descendants in England: systematic review and meta-analysis of incidence rates, 1950–2013’, </w:t>
      </w:r>
      <w:r w:rsidRPr="00900BD4">
        <w:rPr>
          <w:rFonts w:ascii="Arial" w:hAnsi="Arial" w:cs="Arial"/>
          <w:i/>
          <w:iCs/>
        </w:rPr>
        <w:t>Social Psychiatry and Psychiatric Epidemiology</w:t>
      </w:r>
      <w:r w:rsidRPr="00900BD4">
        <w:rPr>
          <w:rFonts w:ascii="Arial" w:hAnsi="Arial" w:cs="Arial"/>
        </w:rPr>
        <w:t xml:space="preserve">, 50(7), pp. 1039–1055. Available at: </w:t>
      </w:r>
      <w:hyperlink r:id="rId22" w:history="1">
        <w:r w:rsidRPr="00900BD4">
          <w:rPr>
            <w:rStyle w:val="Hyperlink"/>
            <w:rFonts w:ascii="Arial" w:hAnsi="Arial" w:cs="Arial"/>
            <w:color w:val="auto"/>
          </w:rPr>
          <w:t>https://link.springer.com/article/10.1007/s00127-015-1021-6</w:t>
        </w:r>
      </w:hyperlink>
      <w:r w:rsidRPr="00900BD4">
        <w:rPr>
          <w:rFonts w:ascii="Arial" w:hAnsi="Arial" w:cs="Arial"/>
        </w:rPr>
        <w:t xml:space="preserve"> </w:t>
      </w:r>
      <w:r w:rsidR="00046CA0" w:rsidRPr="00900BD4">
        <w:rPr>
          <w:rFonts w:ascii="Arial" w:hAnsi="Arial" w:cs="Arial"/>
        </w:rPr>
        <w:t>(Accessed: 14 November 2025).</w:t>
      </w:r>
    </w:p>
    <w:p w14:paraId="10707A52" w14:textId="70D6CFD9" w:rsidR="009E4561" w:rsidRPr="00900BD4" w:rsidRDefault="009E4561" w:rsidP="00093F50">
      <w:pPr>
        <w:spacing w:line="360" w:lineRule="auto"/>
        <w:jc w:val="both"/>
        <w:rPr>
          <w:rFonts w:ascii="Arial" w:hAnsi="Arial" w:cs="Arial"/>
        </w:rPr>
      </w:pPr>
      <w:r w:rsidRPr="00900BD4">
        <w:rPr>
          <w:rFonts w:ascii="Arial" w:hAnsi="Arial" w:cs="Arial"/>
        </w:rPr>
        <w:t xml:space="preserve">Wang, X., Carcel, C., Woodward, M. and Schutte, A.E. (2022) ‘Blood pressure and stroke: a review of sex- and ethnic/racial-specific attributes to the epidemiology, pathophysiology, and management of raised blood pressure’, </w:t>
      </w:r>
      <w:r w:rsidRPr="00900BD4">
        <w:rPr>
          <w:rFonts w:ascii="Arial" w:hAnsi="Arial" w:cs="Arial"/>
          <w:i/>
          <w:iCs/>
        </w:rPr>
        <w:t>Stroke</w:t>
      </w:r>
      <w:r w:rsidRPr="00900BD4">
        <w:rPr>
          <w:rFonts w:ascii="Arial" w:hAnsi="Arial" w:cs="Arial"/>
        </w:rPr>
        <w:t xml:space="preserve">, 53(4), pp. 1114–1133. Available at: </w:t>
      </w:r>
      <w:hyperlink r:id="rId23" w:tgtFrame="_new" w:history="1">
        <w:r w:rsidRPr="00900BD4">
          <w:rPr>
            <w:rStyle w:val="Hyperlink"/>
            <w:rFonts w:ascii="Arial" w:hAnsi="Arial" w:cs="Arial"/>
            <w:color w:val="auto"/>
          </w:rPr>
          <w:t>https://www.ahajournals.org/doi/abs/10.1161/STROKEAHA.121.035852</w:t>
        </w:r>
      </w:hyperlink>
      <w:r w:rsidRPr="00900BD4">
        <w:rPr>
          <w:rFonts w:ascii="Arial" w:hAnsi="Arial" w:cs="Arial"/>
        </w:rPr>
        <w:t xml:space="preserve"> </w:t>
      </w:r>
      <w:r w:rsidR="00046CA0" w:rsidRPr="00900BD4">
        <w:rPr>
          <w:rFonts w:ascii="Arial" w:hAnsi="Arial" w:cs="Arial"/>
        </w:rPr>
        <w:t>(Accessed: 14 November 2025).</w:t>
      </w:r>
    </w:p>
    <w:p w14:paraId="00AE6E83" w14:textId="77777777" w:rsidR="004B17AF" w:rsidRPr="00900BD4" w:rsidRDefault="004B17AF" w:rsidP="00093F50">
      <w:pPr>
        <w:spacing w:line="360" w:lineRule="auto"/>
        <w:jc w:val="both"/>
        <w:rPr>
          <w:rFonts w:ascii="Arial" w:hAnsi="Arial" w:cs="Arial"/>
        </w:rPr>
      </w:pPr>
    </w:p>
    <w:sectPr w:rsidR="004B17AF" w:rsidRPr="00900BD4" w:rsidSect="00167D9F">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41E66" w14:textId="77777777" w:rsidR="00B905B8" w:rsidRDefault="00B905B8" w:rsidP="009E4561">
      <w:pPr>
        <w:spacing w:after="0" w:line="240" w:lineRule="auto"/>
      </w:pPr>
      <w:r>
        <w:separator/>
      </w:r>
    </w:p>
  </w:endnote>
  <w:endnote w:type="continuationSeparator" w:id="0">
    <w:p w14:paraId="1EF22F3F" w14:textId="77777777" w:rsidR="00B905B8" w:rsidRDefault="00B905B8" w:rsidP="009E4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7703302"/>
      <w:docPartObj>
        <w:docPartGallery w:val="Page Numbers (Bottom of Page)"/>
        <w:docPartUnique/>
      </w:docPartObj>
    </w:sdtPr>
    <w:sdtEndPr>
      <w:rPr>
        <w:noProof/>
      </w:rPr>
    </w:sdtEndPr>
    <w:sdtContent>
      <w:p w14:paraId="195E4252" w14:textId="63165A2D" w:rsidR="009E4561" w:rsidRDefault="009E45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37F4E1" w14:textId="77777777" w:rsidR="009E4561" w:rsidRDefault="009E4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072D2" w14:textId="77777777" w:rsidR="00B905B8" w:rsidRDefault="00B905B8" w:rsidP="009E4561">
      <w:pPr>
        <w:spacing w:after="0" w:line="240" w:lineRule="auto"/>
      </w:pPr>
      <w:r>
        <w:separator/>
      </w:r>
    </w:p>
  </w:footnote>
  <w:footnote w:type="continuationSeparator" w:id="0">
    <w:p w14:paraId="6E91C3E8" w14:textId="77777777" w:rsidR="00B905B8" w:rsidRDefault="00B905B8" w:rsidP="009E45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F0CA2"/>
    <w:multiLevelType w:val="hybridMultilevel"/>
    <w:tmpl w:val="8C1224F6"/>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 w15:restartNumberingAfterBreak="0">
    <w:nsid w:val="52181F19"/>
    <w:multiLevelType w:val="hybridMultilevel"/>
    <w:tmpl w:val="53AC47F8"/>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num w:numId="1" w16cid:durableId="1264343257">
    <w:abstractNumId w:val="1"/>
  </w:num>
  <w:num w:numId="2" w16cid:durableId="1459108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1F2"/>
    <w:rsid w:val="00037A2D"/>
    <w:rsid w:val="00046CA0"/>
    <w:rsid w:val="000575AD"/>
    <w:rsid w:val="00093F50"/>
    <w:rsid w:val="000B0FC6"/>
    <w:rsid w:val="000F2A80"/>
    <w:rsid w:val="001209C6"/>
    <w:rsid w:val="00130B29"/>
    <w:rsid w:val="00132C12"/>
    <w:rsid w:val="00133740"/>
    <w:rsid w:val="001665AD"/>
    <w:rsid w:val="00167D9F"/>
    <w:rsid w:val="00174ED6"/>
    <w:rsid w:val="001F7AA3"/>
    <w:rsid w:val="003E1CF7"/>
    <w:rsid w:val="004B17AF"/>
    <w:rsid w:val="004C41C3"/>
    <w:rsid w:val="004E398D"/>
    <w:rsid w:val="004E4A5C"/>
    <w:rsid w:val="00536153"/>
    <w:rsid w:val="0055300B"/>
    <w:rsid w:val="0056141E"/>
    <w:rsid w:val="006133C0"/>
    <w:rsid w:val="00660026"/>
    <w:rsid w:val="0066205C"/>
    <w:rsid w:val="007A5C5F"/>
    <w:rsid w:val="007F236B"/>
    <w:rsid w:val="00844D0F"/>
    <w:rsid w:val="008775B4"/>
    <w:rsid w:val="008F20E2"/>
    <w:rsid w:val="00900BD4"/>
    <w:rsid w:val="009E4561"/>
    <w:rsid w:val="00A654FD"/>
    <w:rsid w:val="00A92727"/>
    <w:rsid w:val="00AE243C"/>
    <w:rsid w:val="00AE4205"/>
    <w:rsid w:val="00B857D8"/>
    <w:rsid w:val="00B905B8"/>
    <w:rsid w:val="00BC1CD0"/>
    <w:rsid w:val="00BC46D0"/>
    <w:rsid w:val="00BF37CE"/>
    <w:rsid w:val="00C11931"/>
    <w:rsid w:val="00C475FD"/>
    <w:rsid w:val="00CB693F"/>
    <w:rsid w:val="00CE11F2"/>
    <w:rsid w:val="00D20D16"/>
    <w:rsid w:val="00D24C15"/>
    <w:rsid w:val="00D46789"/>
    <w:rsid w:val="00E155F2"/>
    <w:rsid w:val="00E30977"/>
    <w:rsid w:val="00EE3513"/>
    <w:rsid w:val="00EF0D71"/>
    <w:rsid w:val="00F127E2"/>
    <w:rsid w:val="00F54376"/>
    <w:rsid w:val="00F766EB"/>
    <w:rsid w:val="00FB40A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C2CEC6"/>
  <w15:chartTrackingRefBased/>
  <w15:docId w15:val="{EDA7E0AC-4046-4F19-923D-E0B1F8C0C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2A80"/>
    <w:pPr>
      <w:keepNext/>
      <w:keepLines/>
      <w:spacing w:before="360" w:after="80" w:line="360" w:lineRule="auto"/>
      <w:jc w:val="center"/>
      <w:outlineLvl w:val="0"/>
    </w:pPr>
    <w:rPr>
      <w:rFonts w:ascii="Arial" w:eastAsiaTheme="majorEastAsia" w:hAnsi="Arial" w:cstheme="majorBidi"/>
      <w:b/>
      <w:sz w:val="24"/>
      <w:szCs w:val="40"/>
    </w:rPr>
  </w:style>
  <w:style w:type="paragraph" w:styleId="Heading2">
    <w:name w:val="heading 2"/>
    <w:basedOn w:val="Normal"/>
    <w:next w:val="Normal"/>
    <w:link w:val="Heading2Char"/>
    <w:uiPriority w:val="9"/>
    <w:unhideWhenUsed/>
    <w:qFormat/>
    <w:rsid w:val="000F2A80"/>
    <w:pPr>
      <w:keepNext/>
      <w:keepLines/>
      <w:spacing w:before="160" w:after="80"/>
      <w:outlineLvl w:val="1"/>
    </w:pPr>
    <w:rPr>
      <w:rFonts w:ascii="Arial" w:eastAsiaTheme="majorEastAsia" w:hAnsi="Arial" w:cstheme="majorBidi"/>
      <w:b/>
      <w:color w:val="000000" w:themeColor="text1"/>
      <w:sz w:val="20"/>
      <w:szCs w:val="32"/>
    </w:rPr>
  </w:style>
  <w:style w:type="paragraph" w:styleId="Heading3">
    <w:name w:val="heading 3"/>
    <w:basedOn w:val="Normal"/>
    <w:next w:val="Normal"/>
    <w:link w:val="Heading3Char"/>
    <w:uiPriority w:val="9"/>
    <w:semiHidden/>
    <w:unhideWhenUsed/>
    <w:qFormat/>
    <w:rsid w:val="00CE11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11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11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11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1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1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1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2A80"/>
    <w:rPr>
      <w:rFonts w:ascii="Arial" w:eastAsiaTheme="majorEastAsia" w:hAnsi="Arial" w:cstheme="majorBidi"/>
      <w:b/>
      <w:color w:val="000000" w:themeColor="text1"/>
      <w:sz w:val="20"/>
      <w:szCs w:val="32"/>
    </w:rPr>
  </w:style>
  <w:style w:type="character" w:customStyle="1" w:styleId="Heading1Char">
    <w:name w:val="Heading 1 Char"/>
    <w:basedOn w:val="DefaultParagraphFont"/>
    <w:link w:val="Heading1"/>
    <w:uiPriority w:val="9"/>
    <w:rsid w:val="000F2A80"/>
    <w:rPr>
      <w:rFonts w:ascii="Arial" w:eastAsiaTheme="majorEastAsia" w:hAnsi="Arial" w:cstheme="majorBidi"/>
      <w:b/>
      <w:sz w:val="24"/>
      <w:szCs w:val="40"/>
    </w:rPr>
  </w:style>
  <w:style w:type="character" w:customStyle="1" w:styleId="Heading3Char">
    <w:name w:val="Heading 3 Char"/>
    <w:basedOn w:val="DefaultParagraphFont"/>
    <w:link w:val="Heading3"/>
    <w:uiPriority w:val="9"/>
    <w:semiHidden/>
    <w:rsid w:val="00CE11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11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11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11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1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1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1F2"/>
    <w:rPr>
      <w:rFonts w:eastAsiaTheme="majorEastAsia" w:cstheme="majorBidi"/>
      <w:color w:val="272727" w:themeColor="text1" w:themeTint="D8"/>
    </w:rPr>
  </w:style>
  <w:style w:type="paragraph" w:styleId="Title">
    <w:name w:val="Title"/>
    <w:basedOn w:val="Normal"/>
    <w:next w:val="Normal"/>
    <w:link w:val="TitleChar"/>
    <w:uiPriority w:val="10"/>
    <w:qFormat/>
    <w:rsid w:val="00CE11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1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1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1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1F2"/>
    <w:pPr>
      <w:spacing w:before="160"/>
      <w:jc w:val="center"/>
    </w:pPr>
    <w:rPr>
      <w:i/>
      <w:iCs/>
      <w:color w:val="404040" w:themeColor="text1" w:themeTint="BF"/>
    </w:rPr>
  </w:style>
  <w:style w:type="character" w:customStyle="1" w:styleId="QuoteChar">
    <w:name w:val="Quote Char"/>
    <w:basedOn w:val="DefaultParagraphFont"/>
    <w:link w:val="Quote"/>
    <w:uiPriority w:val="29"/>
    <w:rsid w:val="00CE11F2"/>
    <w:rPr>
      <w:i/>
      <w:iCs/>
      <w:color w:val="404040" w:themeColor="text1" w:themeTint="BF"/>
    </w:rPr>
  </w:style>
  <w:style w:type="paragraph" w:styleId="ListParagraph">
    <w:name w:val="List Paragraph"/>
    <w:basedOn w:val="Normal"/>
    <w:uiPriority w:val="34"/>
    <w:qFormat/>
    <w:rsid w:val="00CE11F2"/>
    <w:pPr>
      <w:ind w:left="720"/>
      <w:contextualSpacing/>
    </w:pPr>
  </w:style>
  <w:style w:type="character" w:styleId="IntenseEmphasis">
    <w:name w:val="Intense Emphasis"/>
    <w:basedOn w:val="DefaultParagraphFont"/>
    <w:uiPriority w:val="21"/>
    <w:qFormat/>
    <w:rsid w:val="00CE11F2"/>
    <w:rPr>
      <w:i/>
      <w:iCs/>
      <w:color w:val="2F5496" w:themeColor="accent1" w:themeShade="BF"/>
    </w:rPr>
  </w:style>
  <w:style w:type="paragraph" w:styleId="IntenseQuote">
    <w:name w:val="Intense Quote"/>
    <w:basedOn w:val="Normal"/>
    <w:next w:val="Normal"/>
    <w:link w:val="IntenseQuoteChar"/>
    <w:uiPriority w:val="30"/>
    <w:qFormat/>
    <w:rsid w:val="00CE11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11F2"/>
    <w:rPr>
      <w:i/>
      <w:iCs/>
      <w:color w:val="2F5496" w:themeColor="accent1" w:themeShade="BF"/>
    </w:rPr>
  </w:style>
  <w:style w:type="character" w:styleId="IntenseReference">
    <w:name w:val="Intense Reference"/>
    <w:basedOn w:val="DefaultParagraphFont"/>
    <w:uiPriority w:val="32"/>
    <w:qFormat/>
    <w:rsid w:val="00CE11F2"/>
    <w:rPr>
      <w:b/>
      <w:bCs/>
      <w:smallCaps/>
      <w:color w:val="2F5496" w:themeColor="accent1" w:themeShade="BF"/>
      <w:spacing w:val="5"/>
    </w:rPr>
  </w:style>
  <w:style w:type="character" w:styleId="Hyperlink">
    <w:name w:val="Hyperlink"/>
    <w:basedOn w:val="DefaultParagraphFont"/>
    <w:uiPriority w:val="99"/>
    <w:unhideWhenUsed/>
    <w:rsid w:val="00BC1CD0"/>
    <w:rPr>
      <w:color w:val="0563C1" w:themeColor="hyperlink"/>
      <w:u w:val="single"/>
    </w:rPr>
  </w:style>
  <w:style w:type="paragraph" w:styleId="Header">
    <w:name w:val="header"/>
    <w:basedOn w:val="Normal"/>
    <w:link w:val="HeaderChar"/>
    <w:uiPriority w:val="99"/>
    <w:unhideWhenUsed/>
    <w:rsid w:val="009E45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561"/>
  </w:style>
  <w:style w:type="paragraph" w:styleId="Footer">
    <w:name w:val="footer"/>
    <w:basedOn w:val="Normal"/>
    <w:link w:val="FooterChar"/>
    <w:uiPriority w:val="99"/>
    <w:unhideWhenUsed/>
    <w:rsid w:val="009E4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561"/>
  </w:style>
  <w:style w:type="character" w:styleId="UnresolvedMention">
    <w:name w:val="Unresolved Mention"/>
    <w:basedOn w:val="DefaultParagraphFont"/>
    <w:uiPriority w:val="99"/>
    <w:semiHidden/>
    <w:unhideWhenUsed/>
    <w:rsid w:val="00BF37CE"/>
    <w:rPr>
      <w:color w:val="605E5C"/>
      <w:shd w:val="clear" w:color="auto" w:fill="E1DFDD"/>
    </w:rPr>
  </w:style>
  <w:style w:type="character" w:styleId="CommentReference">
    <w:name w:val="annotation reference"/>
    <w:basedOn w:val="DefaultParagraphFont"/>
    <w:uiPriority w:val="99"/>
    <w:semiHidden/>
    <w:unhideWhenUsed/>
    <w:rsid w:val="00132C12"/>
    <w:rPr>
      <w:sz w:val="16"/>
      <w:szCs w:val="16"/>
    </w:rPr>
  </w:style>
  <w:style w:type="paragraph" w:styleId="CommentText">
    <w:name w:val="annotation text"/>
    <w:basedOn w:val="Normal"/>
    <w:link w:val="CommentTextChar"/>
    <w:uiPriority w:val="99"/>
    <w:unhideWhenUsed/>
    <w:rsid w:val="00132C12"/>
    <w:pPr>
      <w:spacing w:line="240" w:lineRule="auto"/>
    </w:pPr>
    <w:rPr>
      <w:sz w:val="20"/>
      <w:szCs w:val="20"/>
    </w:rPr>
  </w:style>
  <w:style w:type="character" w:customStyle="1" w:styleId="CommentTextChar">
    <w:name w:val="Comment Text Char"/>
    <w:basedOn w:val="DefaultParagraphFont"/>
    <w:link w:val="CommentText"/>
    <w:uiPriority w:val="99"/>
    <w:rsid w:val="00132C12"/>
    <w:rPr>
      <w:sz w:val="20"/>
      <w:szCs w:val="20"/>
    </w:rPr>
  </w:style>
  <w:style w:type="paragraph" w:styleId="CommentSubject">
    <w:name w:val="annotation subject"/>
    <w:basedOn w:val="CommentText"/>
    <w:next w:val="CommentText"/>
    <w:link w:val="CommentSubjectChar"/>
    <w:uiPriority w:val="99"/>
    <w:semiHidden/>
    <w:unhideWhenUsed/>
    <w:rsid w:val="00132C12"/>
    <w:rPr>
      <w:b/>
      <w:bCs/>
    </w:rPr>
  </w:style>
  <w:style w:type="character" w:customStyle="1" w:styleId="CommentSubjectChar">
    <w:name w:val="Comment Subject Char"/>
    <w:basedOn w:val="CommentTextChar"/>
    <w:link w:val="CommentSubject"/>
    <w:uiPriority w:val="99"/>
    <w:semiHidden/>
    <w:rsid w:val="00132C1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portal.ukhsa.gov.uk/en/publications/pathways-to-and-use-of-sexual-healthcare-among-black-caribbean-se" TargetMode="External" /><Relationship Id="rId13" Type="http://schemas.openxmlformats.org/officeDocument/2006/relationships/hyperlink" Target="https://diabetesatlas.org/" TargetMode="External" /><Relationship Id="rId18" Type="http://schemas.openxmlformats.org/officeDocument/2006/relationships/hyperlink" Target="https://www.tandfonline.com/doi/abs/10.2147/CLEP.S227621"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academic.oup.com/psychsocgerontology/article-abstract/74/8/1429/5115776" TargetMode="External" /><Relationship Id="rId7" Type="http://schemas.openxmlformats.org/officeDocument/2006/relationships/hyperlink" Target="https://pmc.ncbi.nlm.nih.gov/articles/PMC9167378/" TargetMode="External" /><Relationship Id="rId12" Type="http://schemas.openxmlformats.org/officeDocument/2006/relationships/hyperlink" Target="https://jamanetwork.com/journals/jamanetworkopen/article-abstract/2828870" TargetMode="External" /><Relationship Id="rId17" Type="http://schemas.openxmlformats.org/officeDocument/2006/relationships/hyperlink" Target="https://www.longtermplan.nhs.uk"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digital.nhs.uk/data-and-information/publications/statistical/national-diabetes-audit" TargetMode="External" /><Relationship Id="rId20" Type="http://schemas.openxmlformats.org/officeDocument/2006/relationships/hyperlink" Target="https://www.runnymedetrust.org/publication-categories/health"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diabetes.org.uk/sites/default/files/2021-07/Diabetes%20is%20Serious%20Report%20Final_0.pdf" TargetMode="External"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www.mind.org.uk/" TargetMode="External" /><Relationship Id="rId23" Type="http://schemas.openxmlformats.org/officeDocument/2006/relationships/hyperlink" Target="https://www.ahajournals.org/doi/abs/10.1161/STROKEAHA.121.035852" TargetMode="External" /><Relationship Id="rId10" Type="http://schemas.openxmlformats.org/officeDocument/2006/relationships/hyperlink" Target="https://blackequityorg.com/wp-content/uploads/2024/05/Briefing-Neighbourhood-and-Housings.pdf" TargetMode="External" /><Relationship Id="rId19" Type="http://schemas.openxmlformats.org/officeDocument/2006/relationships/hyperlink" Target="https://assets.publishing.service.gov.uk/media/5b6c4f54e5274a29643d0f6e/PHOF_Health_Equity_Report.pdf" TargetMode="External" /><Relationship Id="rId4" Type="http://schemas.openxmlformats.org/officeDocument/2006/relationships/webSettings" Target="webSettings.xml" /><Relationship Id="rId9" Type="http://schemas.openxmlformats.org/officeDocument/2006/relationships/hyperlink" Target="https://link.springer.com/article/10.1186/s12939-015-0149-z" TargetMode="External" /><Relationship Id="rId14" Type="http://schemas.openxmlformats.org/officeDocument/2006/relationships/hyperlink" Target="https://lewisham.gov.uk/myservices/socialcare/health/improving-public-health/annual-public-health-reports" TargetMode="External" /><Relationship Id="rId22" Type="http://schemas.openxmlformats.org/officeDocument/2006/relationships/hyperlink" Target="https://link.springer.com/article/10.1007/s00127-015-1021-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3063</Words>
  <Characters>21187</Characters>
  <Application>Microsoft Office Word</Application>
  <DocSecurity>0</DocSecurity>
  <Lines>176</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 preet</dc:creator>
  <cp:keywords/>
  <dc:description/>
  <cp:lastModifiedBy>Neelkumar Sureshbhai Patel</cp:lastModifiedBy>
  <cp:revision>2</cp:revision>
  <dcterms:created xsi:type="dcterms:W3CDTF">2025-11-16T20:57:00Z</dcterms:created>
  <dcterms:modified xsi:type="dcterms:W3CDTF">2025-11-16T20:57:00Z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e3f4e91f-cf7d-4de2-a122-14ac8268c2c9</vt:lpwstr>
  </property>
</Properties>
</file>