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98D37C" w14:textId="77777777" w:rsidR="00CE5586" w:rsidRDefault="00236F80">
      <w:r>
        <w:t xml:space="preserve">PERFORMANCE INDICATORS FOR SQE2 ADVOCACY ASSESSMENT </w:t>
      </w:r>
    </w:p>
    <w:p w14:paraId="1FF61B5C" w14:textId="77777777" w:rsidR="00CE5586" w:rsidRDefault="00236F80">
      <w:pPr>
        <w:spacing w:after="0"/>
        <w:ind w:left="2736"/>
        <w:jc w:val="center"/>
      </w:pPr>
      <w:r>
        <w:t xml:space="preserve"> </w:t>
      </w:r>
    </w:p>
    <w:tbl>
      <w:tblPr>
        <w:tblStyle w:val="TableGrid"/>
        <w:tblW w:w="13949" w:type="dxa"/>
        <w:tblInd w:w="40" w:type="dxa"/>
        <w:tblCellMar>
          <w:top w:w="53" w:type="dxa"/>
          <w:left w:w="107" w:type="dxa"/>
          <w:bottom w:w="0" w:type="dxa"/>
          <w:right w:w="61" w:type="dxa"/>
        </w:tblCellMar>
        <w:tblLook w:val="04A0" w:firstRow="1" w:lastRow="0" w:firstColumn="1" w:lastColumn="0" w:noHBand="0" w:noVBand="1"/>
      </w:tblPr>
      <w:tblGrid>
        <w:gridCol w:w="2546"/>
        <w:gridCol w:w="5672"/>
        <w:gridCol w:w="5731"/>
      </w:tblGrid>
      <w:tr w:rsidR="00CE5586" w14:paraId="14C7EBF6" w14:textId="77777777">
        <w:trPr>
          <w:trHeight w:val="408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844DB2" w14:textId="77777777" w:rsidR="00CE5586" w:rsidRDefault="00236F80">
            <w:pPr>
              <w:spacing w:after="0"/>
              <w:jc w:val="left"/>
            </w:pPr>
            <w:r>
              <w:rPr>
                <w:i/>
                <w:sz w:val="20"/>
              </w:rPr>
              <w:t xml:space="preserve">Skills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A5851F" w14:textId="77777777" w:rsidR="00CE5586" w:rsidRDefault="00236F80">
            <w:pPr>
              <w:spacing w:after="0"/>
              <w:ind w:left="1"/>
              <w:jc w:val="left"/>
            </w:pPr>
            <w:r>
              <w:rPr>
                <w:i/>
                <w:sz w:val="20"/>
              </w:rPr>
              <w:t xml:space="preserve">Indicators demonstrating competence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F0DFD6" w14:textId="77777777" w:rsidR="00CE5586" w:rsidRDefault="00236F80">
            <w:pPr>
              <w:spacing w:after="0"/>
              <w:ind w:left="1"/>
              <w:jc w:val="left"/>
            </w:pPr>
            <w:r>
              <w:rPr>
                <w:i/>
                <w:sz w:val="20"/>
              </w:rPr>
              <w:t xml:space="preserve">Indicators that do not demonstrate competence </w:t>
            </w:r>
          </w:p>
        </w:tc>
      </w:tr>
      <w:tr w:rsidR="00CE5586" w14:paraId="7B47A5EB" w14:textId="77777777">
        <w:trPr>
          <w:trHeight w:val="2896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B40054" w14:textId="77777777" w:rsidR="00CE5586" w:rsidRDefault="00236F80">
            <w:pPr>
              <w:spacing w:after="0"/>
              <w:jc w:val="left"/>
            </w:pPr>
            <w:r>
              <w:rPr>
                <w:sz w:val="20"/>
              </w:rPr>
              <w:t xml:space="preserve">Use appropriate language and behaviour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7D66B1" w14:textId="77777777" w:rsidR="00CE5586" w:rsidRDefault="00236F80">
            <w:pPr>
              <w:numPr>
                <w:ilvl w:val="0"/>
                <w:numId w:val="1"/>
              </w:numPr>
              <w:spacing w:after="24" w:line="280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candidate’s submissions are clear and articulate/easily understood by the judge </w:t>
            </w:r>
          </w:p>
          <w:p w14:paraId="1DD9556A" w14:textId="77777777" w:rsidR="00CE5586" w:rsidRDefault="00236F80">
            <w:pPr>
              <w:numPr>
                <w:ilvl w:val="0"/>
                <w:numId w:val="1"/>
              </w:numPr>
              <w:spacing w:after="1" w:line="278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uses language which is appropriate for the courtroom setting (e.g.  avoids using </w:t>
            </w:r>
            <w:r>
              <w:rPr>
                <w:b w:val="0"/>
                <w:sz w:val="20"/>
              </w:rPr>
              <w:t xml:space="preserve">“I think” or “I believe”, but uses expressions such as </w:t>
            </w:r>
          </w:p>
          <w:p w14:paraId="35AE976E" w14:textId="77777777" w:rsidR="00CE5586" w:rsidRDefault="00236F80">
            <w:pPr>
              <w:spacing w:after="30" w:line="276" w:lineRule="auto"/>
              <w:ind w:left="316"/>
              <w:jc w:val="left"/>
            </w:pPr>
            <w:r>
              <w:rPr>
                <w:b w:val="0"/>
                <w:sz w:val="20"/>
              </w:rPr>
              <w:t xml:space="preserve">“In my submission it is the prosecution/defendant’s case”)  </w:t>
            </w:r>
          </w:p>
          <w:p w14:paraId="05F41B39" w14:textId="77777777" w:rsidR="00CE5586" w:rsidRDefault="00236F80">
            <w:pPr>
              <w:numPr>
                <w:ilvl w:val="0"/>
                <w:numId w:val="1"/>
              </w:numPr>
              <w:spacing w:after="0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uses formalities appropriate to a courtroom setting (e.g. manner is polite and </w:t>
            </w:r>
            <w:proofErr w:type="spellStart"/>
            <w:r>
              <w:rPr>
                <w:b w:val="0"/>
                <w:sz w:val="20"/>
              </w:rPr>
              <w:t>nonpatronising</w:t>
            </w:r>
            <w:proofErr w:type="spellEnd"/>
            <w:r>
              <w:rPr>
                <w:b w:val="0"/>
                <w:sz w:val="20"/>
              </w:rPr>
              <w:t xml:space="preserve">)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C51F65" w14:textId="77777777" w:rsidR="00CE5586" w:rsidRDefault="00236F80">
            <w:pPr>
              <w:numPr>
                <w:ilvl w:val="0"/>
                <w:numId w:val="2"/>
              </w:numPr>
              <w:spacing w:after="24" w:line="280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uses language which is verbose, complicated, confused or rambling </w:t>
            </w:r>
          </w:p>
          <w:p w14:paraId="25521652" w14:textId="77777777" w:rsidR="00CE5586" w:rsidRDefault="00236F80">
            <w:pPr>
              <w:numPr>
                <w:ilvl w:val="0"/>
                <w:numId w:val="2"/>
              </w:numPr>
              <w:spacing w:after="24" w:line="280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consistently cannot be easily understood </w:t>
            </w:r>
          </w:p>
          <w:p w14:paraId="592F1D35" w14:textId="77777777" w:rsidR="00CE5586" w:rsidRDefault="00236F80">
            <w:pPr>
              <w:numPr>
                <w:ilvl w:val="0"/>
                <w:numId w:val="2"/>
              </w:numPr>
              <w:spacing w:after="28" w:line="278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uses language which is inappropriate for a courtroom setting (e.g. uses language that is too informal or colloquial) </w:t>
            </w:r>
          </w:p>
          <w:p w14:paraId="7F80624A" w14:textId="77777777" w:rsidR="00CE5586" w:rsidRDefault="00236F80">
            <w:pPr>
              <w:numPr>
                <w:ilvl w:val="0"/>
                <w:numId w:val="2"/>
              </w:numPr>
              <w:spacing w:after="0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does not use formalities appropriate to a courtroom setting (e.g. manner is rude, dismissive or patronising) </w:t>
            </w:r>
          </w:p>
        </w:tc>
      </w:tr>
      <w:tr w:rsidR="00CE5586" w14:paraId="751D6C1F" w14:textId="77777777">
        <w:trPr>
          <w:trHeight w:val="286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5DCE4"/>
          </w:tcPr>
          <w:p w14:paraId="06B51E16" w14:textId="77777777" w:rsidR="00CE5586" w:rsidRDefault="00236F80">
            <w:pPr>
              <w:spacing w:after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5672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D5DCE4"/>
          </w:tcPr>
          <w:p w14:paraId="6D4FF341" w14:textId="77777777" w:rsidR="00CE5586" w:rsidRDefault="00CE5586">
            <w:pPr>
              <w:spacing w:after="160"/>
              <w:jc w:val="left"/>
            </w:pPr>
          </w:p>
        </w:tc>
        <w:tc>
          <w:tcPr>
            <w:tcW w:w="5731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5DCE4"/>
          </w:tcPr>
          <w:p w14:paraId="2F33E679" w14:textId="77777777" w:rsidR="00CE5586" w:rsidRDefault="00CE5586">
            <w:pPr>
              <w:spacing w:after="160"/>
              <w:jc w:val="left"/>
            </w:pPr>
          </w:p>
        </w:tc>
      </w:tr>
      <w:tr w:rsidR="00CE5586" w14:paraId="138C4AC5" w14:textId="77777777">
        <w:trPr>
          <w:trHeight w:val="2571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C9DC00" w14:textId="77777777" w:rsidR="00CE5586" w:rsidRDefault="00236F80">
            <w:pPr>
              <w:spacing w:after="0"/>
              <w:jc w:val="left"/>
            </w:pPr>
            <w:r>
              <w:rPr>
                <w:sz w:val="20"/>
              </w:rPr>
              <w:t xml:space="preserve">Adopt a clear and logical structure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098D7E" w14:textId="77777777" w:rsidR="00CE5586" w:rsidRDefault="00236F80">
            <w:pPr>
              <w:numPr>
                <w:ilvl w:val="0"/>
                <w:numId w:val="3"/>
              </w:numPr>
              <w:spacing w:after="28" w:line="278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candidate’s submissions are presented in logical way (e.g. the candidate structures their submissions with a beginning, middle and end) </w:t>
            </w:r>
          </w:p>
          <w:p w14:paraId="3C85FC08" w14:textId="77777777" w:rsidR="00CE5586" w:rsidRDefault="00236F80">
            <w:pPr>
              <w:numPr>
                <w:ilvl w:val="0"/>
                <w:numId w:val="3"/>
              </w:numPr>
              <w:spacing w:after="28" w:line="278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uses appropriate signposts to guide the judge through their submissions </w:t>
            </w:r>
          </w:p>
          <w:p w14:paraId="7B228FE7" w14:textId="77777777" w:rsidR="00CE5586" w:rsidRDefault="00236F80">
            <w:pPr>
              <w:numPr>
                <w:ilvl w:val="0"/>
                <w:numId w:val="3"/>
              </w:numPr>
              <w:spacing w:after="28" w:line="278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summarises and draws conclusions as appropriate to reinforce desired outcomes  </w:t>
            </w:r>
          </w:p>
          <w:p w14:paraId="77F77851" w14:textId="77777777" w:rsidR="00CE5586" w:rsidRDefault="00236F80">
            <w:pPr>
              <w:numPr>
                <w:ilvl w:val="0"/>
                <w:numId w:val="3"/>
              </w:numPr>
              <w:spacing w:after="0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organises facts in a logical order to support their arguments or position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CFAEBD" w14:textId="77777777" w:rsidR="00CE5586" w:rsidRDefault="00236F80">
            <w:pPr>
              <w:numPr>
                <w:ilvl w:val="0"/>
                <w:numId w:val="4"/>
              </w:numPr>
              <w:spacing w:after="24" w:line="280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candidate’s submissions are muddled and lack clarity </w:t>
            </w:r>
          </w:p>
          <w:p w14:paraId="196F777B" w14:textId="77777777" w:rsidR="00CE5586" w:rsidRDefault="00236F80">
            <w:pPr>
              <w:numPr>
                <w:ilvl w:val="0"/>
                <w:numId w:val="4"/>
              </w:numPr>
              <w:spacing w:after="28" w:line="278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does not use any appropriate signposts to guide the judge through their submissions  </w:t>
            </w:r>
          </w:p>
          <w:p w14:paraId="64477609" w14:textId="77777777" w:rsidR="00CE5586" w:rsidRDefault="00236F80">
            <w:pPr>
              <w:numPr>
                <w:ilvl w:val="0"/>
                <w:numId w:val="4"/>
              </w:numPr>
              <w:spacing w:after="0" w:line="278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does not organise facts to support their argument or position </w:t>
            </w:r>
          </w:p>
          <w:p w14:paraId="248814A2" w14:textId="77777777" w:rsidR="00CE5586" w:rsidRDefault="00236F80">
            <w:pPr>
              <w:spacing w:after="0"/>
              <w:ind w:left="78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</w:tr>
      <w:tr w:rsidR="00CE5586" w14:paraId="23B2A488" w14:textId="77777777">
        <w:trPr>
          <w:trHeight w:val="286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5DCE4"/>
          </w:tcPr>
          <w:p w14:paraId="081D18B9" w14:textId="77777777" w:rsidR="00CE5586" w:rsidRDefault="00236F80">
            <w:pPr>
              <w:spacing w:after="0"/>
              <w:jc w:val="left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5672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D5DCE4"/>
          </w:tcPr>
          <w:p w14:paraId="5F4A2AAD" w14:textId="77777777" w:rsidR="00CE5586" w:rsidRDefault="00CE5586">
            <w:pPr>
              <w:spacing w:after="160"/>
              <w:jc w:val="left"/>
            </w:pPr>
          </w:p>
        </w:tc>
        <w:tc>
          <w:tcPr>
            <w:tcW w:w="5731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5DCE4"/>
          </w:tcPr>
          <w:p w14:paraId="3B5414E7" w14:textId="77777777" w:rsidR="00CE5586" w:rsidRDefault="00CE5586">
            <w:pPr>
              <w:spacing w:after="160"/>
              <w:jc w:val="left"/>
            </w:pPr>
          </w:p>
        </w:tc>
      </w:tr>
      <w:tr w:rsidR="00CE5586" w14:paraId="7D8F0C28" w14:textId="77777777">
        <w:trPr>
          <w:trHeight w:val="1691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5EBB3E" w14:textId="77777777" w:rsidR="00CE5586" w:rsidRDefault="00236F80">
            <w:pPr>
              <w:spacing w:after="0"/>
              <w:ind w:right="31"/>
              <w:jc w:val="left"/>
            </w:pPr>
            <w:r>
              <w:rPr>
                <w:sz w:val="20"/>
              </w:rPr>
              <w:lastRenderedPageBreak/>
              <w:t xml:space="preserve">Present a persuasive argument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41F817" w14:textId="77777777" w:rsidR="00CE5586" w:rsidRDefault="00236F80">
            <w:pPr>
              <w:numPr>
                <w:ilvl w:val="0"/>
                <w:numId w:val="5"/>
              </w:numPr>
              <w:spacing w:after="28" w:line="278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presents their case with confidence and purpose  </w:t>
            </w:r>
          </w:p>
          <w:p w14:paraId="05D75789" w14:textId="77777777" w:rsidR="00CE5586" w:rsidRDefault="00236F80">
            <w:pPr>
              <w:numPr>
                <w:ilvl w:val="0"/>
                <w:numId w:val="5"/>
              </w:numPr>
              <w:spacing w:after="1" w:line="277" w:lineRule="auto"/>
              <w:ind w:left="315" w:hanging="283"/>
              <w:jc w:val="left"/>
            </w:pPr>
            <w:r>
              <w:rPr>
                <w:b w:val="0"/>
                <w:sz w:val="20"/>
              </w:rPr>
              <w:t xml:space="preserve">The candidate seeks to influence the judge’s decision making (e.g. the presentation of the candidate’s submissions is clear </w:t>
            </w:r>
            <w:proofErr w:type="gramStart"/>
            <w:r>
              <w:rPr>
                <w:b w:val="0"/>
                <w:sz w:val="20"/>
              </w:rPr>
              <w:t>and  compelling</w:t>
            </w:r>
            <w:proofErr w:type="gramEnd"/>
            <w:r>
              <w:rPr>
                <w:b w:val="0"/>
                <w:sz w:val="20"/>
              </w:rPr>
              <w:t xml:space="preserve">) </w:t>
            </w:r>
          </w:p>
          <w:p w14:paraId="3145D9B1" w14:textId="77777777" w:rsidR="00CE5586" w:rsidRDefault="00236F80">
            <w:pPr>
              <w:spacing w:after="0"/>
              <w:ind w:left="721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BD3A9C" w14:textId="77777777" w:rsidR="00CE5586" w:rsidRDefault="00236F80">
            <w:pPr>
              <w:numPr>
                <w:ilvl w:val="0"/>
                <w:numId w:val="6"/>
              </w:numPr>
              <w:spacing w:after="25" w:line="278" w:lineRule="auto"/>
              <w:ind w:right="23" w:hanging="283"/>
              <w:jc w:val="left"/>
            </w:pPr>
            <w:r>
              <w:rPr>
                <w:b w:val="0"/>
                <w:sz w:val="20"/>
              </w:rPr>
              <w:t xml:space="preserve">The candidate lacks confidence (e.g. is consistently uncertain or hesitant in the delivery of their submissions) </w:t>
            </w:r>
          </w:p>
          <w:p w14:paraId="797E4E4E" w14:textId="77777777" w:rsidR="00CE5586" w:rsidRDefault="00236F80">
            <w:pPr>
              <w:numPr>
                <w:ilvl w:val="0"/>
                <w:numId w:val="6"/>
              </w:numPr>
              <w:spacing w:after="0"/>
              <w:ind w:right="23" w:hanging="283"/>
              <w:jc w:val="left"/>
            </w:pPr>
            <w:r>
              <w:rPr>
                <w:b w:val="0"/>
                <w:sz w:val="20"/>
              </w:rPr>
              <w:t xml:space="preserve">The candidate fails to influence the judge’s decision making (e.g. the presentation of the </w:t>
            </w:r>
          </w:p>
        </w:tc>
      </w:tr>
    </w:tbl>
    <w:p w14:paraId="73D24441" w14:textId="77777777" w:rsidR="00CE5586" w:rsidRDefault="00CE5586">
      <w:pPr>
        <w:spacing w:after="0"/>
        <w:ind w:left="-1406" w:right="12781"/>
        <w:jc w:val="both"/>
      </w:pPr>
    </w:p>
    <w:tbl>
      <w:tblPr>
        <w:tblStyle w:val="TableGrid"/>
        <w:tblW w:w="13949" w:type="dxa"/>
        <w:tblInd w:w="40" w:type="dxa"/>
        <w:tblCellMar>
          <w:top w:w="6" w:type="dxa"/>
          <w:left w:w="43" w:type="dxa"/>
          <w:bottom w:w="0" w:type="dxa"/>
          <w:right w:w="70" w:type="dxa"/>
        </w:tblCellMar>
        <w:tblLook w:val="04A0" w:firstRow="1" w:lastRow="0" w:firstColumn="1" w:lastColumn="0" w:noHBand="0" w:noVBand="1"/>
      </w:tblPr>
      <w:tblGrid>
        <w:gridCol w:w="2546"/>
        <w:gridCol w:w="5672"/>
        <w:gridCol w:w="5731"/>
      </w:tblGrid>
      <w:tr w:rsidR="00CE5586" w14:paraId="54285D93" w14:textId="77777777">
        <w:trPr>
          <w:trHeight w:val="1278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9156D7" w14:textId="77777777" w:rsidR="00CE5586" w:rsidRDefault="00CE5586">
            <w:pPr>
              <w:spacing w:after="160"/>
              <w:jc w:val="left"/>
            </w:pP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BD5F3B" w14:textId="77777777" w:rsidR="00CE5586" w:rsidRDefault="00CE5586">
            <w:pPr>
              <w:spacing w:after="160"/>
              <w:jc w:val="left"/>
            </w:pP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FB2E35" w14:textId="77777777" w:rsidR="00CE5586" w:rsidRDefault="00236F80">
            <w:pPr>
              <w:spacing w:after="0"/>
              <w:ind w:left="425"/>
              <w:jc w:val="left"/>
            </w:pPr>
            <w:r>
              <w:rPr>
                <w:b w:val="0"/>
                <w:sz w:val="20"/>
              </w:rPr>
              <w:t xml:space="preserve">candidate’s submissions are unconvincing, flat in tone or do not make sense) </w:t>
            </w:r>
          </w:p>
        </w:tc>
      </w:tr>
      <w:tr w:rsidR="00CE5586" w14:paraId="6B78908A" w14:textId="77777777">
        <w:trPr>
          <w:trHeight w:val="343"/>
        </w:trPr>
        <w:tc>
          <w:tcPr>
            <w:tcW w:w="1394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5DCE4"/>
          </w:tcPr>
          <w:p w14:paraId="2B9AC4B1" w14:textId="77777777" w:rsidR="00CE5586" w:rsidRDefault="00236F80">
            <w:pPr>
              <w:spacing w:after="0"/>
              <w:ind w:left="784"/>
              <w:jc w:val="left"/>
            </w:pPr>
            <w:r>
              <w:t xml:space="preserve"> </w:t>
            </w:r>
          </w:p>
        </w:tc>
      </w:tr>
      <w:tr w:rsidR="00CE5586" w14:paraId="43086716" w14:textId="77777777">
        <w:trPr>
          <w:trHeight w:val="3248"/>
        </w:trPr>
        <w:tc>
          <w:tcPr>
            <w:tcW w:w="1394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E00F6" w14:textId="77777777" w:rsidR="00CE5586" w:rsidRDefault="00236F80">
            <w:pPr>
              <w:spacing w:after="30" w:line="291" w:lineRule="auto"/>
              <w:ind w:left="64" w:right="100"/>
              <w:jc w:val="left"/>
            </w:pPr>
            <w:r>
              <w:rPr>
                <w:rFonts w:ascii="Calibri" w:eastAsia="Calibri" w:hAnsi="Calibri" w:cs="Calibri"/>
                <w:b w:val="0"/>
                <w:noProof/>
                <w:sz w:val="22"/>
              </w:rPr>
              <mc:AlternateContent>
                <mc:Choice Requires="wpg">
                  <w:drawing>
                    <wp:anchor distT="0" distB="0" distL="114300" distR="114300" simplePos="0" relativeHeight="251658240" behindDoc="0" locked="0" layoutInCell="1" allowOverlap="1" wp14:anchorId="2520F7A0" wp14:editId="7CC8867E">
                      <wp:simplePos x="0" y="0"/>
                      <wp:positionH relativeFrom="column">
                        <wp:posOffset>1613408</wp:posOffset>
                      </wp:positionH>
                      <wp:positionV relativeFrom="paragraph">
                        <wp:posOffset>-36449</wp:posOffset>
                      </wp:positionV>
                      <wp:extent cx="6096" cy="2054606"/>
                      <wp:effectExtent l="0" t="0" r="0" b="0"/>
                      <wp:wrapSquare wrapText="bothSides"/>
                      <wp:docPr id="5259" name="Group 525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096" cy="2054606"/>
                                <a:chOff x="0" y="0"/>
                                <a:chExt cx="6096" cy="2054606"/>
                              </a:xfrm>
                            </wpg:grpSpPr>
                            <wps:wsp>
                              <wps:cNvPr id="5760" name="Shape 5760"/>
                              <wps:cNvSpPr/>
                              <wps:spPr>
                                <a:xfrm>
                                  <a:off x="0" y="0"/>
                                  <a:ext cx="9144" cy="20546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4" h="2054606">
                                      <a:moveTo>
                                        <a:pt x="0" y="0"/>
                                      </a:moveTo>
                                      <a:lnTo>
                                        <a:pt x="9144" y="0"/>
                                      </a:lnTo>
                                      <a:lnTo>
                                        <a:pt x="9144" y="2054606"/>
                                      </a:lnTo>
                                      <a:lnTo>
                                        <a:pt x="0" y="2054606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</wpg:wgp>
                        </a:graphicData>
                      </a:graphic>
                    </wp:anchor>
                  </w:drawing>
                </mc:Choice>
                <mc:Fallback xmlns:a="http://schemas.openxmlformats.org/drawingml/2006/main">
                  <w:pict>
                    <v:group id="Group 5259" style="width:0.480011pt;height:161.78pt;position:absolute;mso-position-horizontal-relative:text;mso-position-horizontal:absolute;margin-left:127.04pt;mso-position-vertical-relative:text;margin-top:-2.8701pt;" coordsize="60,20546">
                      <v:shape id="Shape 5761" style="position:absolute;width:91;height:20546;left:0;top:0;" coordsize="9144,2054606" path="m0,0l9144,0l9144,2054606l0,2054606l0,0">
                        <v:stroke weight="0pt" endcap="flat" joinstyle="miter" miterlimit="10" on="false" color="#000000" opacity="0"/>
                        <v:fill on="true" color="#000000"/>
                      </v:shape>
                      <w10:wrap type="square"/>
                    </v:group>
                  </w:pict>
                </mc:Fallback>
              </mc:AlternateContent>
            </w:r>
            <w:r>
              <w:rPr>
                <w:rFonts w:ascii="Calibri" w:eastAsia="Calibri" w:hAnsi="Calibri" w:cs="Calibri"/>
                <w:b w:val="0"/>
                <w:noProof/>
                <w:sz w:val="22"/>
              </w:rPr>
              <mc:AlternateContent>
                <mc:Choice Requires="wpg">
                  <w:drawing>
                    <wp:anchor distT="0" distB="0" distL="114300" distR="114300" simplePos="0" relativeHeight="251659264" behindDoc="0" locked="0" layoutInCell="1" allowOverlap="1" wp14:anchorId="33DC9A04" wp14:editId="310D6A3D">
                      <wp:simplePos x="0" y="0"/>
                      <wp:positionH relativeFrom="column">
                        <wp:posOffset>5215256</wp:posOffset>
                      </wp:positionH>
                      <wp:positionV relativeFrom="paragraph">
                        <wp:posOffset>-36449</wp:posOffset>
                      </wp:positionV>
                      <wp:extent cx="6096" cy="2054606"/>
                      <wp:effectExtent l="0" t="0" r="0" b="0"/>
                      <wp:wrapSquare wrapText="bothSides"/>
                      <wp:docPr id="5260" name="Group 526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096" cy="2054606"/>
                                <a:chOff x="0" y="0"/>
                                <a:chExt cx="6096" cy="2054606"/>
                              </a:xfrm>
                            </wpg:grpSpPr>
                            <wps:wsp>
                              <wps:cNvPr id="5762" name="Shape 5762"/>
                              <wps:cNvSpPr/>
                              <wps:spPr>
                                <a:xfrm>
                                  <a:off x="0" y="0"/>
                                  <a:ext cx="9144" cy="20546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4" h="2054606">
                                      <a:moveTo>
                                        <a:pt x="0" y="0"/>
                                      </a:moveTo>
                                      <a:lnTo>
                                        <a:pt x="9144" y="0"/>
                                      </a:lnTo>
                                      <a:lnTo>
                                        <a:pt x="9144" y="2054606"/>
                                      </a:lnTo>
                                      <a:lnTo>
                                        <a:pt x="0" y="2054606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</wpg:wgp>
                        </a:graphicData>
                      </a:graphic>
                    </wp:anchor>
                  </w:drawing>
                </mc:Choice>
                <mc:Fallback xmlns:a="http://schemas.openxmlformats.org/drawingml/2006/main">
                  <w:pict>
                    <v:group id="Group 5260" style="width:0.480011pt;height:161.78pt;position:absolute;mso-position-horizontal-relative:text;mso-position-horizontal:absolute;margin-left:410.65pt;mso-position-vertical-relative:text;margin-top:-2.8701pt;" coordsize="60,20546">
                      <v:shape id="Shape 5763" style="position:absolute;width:91;height:20546;left:0;top:0;" coordsize="9144,2054606" path="m0,0l9144,0l9144,2054606l0,2054606l0,0">
                        <v:stroke weight="0pt" endcap="flat" joinstyle="miter" miterlimit="10" on="false" color="#000000" opacity="0"/>
                        <v:fill on="true" color="#000000"/>
                      </v:shape>
                      <w10:wrap type="square"/>
                    </v:group>
                  </w:pict>
                </mc:Fallback>
              </mc:AlternateContent>
            </w:r>
            <w:r>
              <w:rPr>
                <w:sz w:val="20"/>
              </w:rPr>
              <w:t xml:space="preserve">Interacts </w:t>
            </w:r>
            <w:r>
              <w:rPr>
                <w:rFonts w:ascii="Segoe UI Symbol" w:eastAsia="Segoe UI Symbol" w:hAnsi="Segoe UI Symbol" w:cs="Segoe UI Symbol"/>
                <w:b w:val="0"/>
                <w:sz w:val="22"/>
              </w:rPr>
              <w:t></w:t>
            </w:r>
            <w:r>
              <w:rPr>
                <w:rFonts w:ascii="Arial" w:eastAsia="Arial" w:hAnsi="Arial" w:cs="Arial"/>
                <w:b w:val="0"/>
                <w:sz w:val="22"/>
              </w:rPr>
              <w:t xml:space="preserve"> </w:t>
            </w:r>
            <w:r>
              <w:rPr>
                <w:b w:val="0"/>
                <w:sz w:val="20"/>
              </w:rPr>
              <w:t xml:space="preserve">The candidate makes submissions at an </w:t>
            </w: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 xml:space="preserve">The presentation of the candidate’s submissions is </w:t>
            </w:r>
            <w:r>
              <w:rPr>
                <w:sz w:val="20"/>
              </w:rPr>
              <w:t xml:space="preserve">with/engages the </w:t>
            </w:r>
            <w:r>
              <w:rPr>
                <w:b w:val="0"/>
                <w:sz w:val="20"/>
              </w:rPr>
              <w:t xml:space="preserve">appropriate pace  (e.g. the candidate speaks at a too quick, too slow or the candidate is inarticulate </w:t>
            </w:r>
            <w:r>
              <w:rPr>
                <w:sz w:val="20"/>
              </w:rPr>
              <w:t xml:space="preserve">court appropriately </w:t>
            </w:r>
            <w:r>
              <w:rPr>
                <w:b w:val="0"/>
                <w:sz w:val="20"/>
              </w:rPr>
              <w:t xml:space="preserve">steady and consistent pace to ensure that the </w:t>
            </w: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>The candidate fails to direct the court to judge is following their argument)</w:t>
            </w:r>
            <w:r>
              <w:rPr>
                <w:rFonts w:ascii="Calibri" w:eastAsia="Calibri" w:hAnsi="Calibri" w:cs="Calibri"/>
                <w:b w:val="0"/>
                <w:sz w:val="22"/>
              </w:rPr>
              <w:t xml:space="preserve"> </w:t>
            </w:r>
            <w:r>
              <w:rPr>
                <w:b w:val="0"/>
                <w:sz w:val="20"/>
              </w:rPr>
              <w:t xml:space="preserve">documents where appropriate to support their </w:t>
            </w:r>
          </w:p>
          <w:p w14:paraId="4A87968A" w14:textId="77777777" w:rsidR="00CE5586" w:rsidRDefault="00236F80">
            <w:pPr>
              <w:numPr>
                <w:ilvl w:val="0"/>
                <w:numId w:val="7"/>
              </w:numPr>
              <w:spacing w:after="8"/>
              <w:ind w:right="36" w:hanging="283"/>
              <w:jc w:val="left"/>
            </w:pPr>
            <w:r>
              <w:rPr>
                <w:b w:val="0"/>
                <w:sz w:val="20"/>
              </w:rPr>
              <w:t xml:space="preserve">The candidate uses documents (i.e. their own arguments. </w:t>
            </w:r>
          </w:p>
          <w:p w14:paraId="4EA6F650" w14:textId="77777777" w:rsidR="00CE5586" w:rsidRDefault="00236F80">
            <w:pPr>
              <w:spacing w:after="40" w:line="289" w:lineRule="auto"/>
              <w:ind w:left="2498"/>
              <w:jc w:val="left"/>
            </w:pPr>
            <w:r>
              <w:rPr>
                <w:b w:val="0"/>
                <w:sz w:val="20"/>
              </w:rPr>
              <w:t xml:space="preserve">notes or other assessment materials) where </w:t>
            </w: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>The candidate is consistently too reliant on, or appropriate to support their submissions</w:t>
            </w:r>
            <w:r>
              <w:rPr>
                <w:rFonts w:ascii="Calibri" w:eastAsia="Calibri" w:hAnsi="Calibri" w:cs="Calibri"/>
                <w:b w:val="0"/>
                <w:sz w:val="22"/>
              </w:rPr>
              <w:t xml:space="preserve"> </w:t>
            </w:r>
            <w:r>
              <w:rPr>
                <w:b w:val="0"/>
                <w:sz w:val="20"/>
              </w:rPr>
              <w:t xml:space="preserve">distracted, by their notes  </w:t>
            </w:r>
          </w:p>
          <w:p w14:paraId="76442E28" w14:textId="77777777" w:rsidR="00CE5586" w:rsidRDefault="00236F80">
            <w:pPr>
              <w:numPr>
                <w:ilvl w:val="0"/>
                <w:numId w:val="7"/>
              </w:numPr>
              <w:spacing w:after="0" w:line="317" w:lineRule="auto"/>
              <w:ind w:right="36" w:hanging="283"/>
              <w:jc w:val="left"/>
            </w:pPr>
            <w:r>
              <w:rPr>
                <w:b w:val="0"/>
                <w:sz w:val="20"/>
              </w:rPr>
              <w:t xml:space="preserve">The candidate listens and responds to the judge </w:t>
            </w: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 xml:space="preserve">The candidate fails to listen and respond to the appropriately e.g. the candidate is composed and judge appropriately e.g. the candidate lacks </w:t>
            </w:r>
            <w:proofErr w:type="gramStart"/>
            <w:r>
              <w:rPr>
                <w:b w:val="0"/>
                <w:sz w:val="20"/>
              </w:rPr>
              <w:t>is able to</w:t>
            </w:r>
            <w:proofErr w:type="gramEnd"/>
            <w:r>
              <w:rPr>
                <w:b w:val="0"/>
                <w:sz w:val="20"/>
              </w:rPr>
              <w:t xml:space="preserve"> respond effectively to questions asked composure and is unable to respond effectively, or </w:t>
            </w:r>
          </w:p>
          <w:p w14:paraId="30AB9F3B" w14:textId="77777777" w:rsidR="00CE5586" w:rsidRDefault="00236F80">
            <w:pPr>
              <w:spacing w:after="0"/>
              <w:ind w:left="8170"/>
              <w:jc w:val="left"/>
            </w:pPr>
            <w:r>
              <w:rPr>
                <w:b w:val="0"/>
                <w:sz w:val="20"/>
              </w:rPr>
              <w:t xml:space="preserve">at all, to questions asked </w:t>
            </w:r>
          </w:p>
        </w:tc>
      </w:tr>
      <w:tr w:rsidR="00CE5586" w14:paraId="0320B915" w14:textId="77777777">
        <w:trPr>
          <w:trHeight w:val="286"/>
        </w:trPr>
        <w:tc>
          <w:tcPr>
            <w:tcW w:w="1394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5DCE4"/>
          </w:tcPr>
          <w:p w14:paraId="346789DD" w14:textId="77777777" w:rsidR="00CE5586" w:rsidRDefault="00236F80">
            <w:pPr>
              <w:spacing w:after="0"/>
              <w:ind w:left="64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</w:tr>
      <w:tr w:rsidR="00CE5586" w14:paraId="41B9902C" w14:textId="77777777">
        <w:trPr>
          <w:trHeight w:val="1808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690D48" w14:textId="77777777" w:rsidR="00CE5586" w:rsidRDefault="00236F80">
            <w:pPr>
              <w:spacing w:after="0"/>
              <w:ind w:left="64"/>
              <w:jc w:val="both"/>
            </w:pPr>
            <w:r>
              <w:rPr>
                <w:sz w:val="20"/>
              </w:rPr>
              <w:lastRenderedPageBreak/>
              <w:t xml:space="preserve">Include all key relevant facts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2F54E7" w14:textId="77777777" w:rsidR="00CE5586" w:rsidRDefault="00236F80">
            <w:pPr>
              <w:spacing w:after="0"/>
              <w:ind w:left="379" w:hanging="283"/>
              <w:jc w:val="left"/>
            </w:pP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 xml:space="preserve">The candidate selects and refers to facts from the documentation which are relevant to legal submissions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D91948" w14:textId="77777777" w:rsidR="00CE5586" w:rsidRDefault="00236F80">
            <w:pPr>
              <w:numPr>
                <w:ilvl w:val="0"/>
                <w:numId w:val="8"/>
              </w:numPr>
              <w:spacing w:after="28" w:line="278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refers to all facts from the documentation, regardless of whether or </w:t>
            </w:r>
            <w:proofErr w:type="gramStart"/>
            <w:r>
              <w:rPr>
                <w:b w:val="0"/>
                <w:sz w:val="20"/>
              </w:rPr>
              <w:t>not  they</w:t>
            </w:r>
            <w:proofErr w:type="gramEnd"/>
            <w:r>
              <w:rPr>
                <w:b w:val="0"/>
                <w:sz w:val="20"/>
              </w:rPr>
              <w:t xml:space="preserve"> are relevant to legal submissions </w:t>
            </w:r>
          </w:p>
          <w:p w14:paraId="2BABA045" w14:textId="77777777" w:rsidR="00CE5586" w:rsidRDefault="00236F80">
            <w:pPr>
              <w:numPr>
                <w:ilvl w:val="0"/>
                <w:numId w:val="8"/>
              </w:numPr>
              <w:spacing w:after="22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refers only to irrelevant facts  </w:t>
            </w:r>
          </w:p>
          <w:p w14:paraId="72304AFC" w14:textId="77777777" w:rsidR="00CE5586" w:rsidRDefault="00236F80">
            <w:pPr>
              <w:numPr>
                <w:ilvl w:val="0"/>
                <w:numId w:val="8"/>
              </w:numPr>
              <w:spacing w:after="0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 does not refer to sufficient relevant facts to support their submissions </w:t>
            </w:r>
          </w:p>
        </w:tc>
      </w:tr>
      <w:tr w:rsidR="00CE5586" w14:paraId="20EEE662" w14:textId="77777777">
        <w:trPr>
          <w:trHeight w:val="410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6DCADBF" w14:textId="77777777" w:rsidR="00CE5586" w:rsidRDefault="00236F80">
            <w:pPr>
              <w:spacing w:after="0"/>
              <w:ind w:left="64"/>
              <w:jc w:val="left"/>
            </w:pPr>
            <w:r>
              <w:rPr>
                <w:i/>
                <w:sz w:val="20"/>
              </w:rPr>
              <w:t xml:space="preserve">Law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B022FFB" w14:textId="77777777" w:rsidR="00CE5586" w:rsidRDefault="00236F80">
            <w:pPr>
              <w:spacing w:after="0"/>
              <w:ind w:left="65"/>
              <w:jc w:val="left"/>
            </w:pPr>
            <w:r>
              <w:rPr>
                <w:i/>
                <w:sz w:val="20"/>
              </w:rPr>
              <w:t>Indicators demonstrating competence</w:t>
            </w: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DF7A7D7" w14:textId="77777777" w:rsidR="00CE5586" w:rsidRDefault="00236F80">
            <w:pPr>
              <w:spacing w:after="0"/>
              <w:jc w:val="left"/>
            </w:pPr>
            <w:r>
              <w:rPr>
                <w:i/>
                <w:sz w:val="20"/>
              </w:rPr>
              <w:t>Indicators that do not demonstrate competence</w:t>
            </w:r>
            <w:r>
              <w:rPr>
                <w:b w:val="0"/>
                <w:sz w:val="20"/>
              </w:rPr>
              <w:t xml:space="preserve"> </w:t>
            </w:r>
          </w:p>
        </w:tc>
      </w:tr>
      <w:tr w:rsidR="00CE5586" w14:paraId="29F32953" w14:textId="77777777">
        <w:trPr>
          <w:trHeight w:val="1289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08FA13" w14:textId="77777777" w:rsidR="00CE5586" w:rsidRDefault="00236F80">
            <w:pPr>
              <w:spacing w:after="0"/>
              <w:ind w:left="64"/>
              <w:jc w:val="left"/>
            </w:pPr>
            <w:r>
              <w:rPr>
                <w:sz w:val="20"/>
              </w:rPr>
              <w:t>Apply the law correctly to the client’s situation</w:t>
            </w:r>
            <w:r>
              <w:rPr>
                <w:i/>
                <w:sz w:val="20"/>
              </w:rPr>
              <w:t xml:space="preserve">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6E4E6B" w14:textId="77777777" w:rsidR="00CE5586" w:rsidRDefault="00236F80">
            <w:pPr>
              <w:spacing w:after="0"/>
              <w:ind w:left="379" w:hanging="314"/>
              <w:jc w:val="left"/>
            </w:pP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 xml:space="preserve">The candidate identifies the relevant </w:t>
            </w:r>
            <w:proofErr w:type="gramStart"/>
            <w:r>
              <w:rPr>
                <w:b w:val="0"/>
                <w:sz w:val="20"/>
              </w:rPr>
              <w:t xml:space="preserve">fundamental  </w:t>
            </w:r>
            <w:r>
              <w:rPr>
                <w:b w:val="0"/>
                <w:sz w:val="20"/>
              </w:rPr>
              <w:t>legal</w:t>
            </w:r>
            <w:proofErr w:type="gramEnd"/>
            <w:r>
              <w:rPr>
                <w:b w:val="0"/>
                <w:sz w:val="20"/>
              </w:rPr>
              <w:t xml:space="preserve"> principles in accordance with the SQE2 assessment specification and applies them correctly to the client’s case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C33C75" w14:textId="77777777" w:rsidR="00CE5586" w:rsidRDefault="00236F80">
            <w:pPr>
              <w:spacing w:after="0"/>
              <w:ind w:left="425" w:hanging="283"/>
              <w:jc w:val="left"/>
            </w:pP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 xml:space="preserve">The candidate does not identify and apply the correct legal principles to factual issues  </w:t>
            </w:r>
          </w:p>
        </w:tc>
      </w:tr>
      <w:tr w:rsidR="00CE5586" w14:paraId="326FEE90" w14:textId="77777777">
        <w:trPr>
          <w:trHeight w:val="1008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85204E" w14:textId="77777777" w:rsidR="00CE5586" w:rsidRDefault="00CE5586">
            <w:pPr>
              <w:spacing w:after="160"/>
              <w:jc w:val="left"/>
            </w:pP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5314B" w14:textId="77777777" w:rsidR="00CE5586" w:rsidRDefault="00CE5586">
            <w:pPr>
              <w:spacing w:after="160"/>
              <w:jc w:val="left"/>
            </w:pP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B0E5E3" w14:textId="77777777" w:rsidR="00CE5586" w:rsidRDefault="00236F80">
            <w:pPr>
              <w:spacing w:after="0"/>
              <w:ind w:left="360" w:hanging="283"/>
              <w:jc w:val="left"/>
            </w:pPr>
            <w:r>
              <w:rPr>
                <w:rFonts w:ascii="Segoe UI Symbol" w:eastAsia="Segoe UI Symbol" w:hAnsi="Segoe UI Symbol" w:cs="Segoe UI Symbol"/>
                <w:b w:val="0"/>
                <w:sz w:val="20"/>
              </w:rPr>
              <w:t></w:t>
            </w:r>
            <w:r>
              <w:rPr>
                <w:rFonts w:ascii="Arial" w:eastAsia="Arial" w:hAnsi="Arial" w:cs="Arial"/>
                <w:b w:val="0"/>
                <w:sz w:val="20"/>
              </w:rPr>
              <w:t xml:space="preserve"> </w:t>
            </w:r>
            <w:r>
              <w:rPr>
                <w:b w:val="0"/>
                <w:sz w:val="20"/>
              </w:rPr>
              <w:t xml:space="preserve">The candidate does not apply the correct legal principles in a way that addresses the client’s needs and concerns </w:t>
            </w:r>
          </w:p>
        </w:tc>
      </w:tr>
      <w:tr w:rsidR="00CE5586" w14:paraId="1F6BCB22" w14:textId="77777777">
        <w:trPr>
          <w:trHeight w:val="3591"/>
        </w:trPr>
        <w:tc>
          <w:tcPr>
            <w:tcW w:w="25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1FCD87" w14:textId="77777777" w:rsidR="00CE5586" w:rsidRDefault="00236F80">
            <w:pPr>
              <w:spacing w:after="0"/>
              <w:ind w:right="36"/>
              <w:jc w:val="left"/>
            </w:pPr>
            <w:r>
              <w:rPr>
                <w:sz w:val="20"/>
              </w:rPr>
              <w:t xml:space="preserve">Apply the law comprehensively to the client’s situation, identifying any ethical and professional conduct issues and exercising judgment to resolve them honestly and with integrity </w:t>
            </w:r>
          </w:p>
        </w:tc>
        <w:tc>
          <w:tcPr>
            <w:tcW w:w="56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1C64E5" w14:textId="77777777" w:rsidR="00CE5586" w:rsidRDefault="00236F80">
            <w:pPr>
              <w:numPr>
                <w:ilvl w:val="0"/>
                <w:numId w:val="9"/>
              </w:numPr>
              <w:spacing w:after="1" w:line="277" w:lineRule="auto"/>
              <w:ind w:hanging="283"/>
              <w:jc w:val="left"/>
            </w:pPr>
            <w:r>
              <w:rPr>
                <w:b w:val="0"/>
                <w:sz w:val="20"/>
              </w:rPr>
              <w:t xml:space="preserve">The candidate’s legal analysis is sufficiently detailed in the context of the client’s case e.g. assessing information to identify key issues and </w:t>
            </w:r>
            <w:proofErr w:type="gramStart"/>
            <w:r>
              <w:rPr>
                <w:b w:val="0"/>
                <w:sz w:val="20"/>
              </w:rPr>
              <w:t>risks;</w:t>
            </w:r>
            <w:proofErr w:type="gramEnd"/>
            <w:r>
              <w:rPr>
                <w:b w:val="0"/>
                <w:sz w:val="20"/>
              </w:rPr>
              <w:t xml:space="preserve"> reaching reasonable conclusions supported by relevant evidence </w:t>
            </w:r>
          </w:p>
          <w:p w14:paraId="02578F85" w14:textId="77777777" w:rsidR="00CE5586" w:rsidRDefault="00236F80">
            <w:pPr>
              <w:spacing w:after="45"/>
              <w:ind w:left="31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74298B20" w14:textId="77777777" w:rsidR="00CE5586" w:rsidRDefault="00236F80">
            <w:pPr>
              <w:numPr>
                <w:ilvl w:val="0"/>
                <w:numId w:val="9"/>
              </w:numPr>
              <w:spacing w:after="0"/>
              <w:ind w:hanging="283"/>
              <w:jc w:val="left"/>
            </w:pPr>
            <w:r>
              <w:rPr>
                <w:b w:val="0"/>
                <w:sz w:val="20"/>
              </w:rPr>
              <w:t xml:space="preserve">Where relevant, the candidate recognises ethical issues and exercises effective judgment in addressing them in accordance with the SRA principles and rules of professional conduct </w:t>
            </w:r>
          </w:p>
        </w:tc>
        <w:tc>
          <w:tcPr>
            <w:tcW w:w="5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CB321A" w14:textId="77777777" w:rsidR="00CE5586" w:rsidRDefault="00236F80">
            <w:pPr>
              <w:numPr>
                <w:ilvl w:val="0"/>
                <w:numId w:val="10"/>
              </w:numPr>
              <w:spacing w:after="0" w:line="278" w:lineRule="auto"/>
              <w:ind w:hanging="360"/>
              <w:jc w:val="left"/>
            </w:pPr>
            <w:r>
              <w:rPr>
                <w:b w:val="0"/>
                <w:sz w:val="20"/>
              </w:rPr>
              <w:t xml:space="preserve">The candidate’s legal analysis is not sufficiently detailed in the context of the client’s case e.g. the candidate demonstrates little or no understanding of the key issues; fails to use the evidence provided to reach reasonable conclusions  </w:t>
            </w:r>
          </w:p>
          <w:p w14:paraId="264DFA5F" w14:textId="77777777" w:rsidR="00CE5586" w:rsidRDefault="00236F80">
            <w:pPr>
              <w:spacing w:after="45"/>
              <w:ind w:left="36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188AC9C8" w14:textId="77777777" w:rsidR="00CE5586" w:rsidRDefault="00236F80">
            <w:pPr>
              <w:numPr>
                <w:ilvl w:val="0"/>
                <w:numId w:val="10"/>
              </w:numPr>
              <w:spacing w:after="0"/>
              <w:ind w:hanging="360"/>
              <w:jc w:val="left"/>
            </w:pPr>
            <w:r>
              <w:rPr>
                <w:b w:val="0"/>
                <w:sz w:val="20"/>
              </w:rPr>
              <w:t xml:space="preserve">The candidate does not recognise ethical issues or exercise effective judgment in addressing them in accordance with the SRA principles and rules of professional conduct </w:t>
            </w:r>
          </w:p>
        </w:tc>
      </w:tr>
    </w:tbl>
    <w:p w14:paraId="055CAA27" w14:textId="77777777" w:rsidR="00CE5586" w:rsidRDefault="00236F80">
      <w:pPr>
        <w:spacing w:after="177"/>
        <w:ind w:left="34"/>
        <w:jc w:val="both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EF842A1" w14:textId="7E781B94" w:rsidR="00CE5586" w:rsidRPr="00EC321E" w:rsidRDefault="00236F80">
      <w:pPr>
        <w:spacing w:after="0"/>
        <w:ind w:left="34"/>
        <w:jc w:val="both"/>
        <w:rPr>
          <w:rFonts w:ascii="Calibri" w:eastAsia="Calibri" w:hAnsi="Calibri" w:cs="Calibri"/>
          <w:bCs/>
          <w:sz w:val="44"/>
          <w:szCs w:val="44"/>
          <w:u w:val="single"/>
        </w:rPr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  <w:r w:rsidR="00EC321E" w:rsidRPr="00EC321E">
        <w:rPr>
          <w:rFonts w:ascii="Calibri" w:eastAsia="Calibri" w:hAnsi="Calibri" w:cs="Calibri"/>
          <w:bCs/>
          <w:sz w:val="44"/>
          <w:szCs w:val="44"/>
          <w:u w:val="single"/>
        </w:rPr>
        <w:t>For each criterion:</w:t>
      </w:r>
    </w:p>
    <w:p w14:paraId="49F549AB" w14:textId="77777777" w:rsidR="00EC321E" w:rsidRDefault="00EC321E">
      <w:pPr>
        <w:spacing w:after="0"/>
        <w:ind w:left="34"/>
        <w:jc w:val="both"/>
        <w:rPr>
          <w:rFonts w:ascii="Calibri" w:eastAsia="Calibri" w:hAnsi="Calibri" w:cs="Calibri"/>
          <w:b w:val="0"/>
          <w:sz w:val="22"/>
        </w:rPr>
      </w:pPr>
    </w:p>
    <w:p w14:paraId="4FD8FB4D" w14:textId="1B196754" w:rsidR="00EC321E" w:rsidRDefault="00EC321E">
      <w:pPr>
        <w:spacing w:after="0"/>
        <w:ind w:left="34"/>
        <w:jc w:val="both"/>
      </w:pPr>
      <w:r w:rsidRPr="00EC321E">
        <w:drawing>
          <wp:inline distT="0" distB="0" distL="0" distR="0" wp14:anchorId="389DC7F3" wp14:editId="27FB2B7C">
            <wp:extent cx="7223125" cy="4386580"/>
            <wp:effectExtent l="0" t="0" r="0" b="0"/>
            <wp:docPr id="16337451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745100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223125" cy="438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C321E">
      <w:pgSz w:w="16838" w:h="11906" w:orient="landscape"/>
      <w:pgMar w:top="1445" w:right="4057" w:bottom="1652" w:left="1406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F015A"/>
    <w:multiLevelType w:val="hybridMultilevel"/>
    <w:tmpl w:val="2A50A59C"/>
    <w:lvl w:ilvl="0" w:tplc="CFDE3512">
      <w:start w:val="1"/>
      <w:numFmt w:val="bullet"/>
      <w:lvlText w:val="•"/>
      <w:lvlJc w:val="left"/>
      <w:pPr>
        <w:ind w:left="3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19A50CC">
      <w:start w:val="1"/>
      <w:numFmt w:val="bullet"/>
      <w:lvlText w:val="o"/>
      <w:lvlJc w:val="left"/>
      <w:pPr>
        <w:ind w:left="126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D549E78">
      <w:start w:val="1"/>
      <w:numFmt w:val="bullet"/>
      <w:lvlText w:val="▪"/>
      <w:lvlJc w:val="left"/>
      <w:pPr>
        <w:ind w:left="19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21E6162">
      <w:start w:val="1"/>
      <w:numFmt w:val="bullet"/>
      <w:lvlText w:val="•"/>
      <w:lvlJc w:val="left"/>
      <w:pPr>
        <w:ind w:left="2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84218DC">
      <w:start w:val="1"/>
      <w:numFmt w:val="bullet"/>
      <w:lvlText w:val="o"/>
      <w:lvlJc w:val="left"/>
      <w:pPr>
        <w:ind w:left="342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9F60F14">
      <w:start w:val="1"/>
      <w:numFmt w:val="bullet"/>
      <w:lvlText w:val="▪"/>
      <w:lvlJc w:val="left"/>
      <w:pPr>
        <w:ind w:left="414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FC4BB9C">
      <w:start w:val="1"/>
      <w:numFmt w:val="bullet"/>
      <w:lvlText w:val="•"/>
      <w:lvlJc w:val="left"/>
      <w:pPr>
        <w:ind w:left="4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1DE1D6C">
      <w:start w:val="1"/>
      <w:numFmt w:val="bullet"/>
      <w:lvlText w:val="o"/>
      <w:lvlJc w:val="left"/>
      <w:pPr>
        <w:ind w:left="55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E76DDA2">
      <w:start w:val="1"/>
      <w:numFmt w:val="bullet"/>
      <w:lvlText w:val="▪"/>
      <w:lvlJc w:val="left"/>
      <w:pPr>
        <w:ind w:left="630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9D005D0"/>
    <w:multiLevelType w:val="hybridMultilevel"/>
    <w:tmpl w:val="4CD86B92"/>
    <w:lvl w:ilvl="0" w:tplc="627CAEB6">
      <w:start w:val="1"/>
      <w:numFmt w:val="bullet"/>
      <w:lvlText w:val="•"/>
      <w:lvlJc w:val="left"/>
      <w:pPr>
        <w:ind w:left="3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D64777A">
      <w:start w:val="1"/>
      <w:numFmt w:val="bullet"/>
      <w:lvlText w:val="o"/>
      <w:lvlJc w:val="left"/>
      <w:pPr>
        <w:ind w:left="126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DB6D09E">
      <w:start w:val="1"/>
      <w:numFmt w:val="bullet"/>
      <w:lvlText w:val="▪"/>
      <w:lvlJc w:val="left"/>
      <w:pPr>
        <w:ind w:left="19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B6AB4CC">
      <w:start w:val="1"/>
      <w:numFmt w:val="bullet"/>
      <w:lvlText w:val="•"/>
      <w:lvlJc w:val="left"/>
      <w:pPr>
        <w:ind w:left="2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A28D162">
      <w:start w:val="1"/>
      <w:numFmt w:val="bullet"/>
      <w:lvlText w:val="o"/>
      <w:lvlJc w:val="left"/>
      <w:pPr>
        <w:ind w:left="342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CECAD60">
      <w:start w:val="1"/>
      <w:numFmt w:val="bullet"/>
      <w:lvlText w:val="▪"/>
      <w:lvlJc w:val="left"/>
      <w:pPr>
        <w:ind w:left="414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DB617C4">
      <w:start w:val="1"/>
      <w:numFmt w:val="bullet"/>
      <w:lvlText w:val="•"/>
      <w:lvlJc w:val="left"/>
      <w:pPr>
        <w:ind w:left="4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5D2C380">
      <w:start w:val="1"/>
      <w:numFmt w:val="bullet"/>
      <w:lvlText w:val="o"/>
      <w:lvlJc w:val="left"/>
      <w:pPr>
        <w:ind w:left="55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6DACF24">
      <w:start w:val="1"/>
      <w:numFmt w:val="bullet"/>
      <w:lvlText w:val="▪"/>
      <w:lvlJc w:val="left"/>
      <w:pPr>
        <w:ind w:left="630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C3674ED"/>
    <w:multiLevelType w:val="hybridMultilevel"/>
    <w:tmpl w:val="CD5608C0"/>
    <w:lvl w:ilvl="0" w:tplc="FE9A1C22">
      <w:start w:val="1"/>
      <w:numFmt w:val="bullet"/>
      <w:lvlText w:val="•"/>
      <w:lvlJc w:val="left"/>
      <w:pPr>
        <w:ind w:left="4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FD2F2BC">
      <w:start w:val="1"/>
      <w:numFmt w:val="bullet"/>
      <w:lvlText w:val="o"/>
      <w:lvlJc w:val="left"/>
      <w:pPr>
        <w:ind w:left="126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A8ABEE0">
      <w:start w:val="1"/>
      <w:numFmt w:val="bullet"/>
      <w:lvlText w:val="▪"/>
      <w:lvlJc w:val="left"/>
      <w:pPr>
        <w:ind w:left="198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24C37AC">
      <w:start w:val="1"/>
      <w:numFmt w:val="bullet"/>
      <w:lvlText w:val="•"/>
      <w:lvlJc w:val="left"/>
      <w:pPr>
        <w:ind w:left="2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3FEFB6C">
      <w:start w:val="1"/>
      <w:numFmt w:val="bullet"/>
      <w:lvlText w:val="o"/>
      <w:lvlJc w:val="left"/>
      <w:pPr>
        <w:ind w:left="342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BA231AC">
      <w:start w:val="1"/>
      <w:numFmt w:val="bullet"/>
      <w:lvlText w:val="▪"/>
      <w:lvlJc w:val="left"/>
      <w:pPr>
        <w:ind w:left="414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9401816">
      <w:start w:val="1"/>
      <w:numFmt w:val="bullet"/>
      <w:lvlText w:val="•"/>
      <w:lvlJc w:val="left"/>
      <w:pPr>
        <w:ind w:left="486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B10FF52">
      <w:start w:val="1"/>
      <w:numFmt w:val="bullet"/>
      <w:lvlText w:val="o"/>
      <w:lvlJc w:val="left"/>
      <w:pPr>
        <w:ind w:left="558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AA32D946">
      <w:start w:val="1"/>
      <w:numFmt w:val="bullet"/>
      <w:lvlText w:val="▪"/>
      <w:lvlJc w:val="left"/>
      <w:pPr>
        <w:ind w:left="630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32453A6"/>
    <w:multiLevelType w:val="hybridMultilevel"/>
    <w:tmpl w:val="BE868AC2"/>
    <w:lvl w:ilvl="0" w:tplc="BE2AE6F6">
      <w:start w:val="1"/>
      <w:numFmt w:val="bullet"/>
      <w:lvlText w:val="•"/>
      <w:lvlJc w:val="left"/>
      <w:pPr>
        <w:ind w:left="3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44E6E5E">
      <w:start w:val="1"/>
      <w:numFmt w:val="bullet"/>
      <w:lvlText w:val="o"/>
      <w:lvlJc w:val="left"/>
      <w:pPr>
        <w:ind w:left="126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200390">
      <w:start w:val="1"/>
      <w:numFmt w:val="bullet"/>
      <w:lvlText w:val="▪"/>
      <w:lvlJc w:val="left"/>
      <w:pPr>
        <w:ind w:left="19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9B21926">
      <w:start w:val="1"/>
      <w:numFmt w:val="bullet"/>
      <w:lvlText w:val="•"/>
      <w:lvlJc w:val="left"/>
      <w:pPr>
        <w:ind w:left="2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FE833DC">
      <w:start w:val="1"/>
      <w:numFmt w:val="bullet"/>
      <w:lvlText w:val="o"/>
      <w:lvlJc w:val="left"/>
      <w:pPr>
        <w:ind w:left="342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A925CAE">
      <w:start w:val="1"/>
      <w:numFmt w:val="bullet"/>
      <w:lvlText w:val="▪"/>
      <w:lvlJc w:val="left"/>
      <w:pPr>
        <w:ind w:left="414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B38A8CE">
      <w:start w:val="1"/>
      <w:numFmt w:val="bullet"/>
      <w:lvlText w:val="•"/>
      <w:lvlJc w:val="left"/>
      <w:pPr>
        <w:ind w:left="4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DD64818">
      <w:start w:val="1"/>
      <w:numFmt w:val="bullet"/>
      <w:lvlText w:val="o"/>
      <w:lvlJc w:val="left"/>
      <w:pPr>
        <w:ind w:left="55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BDE0BE0">
      <w:start w:val="1"/>
      <w:numFmt w:val="bullet"/>
      <w:lvlText w:val="▪"/>
      <w:lvlJc w:val="left"/>
      <w:pPr>
        <w:ind w:left="630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3C97072"/>
    <w:multiLevelType w:val="hybridMultilevel"/>
    <w:tmpl w:val="3A809D7C"/>
    <w:lvl w:ilvl="0" w:tplc="0610DA1E">
      <w:start w:val="1"/>
      <w:numFmt w:val="bullet"/>
      <w:lvlText w:val="•"/>
      <w:lvlJc w:val="left"/>
      <w:pPr>
        <w:ind w:left="3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93E285E">
      <w:start w:val="1"/>
      <w:numFmt w:val="bullet"/>
      <w:lvlText w:val="o"/>
      <w:lvlJc w:val="left"/>
      <w:pPr>
        <w:ind w:left="121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1FFA346C">
      <w:start w:val="1"/>
      <w:numFmt w:val="bullet"/>
      <w:lvlText w:val="▪"/>
      <w:lvlJc w:val="left"/>
      <w:pPr>
        <w:ind w:left="193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93A165E">
      <w:start w:val="1"/>
      <w:numFmt w:val="bullet"/>
      <w:lvlText w:val="•"/>
      <w:lvlJc w:val="left"/>
      <w:pPr>
        <w:ind w:left="26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35E71F2">
      <w:start w:val="1"/>
      <w:numFmt w:val="bullet"/>
      <w:lvlText w:val="o"/>
      <w:lvlJc w:val="left"/>
      <w:pPr>
        <w:ind w:left="337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5FE7CE6">
      <w:start w:val="1"/>
      <w:numFmt w:val="bullet"/>
      <w:lvlText w:val="▪"/>
      <w:lvlJc w:val="left"/>
      <w:pPr>
        <w:ind w:left="409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7AEC046">
      <w:start w:val="1"/>
      <w:numFmt w:val="bullet"/>
      <w:lvlText w:val="•"/>
      <w:lvlJc w:val="left"/>
      <w:pPr>
        <w:ind w:left="481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A185D1E">
      <w:start w:val="1"/>
      <w:numFmt w:val="bullet"/>
      <w:lvlText w:val="o"/>
      <w:lvlJc w:val="left"/>
      <w:pPr>
        <w:ind w:left="553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CE2AC2D6">
      <w:start w:val="1"/>
      <w:numFmt w:val="bullet"/>
      <w:lvlText w:val="▪"/>
      <w:lvlJc w:val="left"/>
      <w:pPr>
        <w:ind w:left="625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4281DB0"/>
    <w:multiLevelType w:val="hybridMultilevel"/>
    <w:tmpl w:val="35128150"/>
    <w:lvl w:ilvl="0" w:tplc="757A230A">
      <w:start w:val="1"/>
      <w:numFmt w:val="bullet"/>
      <w:lvlText w:val="•"/>
      <w:lvlJc w:val="left"/>
      <w:pPr>
        <w:ind w:left="31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7DCFE30">
      <w:start w:val="1"/>
      <w:numFmt w:val="bullet"/>
      <w:lvlText w:val="o"/>
      <w:lvlJc w:val="left"/>
      <w:pPr>
        <w:ind w:left="121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5D87CB2">
      <w:start w:val="1"/>
      <w:numFmt w:val="bullet"/>
      <w:lvlText w:val="▪"/>
      <w:lvlJc w:val="left"/>
      <w:pPr>
        <w:ind w:left="193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864FC18">
      <w:start w:val="1"/>
      <w:numFmt w:val="bullet"/>
      <w:lvlText w:val="•"/>
      <w:lvlJc w:val="left"/>
      <w:pPr>
        <w:ind w:left="26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0A2C10E">
      <w:start w:val="1"/>
      <w:numFmt w:val="bullet"/>
      <w:lvlText w:val="o"/>
      <w:lvlJc w:val="left"/>
      <w:pPr>
        <w:ind w:left="337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CFC69A4">
      <w:start w:val="1"/>
      <w:numFmt w:val="bullet"/>
      <w:lvlText w:val="▪"/>
      <w:lvlJc w:val="left"/>
      <w:pPr>
        <w:ind w:left="409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FC04534">
      <w:start w:val="1"/>
      <w:numFmt w:val="bullet"/>
      <w:lvlText w:val="•"/>
      <w:lvlJc w:val="left"/>
      <w:pPr>
        <w:ind w:left="481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AF0A33E">
      <w:start w:val="1"/>
      <w:numFmt w:val="bullet"/>
      <w:lvlText w:val="o"/>
      <w:lvlJc w:val="left"/>
      <w:pPr>
        <w:ind w:left="553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8241FF0">
      <w:start w:val="1"/>
      <w:numFmt w:val="bullet"/>
      <w:lvlText w:val="▪"/>
      <w:lvlJc w:val="left"/>
      <w:pPr>
        <w:ind w:left="625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3E00421B"/>
    <w:multiLevelType w:val="hybridMultilevel"/>
    <w:tmpl w:val="AB3A48AE"/>
    <w:lvl w:ilvl="0" w:tplc="CB725268">
      <w:start w:val="1"/>
      <w:numFmt w:val="bullet"/>
      <w:lvlText w:val="•"/>
      <w:lvlJc w:val="left"/>
      <w:pPr>
        <w:ind w:left="27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10A4858">
      <w:start w:val="1"/>
      <w:numFmt w:val="bullet"/>
      <w:lvlText w:val="o"/>
      <w:lvlJc w:val="left"/>
      <w:pPr>
        <w:ind w:left="376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34E32F2">
      <w:start w:val="1"/>
      <w:numFmt w:val="bullet"/>
      <w:lvlText w:val="▪"/>
      <w:lvlJc w:val="left"/>
      <w:pPr>
        <w:ind w:left="44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A009F1E">
      <w:start w:val="1"/>
      <w:numFmt w:val="bullet"/>
      <w:lvlText w:val="•"/>
      <w:lvlJc w:val="left"/>
      <w:pPr>
        <w:ind w:left="52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7904594">
      <w:start w:val="1"/>
      <w:numFmt w:val="bullet"/>
      <w:lvlText w:val="o"/>
      <w:lvlJc w:val="left"/>
      <w:pPr>
        <w:ind w:left="592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410AC34">
      <w:start w:val="1"/>
      <w:numFmt w:val="bullet"/>
      <w:lvlText w:val="▪"/>
      <w:lvlJc w:val="left"/>
      <w:pPr>
        <w:ind w:left="664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980C38A">
      <w:start w:val="1"/>
      <w:numFmt w:val="bullet"/>
      <w:lvlText w:val="•"/>
      <w:lvlJc w:val="left"/>
      <w:pPr>
        <w:ind w:left="73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B28C650">
      <w:start w:val="1"/>
      <w:numFmt w:val="bullet"/>
      <w:lvlText w:val="o"/>
      <w:lvlJc w:val="left"/>
      <w:pPr>
        <w:ind w:left="80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5165ABA">
      <w:start w:val="1"/>
      <w:numFmt w:val="bullet"/>
      <w:lvlText w:val="▪"/>
      <w:lvlJc w:val="left"/>
      <w:pPr>
        <w:ind w:left="880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53D14A62"/>
    <w:multiLevelType w:val="hybridMultilevel"/>
    <w:tmpl w:val="AC7A56CA"/>
    <w:lvl w:ilvl="0" w:tplc="F9D4EAAE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2DAB25A">
      <w:start w:val="1"/>
      <w:numFmt w:val="bullet"/>
      <w:lvlText w:val="o"/>
      <w:lvlJc w:val="left"/>
      <w:pPr>
        <w:ind w:left="118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288D276">
      <w:start w:val="1"/>
      <w:numFmt w:val="bullet"/>
      <w:lvlText w:val="▪"/>
      <w:lvlJc w:val="left"/>
      <w:pPr>
        <w:ind w:left="190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48276EA">
      <w:start w:val="1"/>
      <w:numFmt w:val="bullet"/>
      <w:lvlText w:val="•"/>
      <w:lvlJc w:val="left"/>
      <w:pPr>
        <w:ind w:left="2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D06BE34">
      <w:start w:val="1"/>
      <w:numFmt w:val="bullet"/>
      <w:lvlText w:val="o"/>
      <w:lvlJc w:val="left"/>
      <w:pPr>
        <w:ind w:left="334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D18217A">
      <w:start w:val="1"/>
      <w:numFmt w:val="bullet"/>
      <w:lvlText w:val="▪"/>
      <w:lvlJc w:val="left"/>
      <w:pPr>
        <w:ind w:left="406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0F4B03A">
      <w:start w:val="1"/>
      <w:numFmt w:val="bullet"/>
      <w:lvlText w:val="•"/>
      <w:lvlJc w:val="left"/>
      <w:pPr>
        <w:ind w:left="478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60AD362">
      <w:start w:val="1"/>
      <w:numFmt w:val="bullet"/>
      <w:lvlText w:val="o"/>
      <w:lvlJc w:val="left"/>
      <w:pPr>
        <w:ind w:left="550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E62C694">
      <w:start w:val="1"/>
      <w:numFmt w:val="bullet"/>
      <w:lvlText w:val="▪"/>
      <w:lvlJc w:val="left"/>
      <w:pPr>
        <w:ind w:left="622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5C85210E"/>
    <w:multiLevelType w:val="hybridMultilevel"/>
    <w:tmpl w:val="5B9CD93E"/>
    <w:lvl w:ilvl="0" w:tplc="A70E7102">
      <w:start w:val="1"/>
      <w:numFmt w:val="bullet"/>
      <w:lvlText w:val="•"/>
      <w:lvlJc w:val="left"/>
      <w:pPr>
        <w:ind w:left="31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100A704">
      <w:start w:val="1"/>
      <w:numFmt w:val="bullet"/>
      <w:lvlText w:val="o"/>
      <w:lvlJc w:val="left"/>
      <w:pPr>
        <w:ind w:left="121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5804446">
      <w:start w:val="1"/>
      <w:numFmt w:val="bullet"/>
      <w:lvlText w:val="▪"/>
      <w:lvlJc w:val="left"/>
      <w:pPr>
        <w:ind w:left="193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A223DC8">
      <w:start w:val="1"/>
      <w:numFmt w:val="bullet"/>
      <w:lvlText w:val="•"/>
      <w:lvlJc w:val="left"/>
      <w:pPr>
        <w:ind w:left="26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FDC2AA0">
      <w:start w:val="1"/>
      <w:numFmt w:val="bullet"/>
      <w:lvlText w:val="o"/>
      <w:lvlJc w:val="left"/>
      <w:pPr>
        <w:ind w:left="337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3F82CEA">
      <w:start w:val="1"/>
      <w:numFmt w:val="bullet"/>
      <w:lvlText w:val="▪"/>
      <w:lvlJc w:val="left"/>
      <w:pPr>
        <w:ind w:left="409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CD80896">
      <w:start w:val="1"/>
      <w:numFmt w:val="bullet"/>
      <w:lvlText w:val="•"/>
      <w:lvlJc w:val="left"/>
      <w:pPr>
        <w:ind w:left="48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F1C2186">
      <w:start w:val="1"/>
      <w:numFmt w:val="bullet"/>
      <w:lvlText w:val="o"/>
      <w:lvlJc w:val="left"/>
      <w:pPr>
        <w:ind w:left="553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2623722">
      <w:start w:val="1"/>
      <w:numFmt w:val="bullet"/>
      <w:lvlText w:val="▪"/>
      <w:lvlJc w:val="left"/>
      <w:pPr>
        <w:ind w:left="62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646F473D"/>
    <w:multiLevelType w:val="hybridMultilevel"/>
    <w:tmpl w:val="8BA009E4"/>
    <w:lvl w:ilvl="0" w:tplc="EFB477AE">
      <w:start w:val="1"/>
      <w:numFmt w:val="bullet"/>
      <w:lvlText w:val="•"/>
      <w:lvlJc w:val="left"/>
      <w:pPr>
        <w:ind w:left="31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FFC9D2A">
      <w:start w:val="1"/>
      <w:numFmt w:val="bullet"/>
      <w:lvlText w:val="o"/>
      <w:lvlJc w:val="left"/>
      <w:pPr>
        <w:ind w:left="121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7C8A7DE">
      <w:start w:val="1"/>
      <w:numFmt w:val="bullet"/>
      <w:lvlText w:val="▪"/>
      <w:lvlJc w:val="left"/>
      <w:pPr>
        <w:ind w:left="193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2F62D42">
      <w:start w:val="1"/>
      <w:numFmt w:val="bullet"/>
      <w:lvlText w:val="•"/>
      <w:lvlJc w:val="left"/>
      <w:pPr>
        <w:ind w:left="26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B5E57F6">
      <w:start w:val="1"/>
      <w:numFmt w:val="bullet"/>
      <w:lvlText w:val="o"/>
      <w:lvlJc w:val="left"/>
      <w:pPr>
        <w:ind w:left="337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1681280">
      <w:start w:val="1"/>
      <w:numFmt w:val="bullet"/>
      <w:lvlText w:val="▪"/>
      <w:lvlJc w:val="left"/>
      <w:pPr>
        <w:ind w:left="409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D6E2C32">
      <w:start w:val="1"/>
      <w:numFmt w:val="bullet"/>
      <w:lvlText w:val="•"/>
      <w:lvlJc w:val="left"/>
      <w:pPr>
        <w:ind w:left="481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C96B43C">
      <w:start w:val="1"/>
      <w:numFmt w:val="bullet"/>
      <w:lvlText w:val="o"/>
      <w:lvlJc w:val="left"/>
      <w:pPr>
        <w:ind w:left="553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EB8BBD8">
      <w:start w:val="1"/>
      <w:numFmt w:val="bullet"/>
      <w:lvlText w:val="▪"/>
      <w:lvlJc w:val="left"/>
      <w:pPr>
        <w:ind w:left="6259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109617110">
    <w:abstractNumId w:val="8"/>
  </w:num>
  <w:num w:numId="2" w16cid:durableId="548421991">
    <w:abstractNumId w:val="1"/>
  </w:num>
  <w:num w:numId="3" w16cid:durableId="2122413554">
    <w:abstractNumId w:val="9"/>
  </w:num>
  <w:num w:numId="4" w16cid:durableId="54162076">
    <w:abstractNumId w:val="0"/>
  </w:num>
  <w:num w:numId="5" w16cid:durableId="1417288096">
    <w:abstractNumId w:val="5"/>
  </w:num>
  <w:num w:numId="6" w16cid:durableId="1993439282">
    <w:abstractNumId w:val="3"/>
  </w:num>
  <w:num w:numId="7" w16cid:durableId="1735618931">
    <w:abstractNumId w:val="6"/>
  </w:num>
  <w:num w:numId="8" w16cid:durableId="2046633158">
    <w:abstractNumId w:val="2"/>
  </w:num>
  <w:num w:numId="9" w16cid:durableId="297760053">
    <w:abstractNumId w:val="4"/>
  </w:num>
  <w:num w:numId="10" w16cid:durableId="18671904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5586"/>
    <w:rsid w:val="00236F80"/>
    <w:rsid w:val="00887E8C"/>
    <w:rsid w:val="00CE5586"/>
    <w:rsid w:val="00EC3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CB449"/>
  <w15:docId w15:val="{BD3AEC1C-60F2-4309-804E-CA6DA3AE6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1" w:line="259" w:lineRule="auto"/>
      <w:jc w:val="right"/>
    </w:pPr>
    <w:rPr>
      <w:rFonts w:ascii="Verdana" w:eastAsia="Verdana" w:hAnsi="Verdana" w:cs="Verdana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766</Words>
  <Characters>4372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- Marie Lynch</dc:creator>
  <cp:keywords/>
  <cp:lastModifiedBy>Cerys Davies</cp:lastModifiedBy>
  <cp:revision>2</cp:revision>
  <dcterms:created xsi:type="dcterms:W3CDTF">2025-10-28T17:52:00Z</dcterms:created>
  <dcterms:modified xsi:type="dcterms:W3CDTF">2025-10-28T17:52:00Z</dcterms:modified>
</cp:coreProperties>
</file>