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4"/>
          <w:szCs w:val="24"/>
        </w:rPr>
        <w:id w:val="538713154"/>
        <w:docPartObj>
          <w:docPartGallery w:val="Cover Pages"/>
          <w:docPartUnique/>
        </w:docPartObj>
      </w:sdtPr>
      <w:sdtContent>
        <w:p w14:paraId="5261B112" w14:textId="2F88CD90" w:rsidR="0029183D" w:rsidRPr="004F10A9" w:rsidRDefault="00F645B9" w:rsidP="00C81323">
          <w:pPr>
            <w:rPr>
              <w:rFonts w:ascii="Arial" w:hAnsi="Arial" w:cs="Arial"/>
              <w:sz w:val="24"/>
              <w:szCs w:val="24"/>
            </w:rPr>
          </w:pPr>
          <w:r>
            <w:rPr>
              <w:rFonts w:ascii="Arial" w:hAnsi="Arial" w:cs="Arial"/>
              <w:noProof/>
              <w:sz w:val="24"/>
              <w:szCs w:val="24"/>
            </w:rPr>
            <w:drawing>
              <wp:inline distT="0" distB="0" distL="0" distR="0" wp14:anchorId="2E42CDAD" wp14:editId="23B98D9A">
                <wp:extent cx="2165350" cy="1117557"/>
                <wp:effectExtent l="0" t="0" r="6350" b="6985"/>
                <wp:docPr id="1843564060" name="Picture 1" descr="A close-up of a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385193" name="Picture 1" descr="A close-up of a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92219" cy="1131424"/>
                        </a:xfrm>
                        <a:prstGeom prst="rect">
                          <a:avLst/>
                        </a:prstGeom>
                        <a:noFill/>
                      </pic:spPr>
                    </pic:pic>
                  </a:graphicData>
                </a:graphic>
              </wp:inline>
            </w:drawing>
          </w:r>
          <w:r w:rsidR="0029183D" w:rsidRPr="004F10A9">
            <w:rPr>
              <w:rFonts w:ascii="Arial" w:hAnsi="Arial" w:cs="Arial"/>
              <w:noProof/>
              <w:sz w:val="24"/>
              <w:szCs w:val="24"/>
            </w:rPr>
            <mc:AlternateContent>
              <mc:Choice Requires="wps">
                <w:drawing>
                  <wp:anchor distT="0" distB="0" distL="114300" distR="114300" simplePos="0" relativeHeight="251661312" behindDoc="0" locked="0" layoutInCell="1" allowOverlap="1" wp14:anchorId="333E79EA" wp14:editId="6714D72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CE8C40" w14:textId="0A4FB971" w:rsidR="0029183D" w:rsidRDefault="0029183D">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33E79EA" id="_x0000_t202" coordsize="21600,21600" o:spt="202" path="m,l,21600r21600,l21600,xe">
                    <v:stroke joinstyle="miter"/>
                    <v:path gradientshapeok="t" o:connecttype="rect"/>
                  </v:shapetype>
                  <v:shape id="Text Box 28"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qWWsSFsCAAAtBQAADgAAAAAAAAAAAAAAAAAuAgAAZHJzL2Uyb0RvYy54bWxQSwEC&#10;LQAUAAYACAAAACEA0UvQbtkAAAAEAQAADwAAAAAAAAAAAAAAAAC1BAAAZHJzL2Rvd25yZXYueG1s&#10;UEsFBgAAAAAEAAQA8wAAALsFAAAAAA==&#10;" filled="f" stroked="f" strokeweight=".5pt">
                    <v:textbox style="mso-fit-shape-to-text:t" inset="0,0,0,0">
                      <w:txbxContent>
                        <w:p w14:paraId="71CE8C40" w14:textId="0A4FB971" w:rsidR="0029183D" w:rsidRDefault="0029183D">
                          <w:pPr>
                            <w:pStyle w:val="NoSpacing"/>
                            <w:rPr>
                              <w:color w:val="595959" w:themeColor="text1" w:themeTint="A6"/>
                              <w:sz w:val="20"/>
                              <w:szCs w:val="20"/>
                            </w:rPr>
                          </w:pPr>
                        </w:p>
                      </w:txbxContent>
                    </v:textbox>
                    <w10:wrap anchorx="page" anchory="page"/>
                  </v:shape>
                </w:pict>
              </mc:Fallback>
            </mc:AlternateContent>
          </w:r>
        </w:p>
        <w:p w14:paraId="498F4529" w14:textId="0FCB3EED" w:rsidR="00F645B9" w:rsidRDefault="00F645B9" w:rsidP="00C81323">
          <w:pPr>
            <w:rPr>
              <w:rFonts w:ascii="Arial" w:hAnsi="Arial" w:cs="Arial"/>
              <w:sz w:val="24"/>
              <w:szCs w:val="24"/>
            </w:rPr>
          </w:pPr>
        </w:p>
        <w:p w14:paraId="185D17C0" w14:textId="77777777" w:rsidR="00F645B9" w:rsidRDefault="00F645B9" w:rsidP="00C81323">
          <w:pPr>
            <w:spacing w:line="360" w:lineRule="auto"/>
            <w:rPr>
              <w:rFonts w:ascii="Arial" w:hAnsi="Arial" w:cs="Arial"/>
              <w:sz w:val="24"/>
              <w:szCs w:val="24"/>
            </w:rPr>
          </w:pPr>
        </w:p>
        <w:p w14:paraId="4664D520" w14:textId="77777777" w:rsidR="00F645B9" w:rsidRDefault="00F645B9" w:rsidP="00C81323">
          <w:pPr>
            <w:spacing w:line="360" w:lineRule="auto"/>
            <w:rPr>
              <w:rFonts w:ascii="Arial" w:hAnsi="Arial" w:cs="Arial"/>
              <w:sz w:val="24"/>
              <w:szCs w:val="24"/>
            </w:rPr>
          </w:pPr>
        </w:p>
        <w:p w14:paraId="25510531" w14:textId="77777777" w:rsidR="00F645B9" w:rsidRDefault="00F645B9" w:rsidP="00C81323">
          <w:pPr>
            <w:spacing w:line="360" w:lineRule="auto"/>
            <w:rPr>
              <w:rFonts w:ascii="Arial" w:hAnsi="Arial" w:cs="Arial"/>
              <w:sz w:val="28"/>
              <w:szCs w:val="28"/>
            </w:rPr>
          </w:pPr>
          <w:r>
            <w:rPr>
              <w:rFonts w:ascii="Arial" w:hAnsi="Arial" w:cs="Arial"/>
              <w:sz w:val="24"/>
              <w:szCs w:val="24"/>
            </w:rPr>
            <w:tab/>
          </w:r>
          <w:r>
            <w:rPr>
              <w:rFonts w:ascii="Arial" w:hAnsi="Arial" w:cs="Arial"/>
              <w:sz w:val="24"/>
              <w:szCs w:val="24"/>
            </w:rPr>
            <w:tab/>
          </w:r>
          <w:r>
            <w:rPr>
              <w:rFonts w:ascii="Arial" w:hAnsi="Arial" w:cs="Arial"/>
              <w:sz w:val="24"/>
              <w:szCs w:val="24"/>
            </w:rPr>
            <w:tab/>
          </w:r>
        </w:p>
        <w:p w14:paraId="3040F71A" w14:textId="77777777" w:rsidR="00F645B9" w:rsidRDefault="00F645B9" w:rsidP="00C81323">
          <w:pPr>
            <w:spacing w:line="360" w:lineRule="auto"/>
            <w:rPr>
              <w:rFonts w:ascii="Arial" w:hAnsi="Arial" w:cs="Arial"/>
              <w:sz w:val="28"/>
              <w:szCs w:val="28"/>
            </w:rPr>
          </w:pPr>
        </w:p>
        <w:p w14:paraId="4754732B" w14:textId="77777777" w:rsidR="00F645B9" w:rsidRDefault="00F645B9" w:rsidP="00C81323">
          <w:pPr>
            <w:spacing w:line="360" w:lineRule="auto"/>
            <w:rPr>
              <w:rFonts w:ascii="Arial" w:hAnsi="Arial" w:cs="Arial"/>
              <w:sz w:val="28"/>
              <w:szCs w:val="28"/>
            </w:rPr>
          </w:pPr>
        </w:p>
        <w:p w14:paraId="0DD3007B" w14:textId="77777777" w:rsidR="00F645B9" w:rsidRDefault="00F645B9" w:rsidP="00C81323">
          <w:pPr>
            <w:spacing w:line="360" w:lineRule="auto"/>
            <w:rPr>
              <w:rFonts w:ascii="Arial" w:hAnsi="Arial" w:cs="Arial"/>
              <w:sz w:val="28"/>
              <w:szCs w:val="28"/>
            </w:rPr>
          </w:pPr>
        </w:p>
        <w:p w14:paraId="72C62993" w14:textId="77777777" w:rsidR="00F645B9" w:rsidRDefault="00F645B9" w:rsidP="00C81323">
          <w:pPr>
            <w:spacing w:line="360" w:lineRule="auto"/>
            <w:jc w:val="center"/>
            <w:rPr>
              <w:rFonts w:ascii="Arial" w:hAnsi="Arial" w:cs="Arial"/>
              <w:sz w:val="28"/>
              <w:szCs w:val="28"/>
            </w:rPr>
          </w:pPr>
          <w:r>
            <w:rPr>
              <w:rFonts w:ascii="Arial" w:hAnsi="Arial" w:cs="Arial"/>
              <w:sz w:val="28"/>
              <w:szCs w:val="28"/>
            </w:rPr>
            <w:t xml:space="preserve">Name: </w:t>
          </w:r>
          <w:r w:rsidRPr="00BB353E">
            <w:rPr>
              <w:rFonts w:ascii="Arial" w:hAnsi="Arial" w:cs="Arial"/>
              <w:sz w:val="28"/>
              <w:szCs w:val="28"/>
            </w:rPr>
            <w:t>Benilde Ferreira</w:t>
          </w:r>
        </w:p>
        <w:p w14:paraId="3AA9F978" w14:textId="77777777" w:rsidR="00F645B9" w:rsidRDefault="00F645B9" w:rsidP="00C81323">
          <w:pPr>
            <w:spacing w:line="360" w:lineRule="auto"/>
            <w:jc w:val="center"/>
            <w:rPr>
              <w:rFonts w:ascii="Arial" w:hAnsi="Arial" w:cs="Arial"/>
              <w:sz w:val="28"/>
              <w:szCs w:val="28"/>
            </w:rPr>
          </w:pPr>
          <w:r>
            <w:rPr>
              <w:rFonts w:ascii="Arial" w:hAnsi="Arial" w:cs="Arial"/>
              <w:sz w:val="28"/>
              <w:szCs w:val="28"/>
            </w:rPr>
            <w:t>Student ID: 2023283111</w:t>
          </w:r>
        </w:p>
        <w:p w14:paraId="378B9C70" w14:textId="248C6FCE" w:rsidR="00F645B9" w:rsidRPr="00F645B9" w:rsidRDefault="00F645B9" w:rsidP="00C81323">
          <w:pPr>
            <w:spacing w:line="360" w:lineRule="auto"/>
            <w:jc w:val="center"/>
            <w:rPr>
              <w:rFonts w:ascii="Arial" w:hAnsi="Arial" w:cs="Arial"/>
              <w:sz w:val="28"/>
              <w:szCs w:val="28"/>
            </w:rPr>
          </w:pPr>
          <w:r>
            <w:rPr>
              <w:rFonts w:ascii="Arial" w:hAnsi="Arial" w:cs="Arial"/>
              <w:sz w:val="28"/>
              <w:szCs w:val="28"/>
            </w:rPr>
            <w:t xml:space="preserve">Module: </w:t>
          </w:r>
          <w:r w:rsidRPr="00F645B9">
            <w:rPr>
              <w:rFonts w:ascii="Arial" w:hAnsi="Arial" w:cs="Arial"/>
              <w:sz w:val="28"/>
              <w:szCs w:val="28"/>
            </w:rPr>
            <w:t>A Strategic Change Plan for Jaguar Land Rover (JLR):</w:t>
          </w:r>
        </w:p>
        <w:p w14:paraId="01FD38A7" w14:textId="77777777" w:rsidR="00F645B9" w:rsidRPr="00F645B9" w:rsidRDefault="00F645B9" w:rsidP="00C81323">
          <w:pPr>
            <w:spacing w:before="200"/>
            <w:jc w:val="center"/>
            <w:rPr>
              <w:rFonts w:ascii="Arial" w:hAnsi="Arial" w:cs="Arial"/>
              <w:sz w:val="28"/>
              <w:szCs w:val="28"/>
            </w:rPr>
          </w:pPr>
          <w:r w:rsidRPr="00F645B9">
            <w:rPr>
              <w:rFonts w:ascii="Arial" w:hAnsi="Arial" w:cs="Arial"/>
              <w:sz w:val="28"/>
              <w:szCs w:val="28"/>
            </w:rPr>
            <w:t>Navigating Digital Disruption, Electrification and Organisational Change in the UK Automotive Sector</w:t>
          </w:r>
        </w:p>
        <w:p w14:paraId="390CD259" w14:textId="62E6F0AF" w:rsidR="00F645B9" w:rsidRDefault="00F645B9" w:rsidP="00C81323">
          <w:pPr>
            <w:spacing w:before="200"/>
            <w:jc w:val="center"/>
            <w:rPr>
              <w:rFonts w:ascii="Arial" w:hAnsi="Arial" w:cs="Arial"/>
              <w:sz w:val="28"/>
              <w:szCs w:val="28"/>
            </w:rPr>
          </w:pPr>
          <w:r>
            <w:rPr>
              <w:rFonts w:ascii="Arial" w:hAnsi="Arial" w:cs="Arial"/>
              <w:sz w:val="28"/>
              <w:szCs w:val="28"/>
            </w:rPr>
            <w:t>Module Code: LCLM6003</w:t>
          </w:r>
        </w:p>
        <w:p w14:paraId="3BEE6498" w14:textId="5B366E52" w:rsidR="00F645B9" w:rsidRDefault="00F645B9" w:rsidP="00C81323">
          <w:pPr>
            <w:spacing w:line="360" w:lineRule="auto"/>
            <w:jc w:val="center"/>
            <w:rPr>
              <w:rFonts w:ascii="Arial" w:hAnsi="Arial" w:cs="Arial"/>
              <w:sz w:val="28"/>
              <w:szCs w:val="28"/>
            </w:rPr>
          </w:pPr>
          <w:r>
            <w:rPr>
              <w:rFonts w:ascii="Arial" w:hAnsi="Arial" w:cs="Arial"/>
              <w:sz w:val="28"/>
              <w:szCs w:val="28"/>
            </w:rPr>
            <w:t xml:space="preserve">Lecturer: Dr. </w:t>
          </w:r>
          <w:proofErr w:type="spellStart"/>
          <w:r>
            <w:rPr>
              <w:rFonts w:ascii="Arial" w:hAnsi="Arial" w:cs="Arial"/>
              <w:sz w:val="28"/>
              <w:szCs w:val="28"/>
            </w:rPr>
            <w:t>Mustakkima</w:t>
          </w:r>
          <w:proofErr w:type="spellEnd"/>
          <w:r>
            <w:rPr>
              <w:rFonts w:ascii="Arial" w:hAnsi="Arial" w:cs="Arial"/>
              <w:sz w:val="28"/>
              <w:szCs w:val="28"/>
            </w:rPr>
            <w:t xml:space="preserve"> Afrin</w:t>
          </w:r>
        </w:p>
        <w:p w14:paraId="4395E0E7" w14:textId="77777777" w:rsidR="00F645B9" w:rsidRDefault="00F645B9" w:rsidP="00C81323">
          <w:pPr>
            <w:spacing w:line="360" w:lineRule="auto"/>
            <w:jc w:val="center"/>
            <w:rPr>
              <w:rFonts w:ascii="Arial" w:hAnsi="Arial" w:cs="Arial"/>
              <w:sz w:val="28"/>
              <w:szCs w:val="28"/>
            </w:rPr>
          </w:pPr>
        </w:p>
        <w:p w14:paraId="67E1D4E8" w14:textId="77777777" w:rsidR="00F645B9" w:rsidRDefault="00F645B9" w:rsidP="00C81323">
          <w:pPr>
            <w:spacing w:line="360" w:lineRule="auto"/>
            <w:jc w:val="center"/>
            <w:rPr>
              <w:rFonts w:ascii="Arial" w:hAnsi="Arial" w:cs="Arial"/>
              <w:sz w:val="28"/>
              <w:szCs w:val="28"/>
            </w:rPr>
          </w:pPr>
        </w:p>
        <w:p w14:paraId="5DB1C410" w14:textId="77777777" w:rsidR="00F645B9" w:rsidRDefault="00F645B9" w:rsidP="00C81323">
          <w:pPr>
            <w:spacing w:line="360" w:lineRule="auto"/>
            <w:jc w:val="center"/>
            <w:rPr>
              <w:rFonts w:ascii="Arial" w:hAnsi="Arial" w:cs="Arial"/>
              <w:sz w:val="28"/>
              <w:szCs w:val="28"/>
            </w:rPr>
          </w:pPr>
        </w:p>
        <w:p w14:paraId="07BB765A" w14:textId="77777777" w:rsidR="00F645B9" w:rsidRDefault="00F645B9" w:rsidP="00C81323">
          <w:pPr>
            <w:spacing w:line="360" w:lineRule="auto"/>
            <w:jc w:val="center"/>
            <w:rPr>
              <w:rFonts w:ascii="Arial" w:hAnsi="Arial" w:cs="Arial"/>
              <w:sz w:val="28"/>
              <w:szCs w:val="28"/>
            </w:rPr>
          </w:pPr>
        </w:p>
        <w:p w14:paraId="3DB81AAF" w14:textId="5233217F" w:rsidR="00F645B9" w:rsidRDefault="00F645B9" w:rsidP="00C81323">
          <w:pPr>
            <w:spacing w:line="360" w:lineRule="auto"/>
            <w:jc w:val="center"/>
            <w:rPr>
              <w:rFonts w:ascii="Arial" w:hAnsi="Arial" w:cs="Arial"/>
              <w:sz w:val="28"/>
              <w:szCs w:val="28"/>
            </w:rPr>
          </w:pPr>
          <w:r>
            <w:rPr>
              <w:rFonts w:ascii="Arial" w:hAnsi="Arial" w:cs="Arial"/>
              <w:sz w:val="28"/>
              <w:szCs w:val="28"/>
            </w:rPr>
            <w:t>Submitted on: /08/2026</w:t>
          </w:r>
        </w:p>
        <w:p w14:paraId="029FDA88" w14:textId="5AE48A0F" w:rsidR="00F645B9" w:rsidRDefault="00F645B9" w:rsidP="00C81323">
          <w:pPr>
            <w:rPr>
              <w:rFonts w:ascii="Arial" w:hAnsi="Arial" w:cs="Arial"/>
              <w:sz w:val="24"/>
              <w:szCs w:val="24"/>
            </w:rPr>
          </w:pPr>
        </w:p>
        <w:p w14:paraId="25DEF224" w14:textId="020E88B9" w:rsidR="0029183D" w:rsidRPr="004F10A9" w:rsidRDefault="00000000" w:rsidP="00C81323">
          <w:pPr>
            <w:rPr>
              <w:rFonts w:ascii="Arial" w:eastAsiaTheme="majorEastAsia" w:hAnsi="Arial" w:cs="Arial"/>
              <w:color w:val="2F5496" w:themeColor="accent1" w:themeShade="BF"/>
              <w:kern w:val="0"/>
              <w:sz w:val="24"/>
              <w:szCs w:val="24"/>
              <w:lang w:eastAsia="en-GB"/>
              <w14:ligatures w14:val="none"/>
            </w:rPr>
          </w:pPr>
        </w:p>
      </w:sdtContent>
    </w:sdt>
    <w:sdt>
      <w:sdtPr>
        <w:rPr>
          <w:rFonts w:ascii="Arial" w:hAnsi="Arial" w:cs="Arial"/>
          <w:sz w:val="24"/>
          <w:szCs w:val="24"/>
        </w:rPr>
        <w:id w:val="448198658"/>
        <w:docPartObj>
          <w:docPartGallery w:val="Table of Contents"/>
          <w:docPartUnique/>
        </w:docPartObj>
      </w:sdtPr>
      <w:sdtEndPr>
        <w:rPr>
          <w:b/>
          <w:bCs/>
        </w:rPr>
      </w:sdtEndPr>
      <w:sdtContent>
        <w:p w14:paraId="6EF2CB0D" w14:textId="77C04333" w:rsidR="0029183D" w:rsidRPr="004F10A9" w:rsidRDefault="0029183D" w:rsidP="00C81323">
          <w:pPr>
            <w:rPr>
              <w:rFonts w:ascii="Arial" w:hAnsi="Arial" w:cs="Arial"/>
              <w:sz w:val="24"/>
              <w:szCs w:val="24"/>
            </w:rPr>
          </w:pPr>
          <w:r w:rsidRPr="004F10A9">
            <w:rPr>
              <w:rFonts w:ascii="Arial" w:hAnsi="Arial" w:cs="Arial"/>
              <w:sz w:val="24"/>
              <w:szCs w:val="24"/>
            </w:rPr>
            <w:t>Contents</w:t>
          </w:r>
        </w:p>
        <w:p w14:paraId="639EF370" w14:textId="19206356" w:rsidR="005273C9" w:rsidRDefault="0029183D">
          <w:pPr>
            <w:pStyle w:val="TOC2"/>
            <w:tabs>
              <w:tab w:val="right" w:leader="dot" w:pos="9016"/>
            </w:tabs>
            <w:rPr>
              <w:rFonts w:eastAsiaTheme="minorEastAsia"/>
              <w:noProof/>
              <w:sz w:val="24"/>
              <w:szCs w:val="24"/>
              <w:lang w:eastAsia="en-GB"/>
            </w:rPr>
          </w:pPr>
          <w:r w:rsidRPr="004F10A9">
            <w:rPr>
              <w:rFonts w:ascii="Arial" w:hAnsi="Arial" w:cs="Arial"/>
              <w:sz w:val="24"/>
              <w:szCs w:val="24"/>
            </w:rPr>
            <w:fldChar w:fldCharType="begin"/>
          </w:r>
          <w:r w:rsidRPr="004F10A9">
            <w:rPr>
              <w:rFonts w:ascii="Arial" w:hAnsi="Arial" w:cs="Arial"/>
              <w:sz w:val="24"/>
              <w:szCs w:val="24"/>
            </w:rPr>
            <w:instrText xml:space="preserve"> TOC \o "1-3" \h \z \u </w:instrText>
          </w:r>
          <w:r w:rsidRPr="004F10A9">
            <w:rPr>
              <w:rFonts w:ascii="Arial" w:hAnsi="Arial" w:cs="Arial"/>
              <w:sz w:val="24"/>
              <w:szCs w:val="24"/>
            </w:rPr>
            <w:fldChar w:fldCharType="separate"/>
          </w:r>
          <w:hyperlink w:anchor="_Toc237007067" w:history="1">
            <w:r w:rsidR="005273C9" w:rsidRPr="00C806E0">
              <w:rPr>
                <w:rStyle w:val="Hyperlink"/>
                <w:noProof/>
              </w:rPr>
              <w:t>Executive Summary</w:t>
            </w:r>
            <w:r w:rsidR="005273C9">
              <w:rPr>
                <w:noProof/>
                <w:webHidden/>
              </w:rPr>
              <w:tab/>
            </w:r>
            <w:r w:rsidR="005273C9">
              <w:rPr>
                <w:noProof/>
                <w:webHidden/>
              </w:rPr>
              <w:fldChar w:fldCharType="begin"/>
            </w:r>
            <w:r w:rsidR="005273C9">
              <w:rPr>
                <w:noProof/>
                <w:webHidden/>
              </w:rPr>
              <w:instrText xml:space="preserve"> PAGEREF _Toc237007067 \h </w:instrText>
            </w:r>
            <w:r w:rsidR="005273C9">
              <w:rPr>
                <w:noProof/>
                <w:webHidden/>
              </w:rPr>
            </w:r>
            <w:r w:rsidR="005273C9">
              <w:rPr>
                <w:noProof/>
                <w:webHidden/>
              </w:rPr>
              <w:fldChar w:fldCharType="separate"/>
            </w:r>
            <w:r w:rsidR="005273C9">
              <w:rPr>
                <w:noProof/>
                <w:webHidden/>
              </w:rPr>
              <w:t>2</w:t>
            </w:r>
            <w:r w:rsidR="005273C9">
              <w:rPr>
                <w:noProof/>
                <w:webHidden/>
              </w:rPr>
              <w:fldChar w:fldCharType="end"/>
            </w:r>
          </w:hyperlink>
        </w:p>
        <w:p w14:paraId="63EDF48A" w14:textId="4122932B" w:rsidR="005273C9" w:rsidRDefault="005273C9">
          <w:pPr>
            <w:pStyle w:val="TOC2"/>
            <w:tabs>
              <w:tab w:val="left" w:pos="720"/>
              <w:tab w:val="right" w:leader="dot" w:pos="9016"/>
            </w:tabs>
            <w:rPr>
              <w:rFonts w:eastAsiaTheme="minorEastAsia"/>
              <w:noProof/>
              <w:sz w:val="24"/>
              <w:szCs w:val="24"/>
              <w:lang w:eastAsia="en-GB"/>
            </w:rPr>
          </w:pPr>
          <w:hyperlink w:anchor="_Toc237007068" w:history="1">
            <w:r w:rsidRPr="00C806E0">
              <w:rPr>
                <w:rStyle w:val="Hyperlink"/>
                <w:noProof/>
              </w:rPr>
              <w:t>1.</w:t>
            </w:r>
            <w:r>
              <w:rPr>
                <w:rFonts w:eastAsiaTheme="minorEastAsia"/>
                <w:noProof/>
                <w:sz w:val="24"/>
                <w:szCs w:val="24"/>
                <w:lang w:eastAsia="en-GB"/>
              </w:rPr>
              <w:tab/>
            </w:r>
            <w:r w:rsidRPr="00C806E0">
              <w:rPr>
                <w:rStyle w:val="Hyperlink"/>
                <w:noProof/>
              </w:rPr>
              <w:t>Introduction</w:t>
            </w:r>
            <w:r>
              <w:rPr>
                <w:noProof/>
                <w:webHidden/>
              </w:rPr>
              <w:tab/>
            </w:r>
            <w:r>
              <w:rPr>
                <w:noProof/>
                <w:webHidden/>
              </w:rPr>
              <w:fldChar w:fldCharType="begin"/>
            </w:r>
            <w:r>
              <w:rPr>
                <w:noProof/>
                <w:webHidden/>
              </w:rPr>
              <w:instrText xml:space="preserve"> PAGEREF _Toc237007068 \h </w:instrText>
            </w:r>
            <w:r>
              <w:rPr>
                <w:noProof/>
                <w:webHidden/>
              </w:rPr>
            </w:r>
            <w:r>
              <w:rPr>
                <w:noProof/>
                <w:webHidden/>
              </w:rPr>
              <w:fldChar w:fldCharType="separate"/>
            </w:r>
            <w:r>
              <w:rPr>
                <w:noProof/>
                <w:webHidden/>
              </w:rPr>
              <w:t>3</w:t>
            </w:r>
            <w:r>
              <w:rPr>
                <w:noProof/>
                <w:webHidden/>
              </w:rPr>
              <w:fldChar w:fldCharType="end"/>
            </w:r>
          </w:hyperlink>
        </w:p>
        <w:p w14:paraId="3ACB3EB4" w14:textId="2833D06B" w:rsidR="005273C9" w:rsidRDefault="005273C9">
          <w:pPr>
            <w:pStyle w:val="TOC2"/>
            <w:tabs>
              <w:tab w:val="right" w:leader="dot" w:pos="9016"/>
            </w:tabs>
            <w:rPr>
              <w:rFonts w:eastAsiaTheme="minorEastAsia"/>
              <w:noProof/>
              <w:sz w:val="24"/>
              <w:szCs w:val="24"/>
              <w:lang w:eastAsia="en-GB"/>
            </w:rPr>
          </w:pPr>
          <w:hyperlink w:anchor="_Toc237007069" w:history="1">
            <w:r w:rsidRPr="00C806E0">
              <w:rPr>
                <w:rStyle w:val="Hyperlink"/>
                <w:noProof/>
              </w:rPr>
              <w:t>2. Recent History and the Impact of Environmental Change 2.1 The Reimagine strategy</w:t>
            </w:r>
            <w:r>
              <w:rPr>
                <w:noProof/>
                <w:webHidden/>
              </w:rPr>
              <w:tab/>
            </w:r>
            <w:r>
              <w:rPr>
                <w:noProof/>
                <w:webHidden/>
              </w:rPr>
              <w:fldChar w:fldCharType="begin"/>
            </w:r>
            <w:r>
              <w:rPr>
                <w:noProof/>
                <w:webHidden/>
              </w:rPr>
              <w:instrText xml:space="preserve"> PAGEREF _Toc237007069 \h </w:instrText>
            </w:r>
            <w:r>
              <w:rPr>
                <w:noProof/>
                <w:webHidden/>
              </w:rPr>
            </w:r>
            <w:r>
              <w:rPr>
                <w:noProof/>
                <w:webHidden/>
              </w:rPr>
              <w:fldChar w:fldCharType="separate"/>
            </w:r>
            <w:r>
              <w:rPr>
                <w:noProof/>
                <w:webHidden/>
              </w:rPr>
              <w:t>4</w:t>
            </w:r>
            <w:r>
              <w:rPr>
                <w:noProof/>
                <w:webHidden/>
              </w:rPr>
              <w:fldChar w:fldCharType="end"/>
            </w:r>
          </w:hyperlink>
        </w:p>
        <w:p w14:paraId="223160CD" w14:textId="3B5A30DD" w:rsidR="005273C9" w:rsidRDefault="005273C9">
          <w:pPr>
            <w:pStyle w:val="TOC2"/>
            <w:tabs>
              <w:tab w:val="right" w:leader="dot" w:pos="9016"/>
            </w:tabs>
            <w:rPr>
              <w:rFonts w:eastAsiaTheme="minorEastAsia"/>
              <w:noProof/>
              <w:sz w:val="24"/>
              <w:szCs w:val="24"/>
              <w:lang w:eastAsia="en-GB"/>
            </w:rPr>
          </w:pPr>
          <w:hyperlink w:anchor="_Toc237007070" w:history="1">
            <w:r w:rsidRPr="00C806E0">
              <w:rPr>
                <w:rStyle w:val="Hyperlink"/>
                <w:noProof/>
              </w:rPr>
              <w:t>2.3 External volatility: markets and tariffs</w:t>
            </w:r>
            <w:r>
              <w:rPr>
                <w:noProof/>
                <w:webHidden/>
              </w:rPr>
              <w:tab/>
            </w:r>
            <w:r>
              <w:rPr>
                <w:noProof/>
                <w:webHidden/>
              </w:rPr>
              <w:fldChar w:fldCharType="begin"/>
            </w:r>
            <w:r>
              <w:rPr>
                <w:noProof/>
                <w:webHidden/>
              </w:rPr>
              <w:instrText xml:space="preserve"> PAGEREF _Toc237007070 \h </w:instrText>
            </w:r>
            <w:r>
              <w:rPr>
                <w:noProof/>
                <w:webHidden/>
              </w:rPr>
            </w:r>
            <w:r>
              <w:rPr>
                <w:noProof/>
                <w:webHidden/>
              </w:rPr>
              <w:fldChar w:fldCharType="separate"/>
            </w:r>
            <w:r>
              <w:rPr>
                <w:noProof/>
                <w:webHidden/>
              </w:rPr>
              <w:t>5</w:t>
            </w:r>
            <w:r>
              <w:rPr>
                <w:noProof/>
                <w:webHidden/>
              </w:rPr>
              <w:fldChar w:fldCharType="end"/>
            </w:r>
          </w:hyperlink>
        </w:p>
        <w:p w14:paraId="5B5B510B" w14:textId="4D589F59" w:rsidR="005273C9" w:rsidRDefault="005273C9">
          <w:pPr>
            <w:pStyle w:val="TOC2"/>
            <w:tabs>
              <w:tab w:val="right" w:leader="dot" w:pos="9016"/>
            </w:tabs>
            <w:rPr>
              <w:rFonts w:eastAsiaTheme="minorEastAsia"/>
              <w:noProof/>
              <w:sz w:val="24"/>
              <w:szCs w:val="24"/>
              <w:lang w:eastAsia="en-GB"/>
            </w:rPr>
          </w:pPr>
          <w:hyperlink w:anchor="_Toc237007071" w:history="1">
            <w:r w:rsidRPr="00C806E0">
              <w:rPr>
                <w:rStyle w:val="Hyperlink"/>
                <w:noProof/>
              </w:rPr>
              <w:t>3. Evaluating Change Management Models Applied to JLR</w:t>
            </w:r>
            <w:r>
              <w:rPr>
                <w:noProof/>
                <w:webHidden/>
              </w:rPr>
              <w:tab/>
            </w:r>
            <w:r>
              <w:rPr>
                <w:noProof/>
                <w:webHidden/>
              </w:rPr>
              <w:fldChar w:fldCharType="begin"/>
            </w:r>
            <w:r>
              <w:rPr>
                <w:noProof/>
                <w:webHidden/>
              </w:rPr>
              <w:instrText xml:space="preserve"> PAGEREF _Toc237007071 \h </w:instrText>
            </w:r>
            <w:r>
              <w:rPr>
                <w:noProof/>
                <w:webHidden/>
              </w:rPr>
            </w:r>
            <w:r>
              <w:rPr>
                <w:noProof/>
                <w:webHidden/>
              </w:rPr>
              <w:fldChar w:fldCharType="separate"/>
            </w:r>
            <w:r>
              <w:rPr>
                <w:noProof/>
                <w:webHidden/>
              </w:rPr>
              <w:t>5</w:t>
            </w:r>
            <w:r>
              <w:rPr>
                <w:noProof/>
                <w:webHidden/>
              </w:rPr>
              <w:fldChar w:fldCharType="end"/>
            </w:r>
          </w:hyperlink>
        </w:p>
        <w:p w14:paraId="5940F227" w14:textId="1FF3AD8E" w:rsidR="005273C9" w:rsidRDefault="005273C9">
          <w:pPr>
            <w:pStyle w:val="TOC2"/>
            <w:tabs>
              <w:tab w:val="right" w:leader="dot" w:pos="9016"/>
            </w:tabs>
            <w:rPr>
              <w:rFonts w:eastAsiaTheme="minorEastAsia"/>
              <w:noProof/>
              <w:sz w:val="24"/>
              <w:szCs w:val="24"/>
              <w:lang w:eastAsia="en-GB"/>
            </w:rPr>
          </w:pPr>
          <w:hyperlink w:anchor="_Toc237007072" w:history="1">
            <w:r w:rsidRPr="00C806E0">
              <w:rPr>
                <w:rStyle w:val="Hyperlink"/>
                <w:noProof/>
              </w:rPr>
              <w:t>3.1 Force field analysis of the cyberattack response</w:t>
            </w:r>
            <w:r>
              <w:rPr>
                <w:noProof/>
                <w:webHidden/>
              </w:rPr>
              <w:tab/>
            </w:r>
            <w:r>
              <w:rPr>
                <w:noProof/>
                <w:webHidden/>
              </w:rPr>
              <w:fldChar w:fldCharType="begin"/>
            </w:r>
            <w:r>
              <w:rPr>
                <w:noProof/>
                <w:webHidden/>
              </w:rPr>
              <w:instrText xml:space="preserve"> PAGEREF _Toc237007072 \h </w:instrText>
            </w:r>
            <w:r>
              <w:rPr>
                <w:noProof/>
                <w:webHidden/>
              </w:rPr>
            </w:r>
            <w:r>
              <w:rPr>
                <w:noProof/>
                <w:webHidden/>
              </w:rPr>
              <w:fldChar w:fldCharType="separate"/>
            </w:r>
            <w:r>
              <w:rPr>
                <w:noProof/>
                <w:webHidden/>
              </w:rPr>
              <w:t>5</w:t>
            </w:r>
            <w:r>
              <w:rPr>
                <w:noProof/>
                <w:webHidden/>
              </w:rPr>
              <w:fldChar w:fldCharType="end"/>
            </w:r>
          </w:hyperlink>
        </w:p>
        <w:p w14:paraId="2B96B63C" w14:textId="1410E054" w:rsidR="005273C9" w:rsidRDefault="005273C9">
          <w:pPr>
            <w:pStyle w:val="TOC2"/>
            <w:tabs>
              <w:tab w:val="right" w:leader="dot" w:pos="9016"/>
            </w:tabs>
            <w:rPr>
              <w:rFonts w:eastAsiaTheme="minorEastAsia"/>
              <w:noProof/>
              <w:sz w:val="24"/>
              <w:szCs w:val="24"/>
              <w:lang w:eastAsia="en-GB"/>
            </w:rPr>
          </w:pPr>
          <w:hyperlink w:anchor="_Toc237007073" w:history="1">
            <w:r w:rsidRPr="00C806E0">
              <w:rPr>
                <w:rStyle w:val="Hyperlink"/>
                <w:rFonts w:ascii="Arial" w:hAnsi="Arial" w:cs="Arial"/>
                <w:noProof/>
              </w:rPr>
              <w:t>3.3 ADKAR</w:t>
            </w:r>
            <w:r>
              <w:rPr>
                <w:noProof/>
                <w:webHidden/>
              </w:rPr>
              <w:tab/>
            </w:r>
            <w:r>
              <w:rPr>
                <w:noProof/>
                <w:webHidden/>
              </w:rPr>
              <w:fldChar w:fldCharType="begin"/>
            </w:r>
            <w:r>
              <w:rPr>
                <w:noProof/>
                <w:webHidden/>
              </w:rPr>
              <w:instrText xml:space="preserve"> PAGEREF _Toc237007073 \h </w:instrText>
            </w:r>
            <w:r>
              <w:rPr>
                <w:noProof/>
                <w:webHidden/>
              </w:rPr>
            </w:r>
            <w:r>
              <w:rPr>
                <w:noProof/>
                <w:webHidden/>
              </w:rPr>
              <w:fldChar w:fldCharType="separate"/>
            </w:r>
            <w:r>
              <w:rPr>
                <w:noProof/>
                <w:webHidden/>
              </w:rPr>
              <w:t>7</w:t>
            </w:r>
            <w:r>
              <w:rPr>
                <w:noProof/>
                <w:webHidden/>
              </w:rPr>
              <w:fldChar w:fldCharType="end"/>
            </w:r>
          </w:hyperlink>
        </w:p>
        <w:p w14:paraId="4FD9DD22" w14:textId="0D50AA7F" w:rsidR="005273C9" w:rsidRDefault="005273C9">
          <w:pPr>
            <w:pStyle w:val="TOC2"/>
            <w:tabs>
              <w:tab w:val="right" w:leader="dot" w:pos="9016"/>
            </w:tabs>
            <w:rPr>
              <w:rFonts w:eastAsiaTheme="minorEastAsia"/>
              <w:noProof/>
              <w:sz w:val="24"/>
              <w:szCs w:val="24"/>
              <w:lang w:eastAsia="en-GB"/>
            </w:rPr>
          </w:pPr>
          <w:hyperlink w:anchor="_Toc237007074" w:history="1">
            <w:r w:rsidRPr="00C806E0">
              <w:rPr>
                <w:rStyle w:val="Hyperlink"/>
                <w:noProof/>
              </w:rPr>
              <w:t>3.4 McKinsey 7S and comparative evaluation</w:t>
            </w:r>
            <w:r>
              <w:rPr>
                <w:noProof/>
                <w:webHidden/>
              </w:rPr>
              <w:tab/>
            </w:r>
            <w:r>
              <w:rPr>
                <w:noProof/>
                <w:webHidden/>
              </w:rPr>
              <w:fldChar w:fldCharType="begin"/>
            </w:r>
            <w:r>
              <w:rPr>
                <w:noProof/>
                <w:webHidden/>
              </w:rPr>
              <w:instrText xml:space="preserve"> PAGEREF _Toc237007074 \h </w:instrText>
            </w:r>
            <w:r>
              <w:rPr>
                <w:noProof/>
                <w:webHidden/>
              </w:rPr>
            </w:r>
            <w:r>
              <w:rPr>
                <w:noProof/>
                <w:webHidden/>
              </w:rPr>
              <w:fldChar w:fldCharType="separate"/>
            </w:r>
            <w:r>
              <w:rPr>
                <w:noProof/>
                <w:webHidden/>
              </w:rPr>
              <w:t>8</w:t>
            </w:r>
            <w:r>
              <w:rPr>
                <w:noProof/>
                <w:webHidden/>
              </w:rPr>
              <w:fldChar w:fldCharType="end"/>
            </w:r>
          </w:hyperlink>
        </w:p>
        <w:p w14:paraId="74054A2C" w14:textId="054FEA2C" w:rsidR="005273C9" w:rsidRDefault="005273C9">
          <w:pPr>
            <w:pStyle w:val="TOC2"/>
            <w:tabs>
              <w:tab w:val="right" w:leader="dot" w:pos="9016"/>
            </w:tabs>
            <w:rPr>
              <w:rFonts w:eastAsiaTheme="minorEastAsia"/>
              <w:noProof/>
              <w:sz w:val="24"/>
              <w:szCs w:val="24"/>
              <w:lang w:eastAsia="en-GB"/>
            </w:rPr>
          </w:pPr>
          <w:hyperlink w:anchor="_Toc237007075" w:history="1">
            <w:r w:rsidRPr="00C806E0">
              <w:rPr>
                <w:rStyle w:val="Hyperlink"/>
                <w:noProof/>
              </w:rPr>
              <w:t>5.2 Stakeholder analysis</w:t>
            </w:r>
            <w:r>
              <w:rPr>
                <w:noProof/>
                <w:webHidden/>
              </w:rPr>
              <w:tab/>
            </w:r>
            <w:r>
              <w:rPr>
                <w:noProof/>
                <w:webHidden/>
              </w:rPr>
              <w:fldChar w:fldCharType="begin"/>
            </w:r>
            <w:r>
              <w:rPr>
                <w:noProof/>
                <w:webHidden/>
              </w:rPr>
              <w:instrText xml:space="preserve"> PAGEREF _Toc237007075 \h </w:instrText>
            </w:r>
            <w:r>
              <w:rPr>
                <w:noProof/>
                <w:webHidden/>
              </w:rPr>
            </w:r>
            <w:r>
              <w:rPr>
                <w:noProof/>
                <w:webHidden/>
              </w:rPr>
              <w:fldChar w:fldCharType="separate"/>
            </w:r>
            <w:r>
              <w:rPr>
                <w:noProof/>
                <w:webHidden/>
              </w:rPr>
              <w:t>11</w:t>
            </w:r>
            <w:r>
              <w:rPr>
                <w:noProof/>
                <w:webHidden/>
              </w:rPr>
              <w:fldChar w:fldCharType="end"/>
            </w:r>
          </w:hyperlink>
        </w:p>
        <w:p w14:paraId="09FB7E9C" w14:textId="12475C93" w:rsidR="005273C9" w:rsidRDefault="005273C9">
          <w:pPr>
            <w:pStyle w:val="TOC2"/>
            <w:tabs>
              <w:tab w:val="right" w:leader="dot" w:pos="9016"/>
            </w:tabs>
            <w:rPr>
              <w:rFonts w:eastAsiaTheme="minorEastAsia"/>
              <w:noProof/>
              <w:sz w:val="24"/>
              <w:szCs w:val="24"/>
              <w:lang w:eastAsia="en-GB"/>
            </w:rPr>
          </w:pPr>
          <w:hyperlink w:anchor="_Toc237007076" w:history="1">
            <w:r w:rsidRPr="00C806E0">
              <w:rPr>
                <w:rStyle w:val="Hyperlink"/>
                <w:noProof/>
              </w:rPr>
              <w:t>5.3 Financial plan</w:t>
            </w:r>
            <w:r>
              <w:rPr>
                <w:noProof/>
                <w:webHidden/>
              </w:rPr>
              <w:tab/>
            </w:r>
            <w:r>
              <w:rPr>
                <w:noProof/>
                <w:webHidden/>
              </w:rPr>
              <w:fldChar w:fldCharType="begin"/>
            </w:r>
            <w:r>
              <w:rPr>
                <w:noProof/>
                <w:webHidden/>
              </w:rPr>
              <w:instrText xml:space="preserve"> PAGEREF _Toc237007076 \h </w:instrText>
            </w:r>
            <w:r>
              <w:rPr>
                <w:noProof/>
                <w:webHidden/>
              </w:rPr>
            </w:r>
            <w:r>
              <w:rPr>
                <w:noProof/>
                <w:webHidden/>
              </w:rPr>
              <w:fldChar w:fldCharType="separate"/>
            </w:r>
            <w:r>
              <w:rPr>
                <w:noProof/>
                <w:webHidden/>
              </w:rPr>
              <w:t>11</w:t>
            </w:r>
            <w:r>
              <w:rPr>
                <w:noProof/>
                <w:webHidden/>
              </w:rPr>
              <w:fldChar w:fldCharType="end"/>
            </w:r>
          </w:hyperlink>
        </w:p>
        <w:p w14:paraId="1034EDA2" w14:textId="4AEE1C53" w:rsidR="005273C9" w:rsidRDefault="005273C9">
          <w:pPr>
            <w:pStyle w:val="TOC2"/>
            <w:tabs>
              <w:tab w:val="right" w:leader="dot" w:pos="9016"/>
            </w:tabs>
            <w:rPr>
              <w:rFonts w:eastAsiaTheme="minorEastAsia"/>
              <w:noProof/>
              <w:sz w:val="24"/>
              <w:szCs w:val="24"/>
              <w:lang w:eastAsia="en-GB"/>
            </w:rPr>
          </w:pPr>
          <w:hyperlink w:anchor="_Toc237007077" w:history="1">
            <w:r w:rsidRPr="00C806E0">
              <w:rPr>
                <w:rStyle w:val="Hyperlink"/>
                <w:noProof/>
              </w:rPr>
              <w:t>5.5 Evaluation plan</w:t>
            </w:r>
            <w:r>
              <w:rPr>
                <w:noProof/>
                <w:webHidden/>
              </w:rPr>
              <w:tab/>
            </w:r>
            <w:r>
              <w:rPr>
                <w:noProof/>
                <w:webHidden/>
              </w:rPr>
              <w:fldChar w:fldCharType="begin"/>
            </w:r>
            <w:r>
              <w:rPr>
                <w:noProof/>
                <w:webHidden/>
              </w:rPr>
              <w:instrText xml:space="preserve"> PAGEREF _Toc237007077 \h </w:instrText>
            </w:r>
            <w:r>
              <w:rPr>
                <w:noProof/>
                <w:webHidden/>
              </w:rPr>
            </w:r>
            <w:r>
              <w:rPr>
                <w:noProof/>
                <w:webHidden/>
              </w:rPr>
              <w:fldChar w:fldCharType="separate"/>
            </w:r>
            <w:r>
              <w:rPr>
                <w:noProof/>
                <w:webHidden/>
              </w:rPr>
              <w:t>12</w:t>
            </w:r>
            <w:r>
              <w:rPr>
                <w:noProof/>
                <w:webHidden/>
              </w:rPr>
              <w:fldChar w:fldCharType="end"/>
            </w:r>
          </w:hyperlink>
        </w:p>
        <w:p w14:paraId="598D13DA" w14:textId="383FDE4A" w:rsidR="005273C9" w:rsidRDefault="005273C9">
          <w:pPr>
            <w:pStyle w:val="TOC2"/>
            <w:tabs>
              <w:tab w:val="right" w:leader="dot" w:pos="9016"/>
            </w:tabs>
            <w:rPr>
              <w:rFonts w:eastAsiaTheme="minorEastAsia"/>
              <w:noProof/>
              <w:sz w:val="24"/>
              <w:szCs w:val="24"/>
              <w:lang w:eastAsia="en-GB"/>
            </w:rPr>
          </w:pPr>
          <w:hyperlink w:anchor="_Toc237007078" w:history="1">
            <w:r w:rsidRPr="00C806E0">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_Toc237007078 \h </w:instrText>
            </w:r>
            <w:r>
              <w:rPr>
                <w:noProof/>
                <w:webHidden/>
              </w:rPr>
            </w:r>
            <w:r>
              <w:rPr>
                <w:noProof/>
                <w:webHidden/>
              </w:rPr>
              <w:fldChar w:fldCharType="separate"/>
            </w:r>
            <w:r>
              <w:rPr>
                <w:noProof/>
                <w:webHidden/>
              </w:rPr>
              <w:t>13</w:t>
            </w:r>
            <w:r>
              <w:rPr>
                <w:noProof/>
                <w:webHidden/>
              </w:rPr>
              <w:fldChar w:fldCharType="end"/>
            </w:r>
          </w:hyperlink>
        </w:p>
        <w:p w14:paraId="143F6E49" w14:textId="743840DC" w:rsidR="005273C9" w:rsidRDefault="005273C9">
          <w:pPr>
            <w:pStyle w:val="TOC2"/>
            <w:tabs>
              <w:tab w:val="right" w:leader="dot" w:pos="9016"/>
            </w:tabs>
            <w:rPr>
              <w:rFonts w:eastAsiaTheme="minorEastAsia"/>
              <w:noProof/>
              <w:sz w:val="24"/>
              <w:szCs w:val="24"/>
              <w:lang w:eastAsia="en-GB"/>
            </w:rPr>
          </w:pPr>
          <w:hyperlink w:anchor="_Toc237007079" w:history="1">
            <w:r w:rsidRPr="00C806E0">
              <w:rPr>
                <w:rStyle w:val="Hyperlink"/>
                <w:noProof/>
              </w:rPr>
              <w:t>References</w:t>
            </w:r>
            <w:r>
              <w:rPr>
                <w:noProof/>
                <w:webHidden/>
              </w:rPr>
              <w:tab/>
            </w:r>
            <w:r>
              <w:rPr>
                <w:noProof/>
                <w:webHidden/>
              </w:rPr>
              <w:fldChar w:fldCharType="begin"/>
            </w:r>
            <w:r>
              <w:rPr>
                <w:noProof/>
                <w:webHidden/>
              </w:rPr>
              <w:instrText xml:space="preserve"> PAGEREF _Toc237007079 \h </w:instrText>
            </w:r>
            <w:r>
              <w:rPr>
                <w:noProof/>
                <w:webHidden/>
              </w:rPr>
            </w:r>
            <w:r>
              <w:rPr>
                <w:noProof/>
                <w:webHidden/>
              </w:rPr>
              <w:fldChar w:fldCharType="separate"/>
            </w:r>
            <w:r>
              <w:rPr>
                <w:noProof/>
                <w:webHidden/>
              </w:rPr>
              <w:t>14</w:t>
            </w:r>
            <w:r>
              <w:rPr>
                <w:noProof/>
                <w:webHidden/>
              </w:rPr>
              <w:fldChar w:fldCharType="end"/>
            </w:r>
          </w:hyperlink>
        </w:p>
        <w:p w14:paraId="7364AB41" w14:textId="6076A30F" w:rsidR="0029183D" w:rsidRPr="004F10A9" w:rsidRDefault="0029183D" w:rsidP="00C81323">
          <w:pPr>
            <w:rPr>
              <w:rFonts w:ascii="Arial" w:hAnsi="Arial" w:cs="Arial"/>
              <w:sz w:val="24"/>
              <w:szCs w:val="24"/>
            </w:rPr>
          </w:pPr>
          <w:r w:rsidRPr="004F10A9">
            <w:rPr>
              <w:rFonts w:ascii="Arial" w:hAnsi="Arial" w:cs="Arial"/>
              <w:b/>
              <w:bCs/>
              <w:sz w:val="24"/>
              <w:szCs w:val="24"/>
            </w:rPr>
            <w:fldChar w:fldCharType="end"/>
          </w:r>
          <w:r w:rsidR="00C50F93" w:rsidRPr="004F10A9">
            <w:rPr>
              <w:rFonts w:ascii="Arial" w:hAnsi="Arial" w:cs="Arial"/>
              <w:b/>
              <w:bCs/>
              <w:sz w:val="24"/>
              <w:szCs w:val="24"/>
            </w:rPr>
            <w:t xml:space="preserve"> </w:t>
          </w:r>
        </w:p>
      </w:sdtContent>
    </w:sdt>
    <w:p w14:paraId="5F77105E" w14:textId="77777777" w:rsidR="004C7123" w:rsidRPr="004F10A9" w:rsidRDefault="004C7123" w:rsidP="00C81323">
      <w:pPr>
        <w:rPr>
          <w:rFonts w:ascii="Arial" w:hAnsi="Arial" w:cs="Arial"/>
          <w:b/>
          <w:bCs/>
          <w:sz w:val="24"/>
          <w:szCs w:val="24"/>
        </w:rPr>
      </w:pPr>
    </w:p>
    <w:p w14:paraId="3EE0BD29" w14:textId="77777777" w:rsidR="004C7123" w:rsidRPr="004F10A9" w:rsidRDefault="004C7123" w:rsidP="00C81323">
      <w:pPr>
        <w:rPr>
          <w:rFonts w:ascii="Arial" w:hAnsi="Arial" w:cs="Arial"/>
          <w:b/>
          <w:bCs/>
          <w:sz w:val="24"/>
          <w:szCs w:val="24"/>
        </w:rPr>
      </w:pPr>
    </w:p>
    <w:p w14:paraId="0EA6F5A5" w14:textId="77777777" w:rsidR="004C7123" w:rsidRPr="004F10A9" w:rsidRDefault="004C7123" w:rsidP="00C81323">
      <w:pPr>
        <w:rPr>
          <w:rFonts w:ascii="Arial" w:hAnsi="Arial" w:cs="Arial"/>
          <w:b/>
          <w:bCs/>
          <w:sz w:val="24"/>
          <w:szCs w:val="24"/>
        </w:rPr>
      </w:pPr>
    </w:p>
    <w:p w14:paraId="17D1AE67" w14:textId="77777777" w:rsidR="004C7123" w:rsidRPr="004F10A9" w:rsidRDefault="004C7123" w:rsidP="00C81323">
      <w:pPr>
        <w:rPr>
          <w:rFonts w:ascii="Arial" w:hAnsi="Arial" w:cs="Arial"/>
          <w:b/>
          <w:bCs/>
          <w:sz w:val="24"/>
          <w:szCs w:val="24"/>
        </w:rPr>
      </w:pPr>
    </w:p>
    <w:p w14:paraId="7828B138" w14:textId="49233A94" w:rsidR="004C7123" w:rsidRDefault="004F10A9" w:rsidP="00C81323">
      <w:pPr>
        <w:tabs>
          <w:tab w:val="left" w:pos="1613"/>
        </w:tabs>
        <w:rPr>
          <w:rFonts w:ascii="Arial" w:hAnsi="Arial" w:cs="Arial"/>
          <w:b/>
          <w:bCs/>
          <w:sz w:val="24"/>
          <w:szCs w:val="24"/>
        </w:rPr>
      </w:pPr>
      <w:r>
        <w:rPr>
          <w:rFonts w:ascii="Arial" w:hAnsi="Arial" w:cs="Arial"/>
          <w:b/>
          <w:bCs/>
          <w:sz w:val="24"/>
          <w:szCs w:val="24"/>
        </w:rPr>
        <w:tab/>
      </w:r>
    </w:p>
    <w:p w14:paraId="5CD852B2" w14:textId="77777777" w:rsidR="004F10A9" w:rsidRDefault="004F10A9" w:rsidP="00C81323">
      <w:pPr>
        <w:tabs>
          <w:tab w:val="left" w:pos="1613"/>
        </w:tabs>
        <w:rPr>
          <w:rFonts w:ascii="Arial" w:hAnsi="Arial" w:cs="Arial"/>
          <w:b/>
          <w:bCs/>
          <w:sz w:val="24"/>
          <w:szCs w:val="24"/>
        </w:rPr>
      </w:pPr>
    </w:p>
    <w:p w14:paraId="701D2BC2" w14:textId="77777777" w:rsidR="004F10A9" w:rsidRDefault="004F10A9" w:rsidP="00C81323">
      <w:pPr>
        <w:tabs>
          <w:tab w:val="left" w:pos="1613"/>
        </w:tabs>
        <w:rPr>
          <w:rFonts w:ascii="Arial" w:hAnsi="Arial" w:cs="Arial"/>
          <w:b/>
          <w:bCs/>
          <w:sz w:val="24"/>
          <w:szCs w:val="24"/>
        </w:rPr>
      </w:pPr>
    </w:p>
    <w:p w14:paraId="1FCE5229" w14:textId="77777777" w:rsidR="004F10A9" w:rsidRDefault="004F10A9" w:rsidP="00C81323">
      <w:pPr>
        <w:tabs>
          <w:tab w:val="left" w:pos="1613"/>
        </w:tabs>
        <w:rPr>
          <w:rFonts w:ascii="Arial" w:hAnsi="Arial" w:cs="Arial"/>
          <w:b/>
          <w:bCs/>
          <w:sz w:val="24"/>
          <w:szCs w:val="24"/>
        </w:rPr>
      </w:pPr>
    </w:p>
    <w:p w14:paraId="5743199D" w14:textId="77777777" w:rsidR="004F10A9" w:rsidRDefault="004F10A9" w:rsidP="00C81323">
      <w:pPr>
        <w:tabs>
          <w:tab w:val="left" w:pos="1613"/>
        </w:tabs>
        <w:rPr>
          <w:rFonts w:ascii="Arial" w:hAnsi="Arial" w:cs="Arial"/>
          <w:b/>
          <w:bCs/>
          <w:sz w:val="24"/>
          <w:szCs w:val="24"/>
        </w:rPr>
      </w:pPr>
    </w:p>
    <w:p w14:paraId="55EC6BC5" w14:textId="77777777" w:rsidR="004F10A9" w:rsidRDefault="004F10A9" w:rsidP="00C81323">
      <w:pPr>
        <w:tabs>
          <w:tab w:val="left" w:pos="1613"/>
        </w:tabs>
        <w:rPr>
          <w:rFonts w:ascii="Arial" w:hAnsi="Arial" w:cs="Arial"/>
          <w:b/>
          <w:bCs/>
          <w:sz w:val="24"/>
          <w:szCs w:val="24"/>
        </w:rPr>
      </w:pPr>
    </w:p>
    <w:p w14:paraId="0118B80E" w14:textId="77777777" w:rsidR="004F10A9" w:rsidRDefault="004F10A9" w:rsidP="00C81323">
      <w:pPr>
        <w:tabs>
          <w:tab w:val="left" w:pos="1613"/>
        </w:tabs>
        <w:rPr>
          <w:rFonts w:ascii="Arial" w:hAnsi="Arial" w:cs="Arial"/>
          <w:b/>
          <w:bCs/>
          <w:sz w:val="24"/>
          <w:szCs w:val="24"/>
        </w:rPr>
      </w:pPr>
    </w:p>
    <w:p w14:paraId="3B2DB7C5" w14:textId="77777777" w:rsidR="004F10A9" w:rsidRDefault="004F10A9" w:rsidP="00C81323">
      <w:pPr>
        <w:tabs>
          <w:tab w:val="left" w:pos="1613"/>
        </w:tabs>
        <w:rPr>
          <w:rFonts w:ascii="Arial" w:hAnsi="Arial" w:cs="Arial"/>
          <w:b/>
          <w:bCs/>
          <w:sz w:val="24"/>
          <w:szCs w:val="24"/>
        </w:rPr>
      </w:pPr>
    </w:p>
    <w:p w14:paraId="4FBEFA85" w14:textId="77777777" w:rsidR="004F10A9" w:rsidRDefault="004F10A9" w:rsidP="00C81323">
      <w:pPr>
        <w:tabs>
          <w:tab w:val="left" w:pos="1613"/>
        </w:tabs>
        <w:rPr>
          <w:rFonts w:ascii="Arial" w:hAnsi="Arial" w:cs="Arial"/>
          <w:b/>
          <w:bCs/>
          <w:sz w:val="24"/>
          <w:szCs w:val="24"/>
        </w:rPr>
      </w:pPr>
    </w:p>
    <w:p w14:paraId="46743DD9" w14:textId="77777777" w:rsidR="004F10A9" w:rsidRDefault="004F10A9" w:rsidP="00C81323">
      <w:pPr>
        <w:tabs>
          <w:tab w:val="left" w:pos="1613"/>
        </w:tabs>
        <w:rPr>
          <w:rFonts w:ascii="Arial" w:hAnsi="Arial" w:cs="Arial"/>
          <w:b/>
          <w:bCs/>
          <w:sz w:val="24"/>
          <w:szCs w:val="24"/>
        </w:rPr>
      </w:pPr>
    </w:p>
    <w:p w14:paraId="58C6D78A" w14:textId="77777777" w:rsidR="004F10A9" w:rsidRDefault="004F10A9" w:rsidP="00C81323">
      <w:pPr>
        <w:tabs>
          <w:tab w:val="left" w:pos="1613"/>
        </w:tabs>
        <w:rPr>
          <w:rFonts w:ascii="Arial" w:hAnsi="Arial" w:cs="Arial"/>
          <w:b/>
          <w:bCs/>
          <w:sz w:val="24"/>
          <w:szCs w:val="24"/>
        </w:rPr>
      </w:pPr>
    </w:p>
    <w:p w14:paraId="7438815F" w14:textId="77777777" w:rsidR="004F10A9" w:rsidRDefault="004F10A9" w:rsidP="00C81323">
      <w:pPr>
        <w:tabs>
          <w:tab w:val="left" w:pos="1613"/>
        </w:tabs>
        <w:rPr>
          <w:rFonts w:ascii="Arial" w:hAnsi="Arial" w:cs="Arial"/>
          <w:b/>
          <w:bCs/>
          <w:sz w:val="24"/>
          <w:szCs w:val="24"/>
        </w:rPr>
      </w:pPr>
    </w:p>
    <w:p w14:paraId="0044F3C2" w14:textId="77777777" w:rsidR="004F10A9" w:rsidRDefault="004F10A9" w:rsidP="00C81323">
      <w:pPr>
        <w:tabs>
          <w:tab w:val="left" w:pos="1613"/>
        </w:tabs>
        <w:rPr>
          <w:rFonts w:ascii="Arial" w:hAnsi="Arial" w:cs="Arial"/>
          <w:b/>
          <w:bCs/>
          <w:sz w:val="24"/>
          <w:szCs w:val="24"/>
        </w:rPr>
      </w:pPr>
    </w:p>
    <w:p w14:paraId="05C230F2" w14:textId="77777777" w:rsidR="004F10A9" w:rsidRPr="004F10A9" w:rsidRDefault="004F10A9" w:rsidP="00C81323">
      <w:pPr>
        <w:tabs>
          <w:tab w:val="left" w:pos="1613"/>
        </w:tabs>
        <w:rPr>
          <w:rFonts w:ascii="Arial" w:hAnsi="Arial" w:cs="Arial"/>
          <w:b/>
          <w:bCs/>
          <w:sz w:val="24"/>
          <w:szCs w:val="24"/>
        </w:rPr>
      </w:pPr>
    </w:p>
    <w:p w14:paraId="444177C5" w14:textId="77777777" w:rsidR="004C7123" w:rsidRPr="004F10A9" w:rsidRDefault="004C7123" w:rsidP="00C81323">
      <w:pPr>
        <w:pStyle w:val="Heading2"/>
      </w:pPr>
      <w:bookmarkStart w:id="0" w:name="_Toc237007067"/>
      <w:r w:rsidRPr="004F10A9">
        <w:t>Executive Summary</w:t>
      </w:r>
      <w:bookmarkEnd w:id="0"/>
    </w:p>
    <w:p w14:paraId="6C06AD11" w14:textId="77777777" w:rsidR="004F10A9" w:rsidRPr="004F10A9" w:rsidRDefault="004F10A9" w:rsidP="00C81323">
      <w:pPr>
        <w:rPr>
          <w:rFonts w:ascii="Arial" w:hAnsi="Arial" w:cs="Arial"/>
          <w:sz w:val="24"/>
          <w:szCs w:val="24"/>
        </w:rPr>
      </w:pPr>
      <w:r w:rsidRPr="004F10A9">
        <w:rPr>
          <w:rFonts w:ascii="Arial" w:hAnsi="Arial" w:cs="Arial"/>
          <w:sz w:val="24"/>
          <w:szCs w:val="24"/>
        </w:rPr>
        <w:t>This strategic change plan concerns Jaguar Land Rover Automotive plc, trading as JLR, a leading British luxury automotive manufacturer and a wholly owned subsidiary of Tata Motors. The plan examines how the company is dealing with digital disruption, the electrification of vehicles, geopolitical pressures and a major cyberattack in 2025, all of which affect delivery of its long-standing Reimagine change strategy. The report also looks at JLR's transformation and who has led this change.</w:t>
      </w:r>
    </w:p>
    <w:p w14:paraId="572A5CC3" w14:textId="77777777" w:rsidR="004F10A9" w:rsidRPr="004F10A9" w:rsidRDefault="004F10A9" w:rsidP="00C81323">
      <w:pPr>
        <w:rPr>
          <w:rFonts w:ascii="Arial" w:hAnsi="Arial" w:cs="Arial"/>
          <w:sz w:val="24"/>
          <w:szCs w:val="24"/>
        </w:rPr>
      </w:pPr>
      <w:r w:rsidRPr="004F10A9">
        <w:rPr>
          <w:rFonts w:ascii="Arial" w:hAnsi="Arial" w:cs="Arial"/>
          <w:sz w:val="24"/>
          <w:szCs w:val="24"/>
        </w:rPr>
        <w:t>The report locates JLR within the UK automotive sector and goes into detail about the internal and external factors which have determined the organisation's history. This includes the development of new products such as the range of electrified vehicles. The report also explores in detail the serious damage, both operationally and to the organisation's reputation, caused by the August 2025 ransomware attack.</w:t>
      </w:r>
    </w:p>
    <w:p w14:paraId="0F357AC9" w14:textId="77777777" w:rsidR="004F10A9" w:rsidRPr="004F10A9" w:rsidRDefault="004F10A9" w:rsidP="00C81323">
      <w:pPr>
        <w:rPr>
          <w:rFonts w:ascii="Arial" w:hAnsi="Arial" w:cs="Arial"/>
          <w:sz w:val="24"/>
          <w:szCs w:val="24"/>
        </w:rPr>
      </w:pPr>
      <w:r w:rsidRPr="004F10A9">
        <w:rPr>
          <w:rFonts w:ascii="Arial" w:hAnsi="Arial" w:cs="Arial"/>
          <w:sz w:val="24"/>
          <w:szCs w:val="24"/>
        </w:rPr>
        <w:t>Change is examined using a range of established change management models, principally Lewin's Three-Step Model and Kotter's Eight-Step Model, alongside supporting frameworks including force field analysis, ADKAR and the McKinsey 7S model. Finally, the report examines the change leadership styles of three chief executives within a five-year period, namely Thierry Bolloré, Adrian Mardell and PB Balaji, and assesses the impact that organisational culture had on the change (Bass, 1985; Kotter, 1996).</w:t>
      </w:r>
    </w:p>
    <w:p w14:paraId="11B4319C" w14:textId="617463BD" w:rsidR="004F10A9" w:rsidRPr="004F10A9" w:rsidRDefault="004F10A9" w:rsidP="00C81323">
      <w:pPr>
        <w:rPr>
          <w:rFonts w:ascii="Arial" w:hAnsi="Arial" w:cs="Arial"/>
          <w:sz w:val="24"/>
          <w:szCs w:val="24"/>
        </w:rPr>
      </w:pPr>
      <w:r w:rsidRPr="004F10A9">
        <w:rPr>
          <w:rFonts w:ascii="Arial" w:hAnsi="Arial" w:cs="Arial"/>
          <w:sz w:val="24"/>
          <w:szCs w:val="24"/>
        </w:rPr>
        <w:t>A Cyber-Resilience and Digital Trust programme is needed to support JLR's continuing strategy of electrification and to handle any future operational shocks that may affect delivery of the Reimagine strategy. A summary of the proposed programme and four change objectives are outlined. These are to achieve independently verified information security certification across all UK manufacturing and supplier-facing IT systems; to eliminate production downtime caused by future cyber incidents; to restore supplier confidence to pre-attack levels; and to protect the existing Reimagine product launch timeline from further resilience-related delay. A financial plan, a communication plan and an evaluation framework are also detailed</w:t>
      </w:r>
      <w:r>
        <w:rPr>
          <w:rFonts w:ascii="Arial" w:hAnsi="Arial" w:cs="Arial"/>
          <w:sz w:val="24"/>
          <w:szCs w:val="24"/>
        </w:rPr>
        <w:t>.</w:t>
      </w:r>
    </w:p>
    <w:p w14:paraId="62FC0A0E" w14:textId="50C338A5" w:rsidR="004C7123" w:rsidRDefault="004C7123" w:rsidP="00C81323">
      <w:pPr>
        <w:rPr>
          <w:rFonts w:ascii="Arial" w:hAnsi="Arial" w:cs="Arial"/>
          <w:sz w:val="24"/>
          <w:szCs w:val="24"/>
        </w:rPr>
      </w:pPr>
    </w:p>
    <w:p w14:paraId="0B80BA80" w14:textId="77777777" w:rsidR="004F10A9" w:rsidRDefault="004F10A9" w:rsidP="00C81323">
      <w:pPr>
        <w:rPr>
          <w:rFonts w:ascii="Arial" w:hAnsi="Arial" w:cs="Arial"/>
          <w:sz w:val="24"/>
          <w:szCs w:val="24"/>
        </w:rPr>
      </w:pPr>
    </w:p>
    <w:p w14:paraId="49FD93FE" w14:textId="77777777" w:rsidR="004F10A9" w:rsidRDefault="004F10A9" w:rsidP="00C81323">
      <w:pPr>
        <w:rPr>
          <w:rFonts w:ascii="Arial" w:hAnsi="Arial" w:cs="Arial"/>
          <w:sz w:val="24"/>
          <w:szCs w:val="24"/>
        </w:rPr>
      </w:pPr>
    </w:p>
    <w:p w14:paraId="05D1B860" w14:textId="77777777" w:rsidR="004F10A9" w:rsidRDefault="004F10A9" w:rsidP="00C81323">
      <w:pPr>
        <w:rPr>
          <w:rFonts w:ascii="Arial" w:hAnsi="Arial" w:cs="Arial"/>
          <w:sz w:val="24"/>
          <w:szCs w:val="24"/>
        </w:rPr>
      </w:pPr>
    </w:p>
    <w:p w14:paraId="2774A758" w14:textId="77777777" w:rsidR="004F10A9" w:rsidRDefault="004F10A9" w:rsidP="00C81323">
      <w:pPr>
        <w:rPr>
          <w:rFonts w:ascii="Arial" w:hAnsi="Arial" w:cs="Arial"/>
          <w:sz w:val="24"/>
          <w:szCs w:val="24"/>
        </w:rPr>
      </w:pPr>
    </w:p>
    <w:p w14:paraId="00BCFEB3" w14:textId="77777777" w:rsidR="004F10A9" w:rsidRDefault="004F10A9" w:rsidP="00C81323">
      <w:pPr>
        <w:rPr>
          <w:rFonts w:ascii="Arial" w:hAnsi="Arial" w:cs="Arial"/>
          <w:sz w:val="24"/>
          <w:szCs w:val="24"/>
        </w:rPr>
      </w:pPr>
    </w:p>
    <w:p w14:paraId="72D0B37A" w14:textId="77777777" w:rsidR="004F10A9" w:rsidRDefault="004F10A9" w:rsidP="00C81323">
      <w:pPr>
        <w:rPr>
          <w:rFonts w:ascii="Arial" w:hAnsi="Arial" w:cs="Arial"/>
          <w:sz w:val="24"/>
          <w:szCs w:val="24"/>
        </w:rPr>
      </w:pPr>
    </w:p>
    <w:p w14:paraId="2869A59C" w14:textId="77777777" w:rsidR="004F10A9" w:rsidRDefault="004F10A9" w:rsidP="00C81323">
      <w:pPr>
        <w:rPr>
          <w:rFonts w:ascii="Arial" w:hAnsi="Arial" w:cs="Arial"/>
          <w:sz w:val="24"/>
          <w:szCs w:val="24"/>
        </w:rPr>
      </w:pPr>
    </w:p>
    <w:p w14:paraId="5D888396" w14:textId="77777777" w:rsidR="004F10A9" w:rsidRPr="004F10A9" w:rsidRDefault="004F10A9" w:rsidP="00C81323">
      <w:pPr>
        <w:rPr>
          <w:rFonts w:ascii="Arial" w:hAnsi="Arial" w:cs="Arial"/>
          <w:sz w:val="24"/>
          <w:szCs w:val="24"/>
        </w:rPr>
      </w:pPr>
    </w:p>
    <w:p w14:paraId="1F99B073" w14:textId="1ABF1B6D" w:rsidR="004F10A9" w:rsidRPr="004F10A9" w:rsidRDefault="004F10A9" w:rsidP="00C81323">
      <w:pPr>
        <w:pStyle w:val="ListParagraph"/>
        <w:numPr>
          <w:ilvl w:val="0"/>
          <w:numId w:val="3"/>
        </w:numPr>
        <w:rPr>
          <w:rFonts w:ascii="Arial" w:hAnsi="Arial" w:cs="Arial"/>
          <w:sz w:val="24"/>
          <w:szCs w:val="24"/>
        </w:rPr>
      </w:pPr>
      <w:bookmarkStart w:id="1" w:name="_Toc237007068"/>
      <w:r w:rsidRPr="004F10A9">
        <w:rPr>
          <w:rStyle w:val="Heading2Char"/>
        </w:rPr>
        <w:t>Introduction</w:t>
      </w:r>
      <w:bookmarkEnd w:id="1"/>
      <w:r w:rsidRPr="004F10A9">
        <w:rPr>
          <w:rFonts w:ascii="Arial" w:hAnsi="Arial" w:cs="Arial"/>
          <w:sz w:val="24"/>
          <w:szCs w:val="24"/>
        </w:rPr>
        <w:br/>
      </w:r>
      <w:r w:rsidRPr="004F10A9">
        <w:rPr>
          <w:rFonts w:ascii="Arial" w:hAnsi="Arial" w:cs="Arial"/>
          <w:sz w:val="24"/>
          <w:szCs w:val="24"/>
        </w:rPr>
        <w:br/>
        <w:t>Jaguar Land Rover Automotive plc is a British multinational car manufacturer whose vehicles are marketed and sold under the Jaguar and Land Rover brands. The company's head offices are located at Whitley in Coventry and Gaydon in Warwickshire, with vehicle manufacturing at Solihull in the West Midlands and Halewood in Merseyside, and engine production at the Engine Manufacturing Centre in Wolverhampton. JLR has been a wholly owned subsidiary of Tata Motors, part of the Indian multinational conglomerate the Tata Group, since 2008. In the UK the company directly employs approximately 34,000 people and supports the country's largest automotive supply chain, accounting for a further 120,000 jobs, predominantly within small and medium-sized enterprises (GOV.UK,2025).</w:t>
      </w:r>
      <w:r w:rsidRPr="004F10A9">
        <w:rPr>
          <w:rFonts w:ascii="Arial" w:hAnsi="Arial" w:cs="Arial"/>
          <w:sz w:val="24"/>
          <w:szCs w:val="24"/>
        </w:rPr>
        <w:br/>
      </w:r>
      <w:r w:rsidRPr="004F10A9">
        <w:rPr>
          <w:rFonts w:ascii="Arial" w:hAnsi="Arial" w:cs="Arial"/>
          <w:sz w:val="24"/>
          <w:szCs w:val="24"/>
        </w:rPr>
        <w:br/>
        <w:t>In its financial year ending March 2025, JLR reported its strongest results in a decade, with revenue of £29.0 billion and profit before tax of £2.5 billion, an increase of 15% year on year (Tata Motors, 2025a). This performance was delivered under Chief Executive Adrian Mardell, who led the company through the Reimagine transformation before retiring in November 2025.</w:t>
      </w:r>
      <w:r w:rsidRPr="004F10A9">
        <w:rPr>
          <w:rFonts w:ascii="Arial" w:hAnsi="Arial" w:cs="Arial"/>
          <w:sz w:val="24"/>
          <w:szCs w:val="24"/>
        </w:rPr>
        <w:br/>
      </w:r>
      <w:r w:rsidRPr="004F10A9">
        <w:rPr>
          <w:rFonts w:ascii="Arial" w:hAnsi="Arial" w:cs="Arial"/>
          <w:sz w:val="24"/>
          <w:szCs w:val="24"/>
        </w:rPr>
        <w:br/>
        <w:t>The company then reported a sharp reversal within six months. On 3 April 2025 the United States imposed a 25% tariff on imported vehicles, prompting JLR to suspend exports to a market accounting for approximately a quarter of its sales for a month whilst it developed medium and longer-term responses. In late August 2025 JLR suffered a severe cyberattack that halted production at all UK sites for approximately five weeks. The company reported that the incident cost £196 million in the second quarter of the 2026 financial year, contributing to a quarterly pre-tax loss of £485 million against a profit of £398 million in the same quarter the previous year (Tata Motors, 2025b).</w:t>
      </w:r>
      <w:r w:rsidRPr="004F10A9">
        <w:rPr>
          <w:rFonts w:ascii="Arial" w:hAnsi="Arial" w:cs="Arial"/>
          <w:sz w:val="24"/>
          <w:szCs w:val="24"/>
        </w:rPr>
        <w:br/>
      </w:r>
      <w:r w:rsidRPr="004F10A9">
        <w:rPr>
          <w:rFonts w:ascii="Arial" w:hAnsi="Arial" w:cs="Arial"/>
          <w:sz w:val="24"/>
          <w:szCs w:val="24"/>
        </w:rPr>
        <w:br/>
        <w:t>This report outlines the strategic pressures facing JLR and assesses the company's ability to deliver its current strategy. Section 2 examines the Reimagine strategy and the environmental changes affecting the company, with particular attention to the 2025 ransomware attack as the defining case of digital disruption for the business. Section 3 evaluates established change management models against JLR's circumstances. Section 4 assesses leadership and organisational culture. Section 5 proposes a change management plan addressing the central weakness</w:t>
      </w:r>
      <w:r w:rsidR="00C81323">
        <w:rPr>
          <w:rFonts w:ascii="Arial" w:hAnsi="Arial" w:cs="Arial"/>
          <w:sz w:val="24"/>
          <w:szCs w:val="24"/>
        </w:rPr>
        <w:t xml:space="preserve"> </w:t>
      </w:r>
      <w:r w:rsidRPr="004F10A9">
        <w:rPr>
          <w:rFonts w:ascii="Arial" w:hAnsi="Arial" w:cs="Arial"/>
          <w:sz w:val="24"/>
          <w:szCs w:val="24"/>
        </w:rPr>
        <w:t>identified.</w:t>
      </w:r>
      <w:r w:rsidRPr="004F10A9">
        <w:rPr>
          <w:rFonts w:ascii="Arial" w:hAnsi="Arial" w:cs="Arial"/>
          <w:sz w:val="24"/>
          <w:szCs w:val="24"/>
        </w:rPr>
        <w:br/>
      </w:r>
      <w:r w:rsidRPr="004F10A9">
        <w:rPr>
          <w:rFonts w:ascii="Arial" w:hAnsi="Arial" w:cs="Arial"/>
          <w:sz w:val="24"/>
          <w:szCs w:val="24"/>
        </w:rPr>
        <w:br/>
        <w:t xml:space="preserve">That weakness lies in strategic resilience rather than strategic direction. Reimagine represents a coherent response to electrification and digitalisation, but its delivery depends entirely on the company's digital infrastructure. What 2025 demonstrated is that JLR built a strategy dependent on that infrastructure </w:t>
      </w:r>
      <w:r w:rsidRPr="004F10A9">
        <w:rPr>
          <w:rFonts w:ascii="Arial" w:hAnsi="Arial" w:cs="Arial"/>
          <w:sz w:val="24"/>
          <w:szCs w:val="24"/>
        </w:rPr>
        <w:lastRenderedPageBreak/>
        <w:t>without building the organisational capability to protect it. Digital resilience must therefore become a strategic priority rather than an operational project.</w:t>
      </w:r>
    </w:p>
    <w:p w14:paraId="19FBDE75" w14:textId="77777777" w:rsidR="00C81323" w:rsidRDefault="004F10A9" w:rsidP="00C81323">
      <w:pPr>
        <w:pStyle w:val="ListParagraph"/>
        <w:ind w:left="432"/>
        <w:rPr>
          <w:rFonts w:ascii="Arial" w:hAnsi="Arial" w:cs="Arial"/>
          <w:sz w:val="24"/>
          <w:szCs w:val="24"/>
        </w:rPr>
      </w:pPr>
      <w:r w:rsidRPr="004F10A9">
        <w:rPr>
          <w:rFonts w:ascii="Arial" w:hAnsi="Arial" w:cs="Arial"/>
          <w:sz w:val="24"/>
          <w:szCs w:val="24"/>
        </w:rPr>
        <w:br/>
      </w:r>
      <w:r w:rsidRPr="004F10A9">
        <w:rPr>
          <w:rFonts w:ascii="Arial" w:hAnsi="Arial" w:cs="Arial"/>
          <w:sz w:val="24"/>
          <w:szCs w:val="24"/>
        </w:rPr>
        <w:br/>
      </w:r>
      <w:bookmarkStart w:id="2" w:name="_Toc237007069"/>
      <w:r w:rsidRPr="004F10A9">
        <w:rPr>
          <w:rStyle w:val="Heading2Char"/>
        </w:rPr>
        <w:t>2. Recent History and the Impact of Environmental Change</w:t>
      </w:r>
      <w:r w:rsidRPr="004F10A9">
        <w:rPr>
          <w:rStyle w:val="Heading2Char"/>
        </w:rPr>
        <w:br/>
        <w:t>2.1 The Reimagine strategy</w:t>
      </w:r>
      <w:bookmarkEnd w:id="2"/>
      <w:r w:rsidRPr="004F10A9">
        <w:rPr>
          <w:rFonts w:ascii="Arial" w:hAnsi="Arial" w:cs="Arial"/>
          <w:sz w:val="24"/>
          <w:szCs w:val="24"/>
        </w:rPr>
        <w:br/>
      </w:r>
      <w:r w:rsidRPr="004F10A9">
        <w:rPr>
          <w:rFonts w:ascii="Arial" w:hAnsi="Arial" w:cs="Arial"/>
          <w:sz w:val="24"/>
          <w:szCs w:val="24"/>
        </w:rPr>
        <w:br/>
        <w:t>Jaguar Land Rover launched the Reimagine strategy in February 2021 under then Chief Executive Thierry Bolloré. The strategy positions electrification, digitalisation and sustainability at the core of the company's future. Under Reimagine, Jaguar will become an entirely electric luxury brand, whilst Range Rover, Defender and Discovery will each offer pure electric variants alongside hybrid options, and Halewood will be transformed into an all-electric manufacturing site. Planned investment to deliver the strategy was subsequently increased from £15 billion to £18 billion over five years, announced in the first quarter FY25 results (Tata Motors, 2024).</w:t>
      </w:r>
      <w:r w:rsidRPr="004F10A9">
        <w:rPr>
          <w:rFonts w:ascii="Arial" w:hAnsi="Arial" w:cs="Arial"/>
          <w:sz w:val="24"/>
          <w:szCs w:val="24"/>
        </w:rPr>
        <w:br/>
      </w:r>
      <w:r w:rsidRPr="004F10A9">
        <w:rPr>
          <w:rFonts w:ascii="Arial" w:hAnsi="Arial" w:cs="Arial"/>
          <w:sz w:val="24"/>
          <w:szCs w:val="24"/>
        </w:rPr>
        <w:br/>
        <w:t>The Type 00 concept serves as a test case for the Jaguar rebrand. Unveiled at Miami Art Week in December 2024, it represented a radical departure from the marque's heritage positioning and attracted substantial negative comment alongside mixed reviews. The strategic risk is clear: the concept is intended to bring the brand to a new audience, but in doing so alienates the existing customer base, with no guarantee that the new audience materialises quickly enough to offset declining volume from the old one.</w:t>
      </w:r>
      <w:r w:rsidRPr="004F10A9">
        <w:rPr>
          <w:rFonts w:ascii="Arial" w:hAnsi="Arial" w:cs="Arial"/>
          <w:sz w:val="24"/>
          <w:szCs w:val="24"/>
        </w:rPr>
        <w:br/>
      </w:r>
      <w:r w:rsidRPr="004F10A9">
        <w:rPr>
          <w:rFonts w:ascii="Arial" w:hAnsi="Arial" w:cs="Arial"/>
          <w:sz w:val="24"/>
          <w:szCs w:val="24"/>
        </w:rPr>
        <w:br/>
      </w:r>
      <w:r w:rsidRPr="004F10A9">
        <w:rPr>
          <w:rStyle w:val="Heading2Char"/>
        </w:rPr>
        <w:t>2.2 Digitalisation and artificial intelligence</w:t>
      </w:r>
      <w:r w:rsidRPr="004F10A9">
        <w:rPr>
          <w:rFonts w:ascii="Arial" w:hAnsi="Arial" w:cs="Arial"/>
          <w:sz w:val="24"/>
          <w:szCs w:val="24"/>
        </w:rPr>
        <w:br/>
      </w:r>
      <w:r w:rsidRPr="004F10A9">
        <w:rPr>
          <w:rFonts w:ascii="Arial" w:hAnsi="Arial" w:cs="Arial"/>
          <w:sz w:val="24"/>
          <w:szCs w:val="24"/>
        </w:rPr>
        <w:br/>
        <w:t>The vehicle is being digitised at the same time as it is being electrified. JLR's connected vehicles receive software updates over the air, allowing customers to gain new functionality without visiting a dealership, and the company's electric vehicle architecture enables monitoring of thousands of data points per vehicle.</w:t>
      </w:r>
      <w:r w:rsidRPr="004F10A9">
        <w:rPr>
          <w:rFonts w:ascii="Arial" w:hAnsi="Arial" w:cs="Arial"/>
          <w:sz w:val="24"/>
          <w:szCs w:val="24"/>
        </w:rPr>
        <w:br/>
      </w:r>
      <w:r w:rsidRPr="004F10A9">
        <w:rPr>
          <w:rFonts w:ascii="Arial" w:hAnsi="Arial" w:cs="Arial"/>
          <w:sz w:val="24"/>
          <w:szCs w:val="24"/>
        </w:rPr>
        <w:br/>
        <w:t>This data, combined with artificial intelligence and machine learning, supports three principal applications. Predictive maintenance uses telemetry from vehicle sensors to anticipate when individual components are likely to fail, a capability that becomes more significant as the number of electrical components per vehicle continues to rise. Advanced analytics support quality control during manufacturing. Demand forecasting applies the same techniques across JLR's global supply chain.</w:t>
      </w:r>
      <w:r w:rsidRPr="004F10A9">
        <w:rPr>
          <w:rFonts w:ascii="Arial" w:hAnsi="Arial" w:cs="Arial"/>
          <w:sz w:val="24"/>
          <w:szCs w:val="24"/>
        </w:rPr>
        <w:br/>
      </w:r>
      <w:r w:rsidRPr="004F10A9">
        <w:rPr>
          <w:rFonts w:ascii="Arial" w:hAnsi="Arial" w:cs="Arial"/>
          <w:sz w:val="24"/>
          <w:szCs w:val="24"/>
        </w:rPr>
        <w:br/>
        <w:t>These developments do not only create new capabilities; they also expand the company's attack surface. Digitalisation opens new possibilities whilst simultaneously creating new vulnerabilities. The ransomware attack of August 2025 is therefore not a one-off incident but a strategic problem, and it is examined in that light below.</w:t>
      </w:r>
    </w:p>
    <w:p w14:paraId="5F103529" w14:textId="0B3C0E43" w:rsidR="004F10A9" w:rsidRPr="004F10A9" w:rsidRDefault="004F10A9" w:rsidP="00C81323">
      <w:pPr>
        <w:pStyle w:val="ListParagraph"/>
        <w:ind w:left="432"/>
        <w:rPr>
          <w:rFonts w:ascii="Arial" w:hAnsi="Arial" w:cs="Arial"/>
          <w:sz w:val="24"/>
          <w:szCs w:val="24"/>
        </w:rPr>
      </w:pPr>
      <w:r w:rsidRPr="004F10A9">
        <w:rPr>
          <w:rFonts w:ascii="Arial" w:hAnsi="Arial" w:cs="Arial"/>
          <w:sz w:val="24"/>
          <w:szCs w:val="24"/>
        </w:rPr>
        <w:lastRenderedPageBreak/>
        <w:br/>
      </w:r>
      <w:r w:rsidRPr="004F10A9">
        <w:rPr>
          <w:rFonts w:ascii="Arial" w:hAnsi="Arial" w:cs="Arial"/>
          <w:sz w:val="24"/>
          <w:szCs w:val="24"/>
        </w:rPr>
        <w:br/>
      </w:r>
      <w:bookmarkStart w:id="3" w:name="_Toc237007070"/>
      <w:r w:rsidRPr="004F10A9">
        <w:rPr>
          <w:rStyle w:val="Heading2Char"/>
        </w:rPr>
        <w:t>2.3 External volatility: markets and tariffs</w:t>
      </w:r>
      <w:bookmarkEnd w:id="3"/>
      <w:r w:rsidRPr="004F10A9">
        <w:rPr>
          <w:rFonts w:ascii="Arial" w:hAnsi="Arial" w:cs="Arial"/>
          <w:sz w:val="24"/>
          <w:szCs w:val="24"/>
        </w:rPr>
        <w:br/>
      </w:r>
      <w:r w:rsidRPr="004F10A9">
        <w:rPr>
          <w:rFonts w:ascii="Arial" w:hAnsi="Arial" w:cs="Arial"/>
          <w:sz w:val="24"/>
          <w:szCs w:val="24"/>
        </w:rPr>
        <w:br/>
        <w:t>Demand for pure electric vehicles has grown more slowly than most major manufacturers predicted across European and North American markets. In China, one of the largest luxury vehicle markets globally, established international brands face intensifying competition from domestic manufacturers whose electric vehicle offerings have proved highly successful, eroding the premium that foreign marques have historically commanded.</w:t>
      </w:r>
      <w:r w:rsidRPr="004F10A9">
        <w:rPr>
          <w:rFonts w:ascii="Arial" w:hAnsi="Arial" w:cs="Arial"/>
          <w:sz w:val="24"/>
          <w:szCs w:val="24"/>
        </w:rPr>
        <w:br/>
      </w:r>
      <w:r w:rsidRPr="004F10A9">
        <w:rPr>
          <w:rFonts w:ascii="Arial" w:hAnsi="Arial" w:cs="Arial"/>
          <w:sz w:val="24"/>
          <w:szCs w:val="24"/>
        </w:rPr>
        <w:br/>
        <w:t>Trade policy has proved equally disruptive. In April 2025 the United States imposed a 25% tariff on imported vehicles, causing JLR to suspend exports for a month before resuming in early May. JLR confirmed that the United States remained an important market for its luxury brands. In its results for the year ending 31 March 2025, Tata Motors stated that tariffs and related geopolitical actions were making the operating environment uncertain and challenging (Tata Motors, 2025a).</w:t>
      </w:r>
      <w:r w:rsidRPr="004F10A9">
        <w:rPr>
          <w:rFonts w:ascii="Arial" w:hAnsi="Arial" w:cs="Arial"/>
          <w:sz w:val="24"/>
          <w:szCs w:val="24"/>
        </w:rPr>
        <w:br/>
      </w:r>
      <w:r w:rsidRPr="004F10A9">
        <w:rPr>
          <w:rFonts w:ascii="Arial" w:hAnsi="Arial" w:cs="Arial"/>
          <w:sz w:val="24"/>
          <w:szCs w:val="24"/>
        </w:rPr>
        <w:br/>
        <w:t>Considerable uncertainty also surrounds the UK regulatory environment. The Zero Emission Vehicle mandate requires ZEVs to account for a rising proportion of new car sales: 22% in 2024, 28% in 2025, 33% in 2026, rising to 80% by 2030 and 100% by 2035 (Department for Transport, 2023). Actual battery electric vehicle market share in 2025 reached approximately 23%, short of the 28% target. The government has since revised the mandate to provide industry with greater flexibility, reducing the non-compliance payment from £15,000 to £12,000 per vehicle.</w:t>
      </w:r>
      <w:r w:rsidRPr="004F10A9">
        <w:rPr>
          <w:rFonts w:ascii="Arial" w:hAnsi="Arial" w:cs="Arial"/>
          <w:sz w:val="24"/>
          <w:szCs w:val="24"/>
        </w:rPr>
        <w:br/>
      </w:r>
      <w:r w:rsidRPr="004F10A9">
        <w:rPr>
          <w:rFonts w:ascii="Arial" w:hAnsi="Arial" w:cs="Arial"/>
          <w:sz w:val="24"/>
          <w:szCs w:val="24"/>
        </w:rPr>
        <w:br/>
        <w:t>The mandate is particularly significant for Reimagine because it imposes a fixed compliance timetable that the strategy must meet regardless of market conditions. Jaguar currently has no battery electric model in production following the discontinuation of the I-Pace, and the brand's electric relaunch must therefore deliver against escalating annual targets rather than at a pace of the company's choosing.</w:t>
      </w:r>
    </w:p>
    <w:p w14:paraId="6C39438A" w14:textId="7DB45436" w:rsidR="007D331A" w:rsidRPr="004F10A9" w:rsidRDefault="007D331A" w:rsidP="00C81323">
      <w:pPr>
        <w:pStyle w:val="Heading2"/>
      </w:pPr>
      <w:bookmarkStart w:id="4" w:name="_Toc237007071"/>
      <w:r w:rsidRPr="004F10A9">
        <w:t>3. Evaluating Change Management Models Applied to JLR</w:t>
      </w:r>
      <w:bookmarkEnd w:id="4"/>
    </w:p>
    <w:p w14:paraId="6BE0F107" w14:textId="77777777" w:rsidR="007D331A" w:rsidRPr="004F10A9" w:rsidRDefault="007D331A" w:rsidP="00C81323">
      <w:pPr>
        <w:pStyle w:val="Heading2"/>
      </w:pPr>
      <w:bookmarkStart w:id="5" w:name="_Toc237007072"/>
      <w:r w:rsidRPr="004F10A9">
        <w:t>3.1 Force field analysis of the cyberattack response</w:t>
      </w:r>
      <w:bookmarkEnd w:id="5"/>
    </w:p>
    <w:p w14:paraId="25B46580" w14:textId="4F99FC64" w:rsidR="004F10A9" w:rsidRDefault="004F10A9" w:rsidP="00C81323">
      <w:pPr>
        <w:rPr>
          <w:rFonts w:ascii="Arial" w:hAnsi="Arial" w:cs="Arial"/>
          <w:sz w:val="24"/>
          <w:szCs w:val="24"/>
        </w:rPr>
      </w:pPr>
      <w:r w:rsidRPr="004F10A9">
        <w:rPr>
          <w:rFonts w:ascii="Arial" w:hAnsi="Arial" w:cs="Arial"/>
          <w:sz w:val="24"/>
          <w:szCs w:val="24"/>
        </w:rPr>
        <w:t xml:space="preserve">Lewin (1947) conceptualised organisational states as temporary equilibria between driving and restraining forces, with change occurring when that balance is disturbed. Applied to JLR's cyberattack response, the driving forces were unusually powerful: direct financial loss of £196 million in a single quarter, government intervention requiring a £1.5 billion guarantee, and reputational exposure as the subject of the most damaging cyber event in UK history. Restraining forces included the capital cost of system rebuilding, the operational disruption of network segregation, and the complexity of imposing security requirements across a supply chain composed </w:t>
      </w:r>
      <w:r w:rsidRPr="004F10A9">
        <w:rPr>
          <w:rFonts w:ascii="Arial" w:hAnsi="Arial" w:cs="Arial"/>
          <w:sz w:val="24"/>
          <w:szCs w:val="24"/>
        </w:rPr>
        <w:lastRenderedPageBreak/>
        <w:t>largely of smaller firms with limited resources.</w:t>
      </w:r>
      <w:r w:rsidRPr="004F10A9">
        <w:rPr>
          <w:rFonts w:ascii="Arial" w:hAnsi="Arial" w:cs="Arial"/>
          <w:sz w:val="24"/>
          <w:szCs w:val="24"/>
        </w:rPr>
        <w:br/>
      </w:r>
      <w:r w:rsidRPr="004F10A9">
        <w:rPr>
          <w:rFonts w:ascii="Arial" w:hAnsi="Arial" w:cs="Arial"/>
          <w:sz w:val="24"/>
          <w:szCs w:val="24"/>
        </w:rPr>
        <w:br/>
        <w:t>Lewin's three-step model maps directly onto the crisis sequence. Unfreezing occurred through the immediate and unavoidable recognition that existing IT and operational technology systems were inadequate, and that comprehensive rebuilding was necessary rather than optional. Change comprised the phased production restart through October 2025, prioritising the most critical plants and key suppliers whilst remaining systems were secured. Refreezing would embed revised governance, supplier verification procedures and sustained incident response capability into routine practice.</w:t>
      </w:r>
      <w:r w:rsidRPr="004F10A9">
        <w:rPr>
          <w:rFonts w:ascii="Arial" w:hAnsi="Arial" w:cs="Arial"/>
          <w:sz w:val="24"/>
          <w:szCs w:val="24"/>
        </w:rPr>
        <w:br/>
      </w:r>
      <w:r w:rsidRPr="004F10A9">
        <w:rPr>
          <w:rFonts w:ascii="Arial" w:hAnsi="Arial" w:cs="Arial"/>
          <w:sz w:val="24"/>
          <w:szCs w:val="24"/>
        </w:rPr>
        <w:br/>
        <w:t>The model's principal limitation, however, is directly relevant to JLR. Refreezing presupposes an environment stable enough for new practices to settle. Burnes (2004), in his reappraisal of Lewin, notes that the model has been widely criticised for assuming organisations operate in stable and predictable environments, and for being suited to incremental rather than transformational change. JLR's context is neither stable nor predictable: tariff regimes shift with political administrations, electric vehicle demand has repeatedly departed from forecast, and cyber threats evolve continuously. Any state JLR freezes into will be obsolete before it consolidates. The model therefore describes what happened during the crisis but offers a poor guide to what should happen next.</w:t>
      </w:r>
      <w:r w:rsidRPr="004F10A9">
        <w:rPr>
          <w:rFonts w:ascii="Arial" w:hAnsi="Arial" w:cs="Arial"/>
          <w:sz w:val="24"/>
          <w:szCs w:val="24"/>
        </w:rPr>
        <w:br/>
      </w:r>
      <w:r w:rsidRPr="004F10A9">
        <w:rPr>
          <w:rFonts w:ascii="Arial" w:hAnsi="Arial" w:cs="Arial"/>
          <w:sz w:val="24"/>
          <w:szCs w:val="24"/>
        </w:rPr>
        <w:br/>
      </w:r>
      <w:r w:rsidRPr="004F10A9">
        <w:rPr>
          <w:rStyle w:val="Heading2Char"/>
        </w:rPr>
        <w:t>3.2 Kotter's Eight-Step Model</w:t>
      </w:r>
      <w:r w:rsidRPr="004F10A9">
        <w:rPr>
          <w:rFonts w:ascii="Arial" w:hAnsi="Arial" w:cs="Arial"/>
          <w:sz w:val="24"/>
          <w:szCs w:val="24"/>
        </w:rPr>
        <w:br/>
      </w:r>
      <w:r w:rsidRPr="004F10A9">
        <w:rPr>
          <w:rFonts w:ascii="Arial" w:hAnsi="Arial" w:cs="Arial"/>
          <w:sz w:val="24"/>
          <w:szCs w:val="24"/>
        </w:rPr>
        <w:br/>
        <w:t>Kotter's (1996) eight-step model provides a more useful framework for Reimagine as a long-term transformation. Establishing urgency is straightforward where a business model faces obsolescence through electrification and regulatory mandate. Building a guiding coalition was addressed through the executive leadership restructuring of October 2024, including the creation of a Chief Transformation and Performance Officer role</w:t>
      </w:r>
      <w:r>
        <w:rPr>
          <w:rFonts w:ascii="Arial" w:hAnsi="Arial" w:cs="Arial"/>
          <w:sz w:val="24"/>
          <w:szCs w:val="24"/>
        </w:rPr>
        <w:t xml:space="preserve"> </w:t>
      </w:r>
      <w:r w:rsidRPr="004F10A9">
        <w:rPr>
          <w:rFonts w:ascii="Arial" w:hAnsi="Arial" w:cs="Arial"/>
          <w:sz w:val="24"/>
          <w:szCs w:val="24"/>
        </w:rPr>
        <w:t>(JLR Media Newsroom, 2024). The vision was articulated clearly at launch and has been consistently restated, most recently through confirmation of the £18 billion five-year investment.</w:t>
      </w:r>
      <w:r w:rsidRPr="004F10A9">
        <w:rPr>
          <w:rFonts w:ascii="Arial" w:hAnsi="Arial" w:cs="Arial"/>
          <w:sz w:val="24"/>
          <w:szCs w:val="24"/>
        </w:rPr>
        <w:br/>
      </w:r>
      <w:r w:rsidRPr="004F10A9">
        <w:rPr>
          <w:rFonts w:ascii="Arial" w:hAnsi="Arial" w:cs="Arial"/>
          <w:sz w:val="24"/>
          <w:szCs w:val="24"/>
        </w:rPr>
        <w:br/>
        <w:t>Short-term wins were delivered convincingly. The ten consecutive profitable quarters under Mardell, culminating in the FY25 record, provided precisely the evidence Kotter identifies as necessary to sustain credibility through a long transformation.</w:t>
      </w:r>
      <w:r w:rsidRPr="004F10A9">
        <w:rPr>
          <w:rFonts w:ascii="Arial" w:hAnsi="Arial" w:cs="Arial"/>
          <w:sz w:val="24"/>
          <w:szCs w:val="24"/>
        </w:rPr>
        <w:br/>
      </w:r>
      <w:r w:rsidRPr="004F10A9">
        <w:rPr>
          <w:rFonts w:ascii="Arial" w:hAnsi="Arial" w:cs="Arial"/>
          <w:sz w:val="24"/>
          <w:szCs w:val="24"/>
        </w:rPr>
        <w:br/>
        <w:t xml:space="preserve">Where the model exposes JLR's weakness is in its final two steps: consolidating gains and anchoring change in the culture. Three chief executives have led the company since 2020. Bolloré served from 2020 to 2022. Mardell became Chief Executive in November 2022, having joined JLR in 1990 and served as Chief Financial Officer from June 2019, and retired in November 2025. PB Balaji took office in November 2025 (JLR Media Newsroom, 2025). Kotter's anchoring stage requires sustained leadership attention over years, since cultural change is the slowest element of any transformation. Each transition requires the guiding coalition to be rebuilt and the vision to be re-legitimised, and JLR has undergone this three </w:t>
      </w:r>
      <w:r w:rsidRPr="004F10A9">
        <w:rPr>
          <w:rFonts w:ascii="Arial" w:hAnsi="Arial" w:cs="Arial"/>
          <w:sz w:val="24"/>
          <w:szCs w:val="24"/>
        </w:rPr>
        <w:lastRenderedPageBreak/>
        <w:t>times in five years.</w:t>
      </w:r>
      <w:r w:rsidRPr="004F10A9">
        <w:rPr>
          <w:rFonts w:ascii="Arial" w:hAnsi="Arial" w:cs="Arial"/>
          <w:sz w:val="24"/>
          <w:szCs w:val="24"/>
        </w:rPr>
        <w:br/>
      </w:r>
    </w:p>
    <w:tbl>
      <w:tblPr>
        <w:tblW w:w="10747" w:type="dxa"/>
        <w:tblInd w:w="-8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55"/>
        <w:gridCol w:w="2474"/>
        <w:gridCol w:w="2474"/>
        <w:gridCol w:w="1391"/>
        <w:gridCol w:w="2553"/>
      </w:tblGrid>
      <w:tr w:rsidR="004F10A9" w14:paraId="511748FE" w14:textId="77777777" w:rsidTr="004F10A9">
        <w:trPr>
          <w:trHeight w:val="370"/>
          <w:tblHeader/>
        </w:trPr>
        <w:tc>
          <w:tcPr>
            <w:tcW w:w="1855" w:type="dxa"/>
            <w:shd w:val="clear" w:color="auto" w:fill="1F3864"/>
            <w:tcMar>
              <w:top w:w="100" w:type="dxa"/>
              <w:left w:w="120" w:type="dxa"/>
              <w:bottom w:w="100" w:type="dxa"/>
              <w:right w:w="120" w:type="dxa"/>
            </w:tcMar>
          </w:tcPr>
          <w:p w14:paraId="14A69E98" w14:textId="77777777" w:rsidR="004F10A9" w:rsidRDefault="004F10A9" w:rsidP="00C81323">
            <w:r>
              <w:rPr>
                <w:rFonts w:ascii="Arial" w:eastAsia="Arial" w:hAnsi="Arial" w:cs="Arial"/>
                <w:b/>
                <w:bCs/>
                <w:color w:val="FFFFFF"/>
                <w:sz w:val="20"/>
                <w:szCs w:val="20"/>
              </w:rPr>
              <w:t>Name</w:t>
            </w:r>
          </w:p>
        </w:tc>
        <w:tc>
          <w:tcPr>
            <w:tcW w:w="2474" w:type="dxa"/>
            <w:shd w:val="clear" w:color="auto" w:fill="1F3864"/>
          </w:tcPr>
          <w:p w14:paraId="13344B03" w14:textId="77777777" w:rsidR="004F10A9" w:rsidRDefault="004F10A9" w:rsidP="00C81323">
            <w:pPr>
              <w:rPr>
                <w:rFonts w:ascii="Arial" w:eastAsia="Arial" w:hAnsi="Arial" w:cs="Arial"/>
                <w:b/>
                <w:bCs/>
                <w:color w:val="FFFFFF"/>
                <w:sz w:val="20"/>
                <w:szCs w:val="20"/>
              </w:rPr>
            </w:pPr>
          </w:p>
        </w:tc>
        <w:tc>
          <w:tcPr>
            <w:tcW w:w="2474" w:type="dxa"/>
            <w:shd w:val="clear" w:color="auto" w:fill="1F3864"/>
            <w:tcMar>
              <w:top w:w="100" w:type="dxa"/>
              <w:left w:w="120" w:type="dxa"/>
              <w:bottom w:w="100" w:type="dxa"/>
              <w:right w:w="120" w:type="dxa"/>
            </w:tcMar>
          </w:tcPr>
          <w:p w14:paraId="571EDE72" w14:textId="73515B9B" w:rsidR="004F10A9" w:rsidRDefault="004F10A9" w:rsidP="00C81323">
            <w:r>
              <w:rPr>
                <w:rFonts w:ascii="Arial" w:eastAsia="Arial" w:hAnsi="Arial" w:cs="Arial"/>
                <w:b/>
                <w:bCs/>
                <w:color w:val="FFFFFF"/>
                <w:sz w:val="20"/>
                <w:szCs w:val="20"/>
              </w:rPr>
              <w:t>New role</w:t>
            </w:r>
          </w:p>
        </w:tc>
        <w:tc>
          <w:tcPr>
            <w:tcW w:w="1391" w:type="dxa"/>
            <w:shd w:val="clear" w:color="auto" w:fill="1F3864"/>
            <w:tcMar>
              <w:top w:w="100" w:type="dxa"/>
              <w:left w:w="120" w:type="dxa"/>
              <w:bottom w:w="100" w:type="dxa"/>
              <w:right w:w="120" w:type="dxa"/>
            </w:tcMar>
          </w:tcPr>
          <w:p w14:paraId="5648A237" w14:textId="77777777" w:rsidR="004F10A9" w:rsidRDefault="004F10A9" w:rsidP="00C81323">
            <w:r>
              <w:rPr>
                <w:rFonts w:ascii="Arial" w:eastAsia="Arial" w:hAnsi="Arial" w:cs="Arial"/>
                <w:b/>
                <w:bCs/>
                <w:color w:val="FFFFFF"/>
                <w:sz w:val="20"/>
                <w:szCs w:val="20"/>
              </w:rPr>
              <w:t>Effective date</w:t>
            </w:r>
          </w:p>
        </w:tc>
        <w:tc>
          <w:tcPr>
            <w:tcW w:w="2553" w:type="dxa"/>
            <w:shd w:val="clear" w:color="auto" w:fill="1F3864"/>
            <w:tcMar>
              <w:top w:w="100" w:type="dxa"/>
              <w:left w:w="120" w:type="dxa"/>
              <w:bottom w:w="100" w:type="dxa"/>
              <w:right w:w="120" w:type="dxa"/>
            </w:tcMar>
          </w:tcPr>
          <w:p w14:paraId="3B83F9EA" w14:textId="77777777" w:rsidR="004F10A9" w:rsidRDefault="004F10A9" w:rsidP="00C81323">
            <w:r>
              <w:rPr>
                <w:rFonts w:ascii="Arial" w:eastAsia="Arial" w:hAnsi="Arial" w:cs="Arial"/>
                <w:b/>
                <w:bCs/>
                <w:color w:val="FFFFFF"/>
                <w:sz w:val="20"/>
                <w:szCs w:val="20"/>
              </w:rPr>
              <w:t>Background</w:t>
            </w:r>
          </w:p>
        </w:tc>
      </w:tr>
      <w:tr w:rsidR="004F10A9" w14:paraId="170B5696" w14:textId="77777777" w:rsidTr="004F10A9">
        <w:trPr>
          <w:trHeight w:val="1092"/>
        </w:trPr>
        <w:tc>
          <w:tcPr>
            <w:tcW w:w="1855" w:type="dxa"/>
            <w:tcMar>
              <w:top w:w="100" w:type="dxa"/>
              <w:left w:w="120" w:type="dxa"/>
              <w:bottom w:w="100" w:type="dxa"/>
              <w:right w:w="120" w:type="dxa"/>
            </w:tcMar>
          </w:tcPr>
          <w:p w14:paraId="055820F4" w14:textId="77777777" w:rsidR="004F10A9" w:rsidRDefault="004F10A9" w:rsidP="00C81323">
            <w:pPr>
              <w:spacing w:line="276" w:lineRule="auto"/>
            </w:pPr>
            <w:r>
              <w:rPr>
                <w:rFonts w:ascii="Arial" w:eastAsia="Arial" w:hAnsi="Arial" w:cs="Arial"/>
                <w:sz w:val="20"/>
                <w:szCs w:val="20"/>
              </w:rPr>
              <w:t>Steve Marsh</w:t>
            </w:r>
          </w:p>
        </w:tc>
        <w:tc>
          <w:tcPr>
            <w:tcW w:w="2474" w:type="dxa"/>
          </w:tcPr>
          <w:p w14:paraId="0968216B" w14:textId="77777777" w:rsidR="004F10A9" w:rsidRDefault="004F10A9" w:rsidP="00C81323">
            <w:pPr>
              <w:spacing w:line="276" w:lineRule="auto"/>
              <w:rPr>
                <w:rFonts w:ascii="Arial" w:eastAsia="Arial" w:hAnsi="Arial" w:cs="Arial"/>
                <w:sz w:val="20"/>
                <w:szCs w:val="20"/>
              </w:rPr>
            </w:pPr>
          </w:p>
        </w:tc>
        <w:tc>
          <w:tcPr>
            <w:tcW w:w="2474" w:type="dxa"/>
            <w:tcMar>
              <w:top w:w="100" w:type="dxa"/>
              <w:left w:w="120" w:type="dxa"/>
              <w:bottom w:w="100" w:type="dxa"/>
              <w:right w:w="120" w:type="dxa"/>
            </w:tcMar>
          </w:tcPr>
          <w:p w14:paraId="20F4DA9A" w14:textId="582E75C0" w:rsidR="004F10A9" w:rsidRDefault="004F10A9" w:rsidP="00C81323">
            <w:pPr>
              <w:spacing w:line="276" w:lineRule="auto"/>
            </w:pPr>
            <w:r>
              <w:rPr>
                <w:rFonts w:ascii="Arial" w:eastAsia="Arial" w:hAnsi="Arial" w:cs="Arial"/>
                <w:sz w:val="20"/>
                <w:szCs w:val="20"/>
              </w:rPr>
              <w:t>Executive Director, Vehicle Programmes</w:t>
            </w:r>
          </w:p>
        </w:tc>
        <w:tc>
          <w:tcPr>
            <w:tcW w:w="1391" w:type="dxa"/>
            <w:tcMar>
              <w:top w:w="100" w:type="dxa"/>
              <w:left w:w="120" w:type="dxa"/>
              <w:bottom w:w="100" w:type="dxa"/>
              <w:right w:w="120" w:type="dxa"/>
            </w:tcMar>
          </w:tcPr>
          <w:p w14:paraId="6C7314FE" w14:textId="77777777" w:rsidR="004F10A9" w:rsidRDefault="004F10A9" w:rsidP="00C81323">
            <w:pPr>
              <w:spacing w:line="276" w:lineRule="auto"/>
            </w:pPr>
            <w:r>
              <w:rPr>
                <w:rFonts w:ascii="Arial" w:eastAsia="Arial" w:hAnsi="Arial" w:cs="Arial"/>
                <w:sz w:val="20"/>
                <w:szCs w:val="20"/>
              </w:rPr>
              <w:t>21 October 2024</w:t>
            </w:r>
          </w:p>
        </w:tc>
        <w:tc>
          <w:tcPr>
            <w:tcW w:w="2553" w:type="dxa"/>
            <w:tcMar>
              <w:top w:w="100" w:type="dxa"/>
              <w:left w:w="120" w:type="dxa"/>
              <w:bottom w:w="100" w:type="dxa"/>
              <w:right w:w="120" w:type="dxa"/>
            </w:tcMar>
          </w:tcPr>
          <w:p w14:paraId="15F94651" w14:textId="77777777" w:rsidR="004F10A9" w:rsidRDefault="004F10A9" w:rsidP="00C81323">
            <w:pPr>
              <w:spacing w:line="276" w:lineRule="auto"/>
            </w:pPr>
            <w:r>
              <w:rPr>
                <w:rFonts w:ascii="Arial" w:eastAsia="Arial" w:hAnsi="Arial" w:cs="Arial"/>
                <w:sz w:val="20"/>
                <w:szCs w:val="20"/>
              </w:rPr>
              <w:t>36-year automotive career; previously Director, Global Manufacturing Operations at JLR, having joined from Nissan</w:t>
            </w:r>
          </w:p>
        </w:tc>
      </w:tr>
      <w:tr w:rsidR="004F10A9" w14:paraId="33AC10C8" w14:textId="77777777" w:rsidTr="004F10A9">
        <w:trPr>
          <w:trHeight w:val="1114"/>
        </w:trPr>
        <w:tc>
          <w:tcPr>
            <w:tcW w:w="1855" w:type="dxa"/>
            <w:shd w:val="clear" w:color="auto" w:fill="F2F5FA"/>
            <w:tcMar>
              <w:top w:w="100" w:type="dxa"/>
              <w:left w:w="120" w:type="dxa"/>
              <w:bottom w:w="100" w:type="dxa"/>
              <w:right w:w="120" w:type="dxa"/>
            </w:tcMar>
          </w:tcPr>
          <w:p w14:paraId="29058512" w14:textId="77777777" w:rsidR="004F10A9" w:rsidRDefault="004F10A9" w:rsidP="00C81323">
            <w:pPr>
              <w:spacing w:line="276" w:lineRule="auto"/>
            </w:pPr>
            <w:r>
              <w:rPr>
                <w:rFonts w:ascii="Arial" w:eastAsia="Arial" w:hAnsi="Arial" w:cs="Arial"/>
                <w:sz w:val="20"/>
                <w:szCs w:val="20"/>
              </w:rPr>
              <w:t>Swarna Ramanathan</w:t>
            </w:r>
          </w:p>
        </w:tc>
        <w:tc>
          <w:tcPr>
            <w:tcW w:w="2474" w:type="dxa"/>
            <w:shd w:val="clear" w:color="auto" w:fill="F2F5FA"/>
          </w:tcPr>
          <w:p w14:paraId="19552B3B" w14:textId="77777777" w:rsidR="004F10A9" w:rsidRDefault="004F10A9" w:rsidP="00C81323">
            <w:pPr>
              <w:spacing w:line="276" w:lineRule="auto"/>
              <w:rPr>
                <w:rFonts w:ascii="Arial" w:eastAsia="Arial" w:hAnsi="Arial" w:cs="Arial"/>
                <w:sz w:val="20"/>
                <w:szCs w:val="20"/>
              </w:rPr>
            </w:pPr>
          </w:p>
        </w:tc>
        <w:tc>
          <w:tcPr>
            <w:tcW w:w="2474" w:type="dxa"/>
            <w:shd w:val="clear" w:color="auto" w:fill="F2F5FA"/>
            <w:tcMar>
              <w:top w:w="100" w:type="dxa"/>
              <w:left w:w="120" w:type="dxa"/>
              <w:bottom w:w="100" w:type="dxa"/>
              <w:right w:w="120" w:type="dxa"/>
            </w:tcMar>
          </w:tcPr>
          <w:p w14:paraId="53CECF71" w14:textId="7AD6B11A" w:rsidR="004F10A9" w:rsidRDefault="004F10A9" w:rsidP="00C81323">
            <w:pPr>
              <w:spacing w:line="276" w:lineRule="auto"/>
            </w:pPr>
            <w:r>
              <w:rPr>
                <w:rFonts w:ascii="Arial" w:eastAsia="Arial" w:hAnsi="Arial" w:cs="Arial"/>
                <w:sz w:val="20"/>
                <w:szCs w:val="20"/>
              </w:rPr>
              <w:t>Chief Strategy Officer</w:t>
            </w:r>
          </w:p>
        </w:tc>
        <w:tc>
          <w:tcPr>
            <w:tcW w:w="1391" w:type="dxa"/>
            <w:shd w:val="clear" w:color="auto" w:fill="F2F5FA"/>
            <w:tcMar>
              <w:top w:w="100" w:type="dxa"/>
              <w:left w:w="120" w:type="dxa"/>
              <w:bottom w:w="100" w:type="dxa"/>
              <w:right w:w="120" w:type="dxa"/>
            </w:tcMar>
          </w:tcPr>
          <w:p w14:paraId="3FF8FBF7" w14:textId="77777777" w:rsidR="004F10A9" w:rsidRDefault="004F10A9" w:rsidP="00C81323">
            <w:pPr>
              <w:spacing w:line="276" w:lineRule="auto"/>
            </w:pPr>
            <w:r>
              <w:rPr>
                <w:rFonts w:ascii="Arial" w:eastAsia="Arial" w:hAnsi="Arial" w:cs="Arial"/>
                <w:sz w:val="20"/>
                <w:szCs w:val="20"/>
              </w:rPr>
              <w:t>4 November 2024</w:t>
            </w:r>
          </w:p>
        </w:tc>
        <w:tc>
          <w:tcPr>
            <w:tcW w:w="2553" w:type="dxa"/>
            <w:shd w:val="clear" w:color="auto" w:fill="F2F5FA"/>
            <w:tcMar>
              <w:top w:w="100" w:type="dxa"/>
              <w:left w:w="120" w:type="dxa"/>
              <w:bottom w:w="100" w:type="dxa"/>
              <w:right w:w="120" w:type="dxa"/>
            </w:tcMar>
          </w:tcPr>
          <w:p w14:paraId="4DE70B5F" w14:textId="77777777" w:rsidR="004F10A9" w:rsidRDefault="004F10A9" w:rsidP="00C81323">
            <w:pPr>
              <w:spacing w:line="276" w:lineRule="auto"/>
            </w:pPr>
            <w:r>
              <w:rPr>
                <w:rFonts w:ascii="Arial" w:eastAsia="Arial" w:hAnsi="Arial" w:cs="Arial"/>
                <w:sz w:val="20"/>
                <w:szCs w:val="20"/>
              </w:rPr>
              <w:t>Joined from McKinsey &amp; Company, where she was a Partner in the firm's Centre for Future Mobility</w:t>
            </w:r>
          </w:p>
        </w:tc>
      </w:tr>
      <w:tr w:rsidR="004F10A9" w14:paraId="3027E009" w14:textId="77777777" w:rsidTr="004F10A9">
        <w:trPr>
          <w:trHeight w:val="852"/>
        </w:trPr>
        <w:tc>
          <w:tcPr>
            <w:tcW w:w="1855" w:type="dxa"/>
            <w:tcMar>
              <w:top w:w="100" w:type="dxa"/>
              <w:left w:w="120" w:type="dxa"/>
              <w:bottom w:w="100" w:type="dxa"/>
              <w:right w:w="120" w:type="dxa"/>
            </w:tcMar>
          </w:tcPr>
          <w:p w14:paraId="6B0C9741" w14:textId="77777777" w:rsidR="004F10A9" w:rsidRDefault="004F10A9" w:rsidP="00C81323">
            <w:pPr>
              <w:spacing w:line="276" w:lineRule="auto"/>
            </w:pPr>
            <w:r>
              <w:rPr>
                <w:rFonts w:ascii="Arial" w:eastAsia="Arial" w:hAnsi="Arial" w:cs="Arial"/>
                <w:sz w:val="20"/>
                <w:szCs w:val="20"/>
              </w:rPr>
              <w:t>John Beswick</w:t>
            </w:r>
          </w:p>
        </w:tc>
        <w:tc>
          <w:tcPr>
            <w:tcW w:w="2474" w:type="dxa"/>
          </w:tcPr>
          <w:p w14:paraId="02BCEC0A" w14:textId="77777777" w:rsidR="004F10A9" w:rsidRDefault="004F10A9" w:rsidP="00C81323">
            <w:pPr>
              <w:spacing w:line="276" w:lineRule="auto"/>
              <w:rPr>
                <w:rFonts w:ascii="Arial" w:eastAsia="Arial" w:hAnsi="Arial" w:cs="Arial"/>
                <w:sz w:val="20"/>
                <w:szCs w:val="20"/>
              </w:rPr>
            </w:pPr>
          </w:p>
        </w:tc>
        <w:tc>
          <w:tcPr>
            <w:tcW w:w="2474" w:type="dxa"/>
            <w:tcMar>
              <w:top w:w="100" w:type="dxa"/>
              <w:left w:w="120" w:type="dxa"/>
              <w:bottom w:w="100" w:type="dxa"/>
              <w:right w:w="120" w:type="dxa"/>
            </w:tcMar>
          </w:tcPr>
          <w:p w14:paraId="5D138735" w14:textId="736848C7" w:rsidR="004F10A9" w:rsidRDefault="004F10A9" w:rsidP="00C81323">
            <w:pPr>
              <w:spacing w:line="276" w:lineRule="auto"/>
            </w:pPr>
            <w:r>
              <w:rPr>
                <w:rFonts w:ascii="Arial" w:eastAsia="Arial" w:hAnsi="Arial" w:cs="Arial"/>
                <w:sz w:val="20"/>
                <w:szCs w:val="20"/>
              </w:rPr>
              <w:t>Chief Transformation and Performance Officer (new role)</w:t>
            </w:r>
          </w:p>
        </w:tc>
        <w:tc>
          <w:tcPr>
            <w:tcW w:w="1391" w:type="dxa"/>
            <w:tcMar>
              <w:top w:w="100" w:type="dxa"/>
              <w:left w:w="120" w:type="dxa"/>
              <w:bottom w:w="100" w:type="dxa"/>
              <w:right w:w="120" w:type="dxa"/>
            </w:tcMar>
          </w:tcPr>
          <w:p w14:paraId="5136D9FD" w14:textId="77777777" w:rsidR="004F10A9" w:rsidRDefault="004F10A9" w:rsidP="00C81323">
            <w:pPr>
              <w:spacing w:line="276" w:lineRule="auto"/>
            </w:pPr>
            <w:r>
              <w:rPr>
                <w:rFonts w:ascii="Arial" w:eastAsia="Arial" w:hAnsi="Arial" w:cs="Arial"/>
                <w:sz w:val="20"/>
                <w:szCs w:val="20"/>
              </w:rPr>
              <w:t>4 November 2024</w:t>
            </w:r>
          </w:p>
        </w:tc>
        <w:tc>
          <w:tcPr>
            <w:tcW w:w="2553" w:type="dxa"/>
            <w:tcMar>
              <w:top w:w="100" w:type="dxa"/>
              <w:left w:w="120" w:type="dxa"/>
              <w:bottom w:w="100" w:type="dxa"/>
              <w:right w:w="120" w:type="dxa"/>
            </w:tcMar>
          </w:tcPr>
          <w:p w14:paraId="4055A1AA" w14:textId="77777777" w:rsidR="004F10A9" w:rsidRDefault="004F10A9" w:rsidP="00C81323">
            <w:pPr>
              <w:spacing w:line="276" w:lineRule="auto"/>
            </w:pPr>
            <w:r>
              <w:rPr>
                <w:rFonts w:ascii="Arial" w:eastAsia="Arial" w:hAnsi="Arial" w:cs="Arial"/>
                <w:sz w:val="20"/>
                <w:szCs w:val="20"/>
              </w:rPr>
              <w:t>Previously CFO at Great Ormond Street Hospital; prior finance leadership roles at BT</w:t>
            </w:r>
          </w:p>
        </w:tc>
      </w:tr>
    </w:tbl>
    <w:p w14:paraId="77DF6275" w14:textId="4FD1263A" w:rsidR="004F10A9" w:rsidRDefault="004F10A9" w:rsidP="00C81323">
      <w:pPr>
        <w:rPr>
          <w:rFonts w:ascii="Arial" w:hAnsi="Arial" w:cs="Arial"/>
          <w:sz w:val="24"/>
          <w:szCs w:val="24"/>
        </w:rPr>
      </w:pPr>
      <w:r>
        <w:rPr>
          <w:rFonts w:ascii="Arial" w:hAnsi="Arial" w:cs="Arial"/>
          <w:sz w:val="24"/>
          <w:szCs w:val="24"/>
        </w:rPr>
        <w:t xml:space="preserve"> </w:t>
      </w:r>
    </w:p>
    <w:p w14:paraId="1CDD9616" w14:textId="77777777" w:rsidR="004F10A9" w:rsidRPr="004F10A9" w:rsidRDefault="004F10A9" w:rsidP="00C81323">
      <w:pPr>
        <w:pStyle w:val="Heading2"/>
        <w:rPr>
          <w:rFonts w:ascii="Arial" w:hAnsi="Arial" w:cs="Arial"/>
          <w:sz w:val="24"/>
          <w:szCs w:val="24"/>
        </w:rPr>
      </w:pPr>
      <w:r w:rsidRPr="004F10A9">
        <w:rPr>
          <w:rFonts w:ascii="Arial" w:hAnsi="Arial" w:cs="Arial"/>
          <w:sz w:val="24"/>
          <w:szCs w:val="24"/>
        </w:rPr>
        <w:br/>
      </w:r>
      <w:bookmarkStart w:id="6" w:name="_Toc237007073"/>
      <w:r w:rsidRPr="004F10A9">
        <w:rPr>
          <w:rFonts w:ascii="Arial" w:hAnsi="Arial" w:cs="Arial"/>
          <w:sz w:val="24"/>
          <w:szCs w:val="24"/>
        </w:rPr>
        <w:t>3.3 ADKAR</w:t>
      </w:r>
      <w:bookmarkEnd w:id="6"/>
    </w:p>
    <w:p w14:paraId="7BD37C44" w14:textId="77777777" w:rsidR="004F10A9" w:rsidRPr="004F10A9" w:rsidRDefault="004F10A9" w:rsidP="00C81323">
      <w:pPr>
        <w:spacing w:after="200" w:line="360" w:lineRule="auto"/>
        <w:rPr>
          <w:rFonts w:ascii="Arial" w:hAnsi="Arial" w:cs="Arial"/>
          <w:sz w:val="24"/>
          <w:szCs w:val="24"/>
        </w:rPr>
      </w:pPr>
      <w:r w:rsidRPr="004F10A9">
        <w:rPr>
          <w:rFonts w:ascii="Arial" w:hAnsi="Arial" w:cs="Arial"/>
          <w:sz w:val="24"/>
          <w:szCs w:val="24"/>
        </w:rPr>
        <w:t>Hiatt's (2006) ADKAR model shifts the unit of analysis from the organisation to the individual, proposing that change succeeds only where each affected person achieves Awareness, Desire, Knowledge, Ability and Reinforcement. Applied to the cyberattack response, the diagnostic value is considerable. Awareness was created instantaneously and unavoidably by the shutdown itself. Desire was similarly unproblematic, since employees' livelihoods were visibly at risk. Knowledge and Ability, however, had to be developed rapidly and under extreme pressure, through emergency procedures and altered working practices.</w:t>
      </w:r>
    </w:p>
    <w:p w14:paraId="7B533855" w14:textId="77777777" w:rsidR="004F10A9" w:rsidRPr="004F10A9" w:rsidRDefault="004F10A9" w:rsidP="00C81323">
      <w:pPr>
        <w:spacing w:after="200" w:line="360" w:lineRule="auto"/>
        <w:rPr>
          <w:rFonts w:ascii="Arial" w:hAnsi="Arial" w:cs="Arial"/>
          <w:sz w:val="24"/>
          <w:szCs w:val="24"/>
        </w:rPr>
      </w:pPr>
      <w:r w:rsidRPr="004F10A9">
        <w:rPr>
          <w:rFonts w:ascii="Arial" w:hAnsi="Arial" w:cs="Arial"/>
          <w:sz w:val="24"/>
          <w:szCs w:val="24"/>
        </w:rPr>
        <w:t>This reveals a specific organisational failure. The individual-level elements of change were achievable; what was absent was Reinforcement, the structures that would have embedded resilience practices before the crisis rather than during it. ADKAR thus identifies precisely the gap that Section 5 addresses.</w:t>
      </w:r>
    </w:p>
    <w:p w14:paraId="42A509FE" w14:textId="77777777" w:rsidR="004F10A9" w:rsidRDefault="004F10A9" w:rsidP="00C81323">
      <w:pPr>
        <w:spacing w:after="200" w:line="360" w:lineRule="auto"/>
      </w:pPr>
    </w:p>
    <w:p w14:paraId="7210CA3E" w14:textId="795DAEF6" w:rsidR="007D331A" w:rsidRPr="004F10A9" w:rsidRDefault="004F10A9" w:rsidP="00C81323">
      <w:pPr>
        <w:rPr>
          <w:rFonts w:ascii="Arial" w:hAnsi="Arial" w:cs="Arial"/>
          <w:sz w:val="24"/>
          <w:szCs w:val="24"/>
        </w:rPr>
      </w:pPr>
      <w:r w:rsidRPr="004F10A9">
        <w:rPr>
          <w:rFonts w:ascii="Arial" w:hAnsi="Arial" w:cs="Arial"/>
          <w:sz w:val="24"/>
          <w:szCs w:val="24"/>
        </w:rPr>
        <w:lastRenderedPageBreak/>
        <w:br/>
      </w:r>
      <w:bookmarkStart w:id="7" w:name="_Toc237007074"/>
      <w:r w:rsidRPr="004F10A9">
        <w:rPr>
          <w:rStyle w:val="Heading2Char"/>
        </w:rPr>
        <w:t>3.</w:t>
      </w:r>
      <w:r>
        <w:rPr>
          <w:rStyle w:val="Heading2Char"/>
        </w:rPr>
        <w:t xml:space="preserve">4 </w:t>
      </w:r>
      <w:r w:rsidRPr="004F10A9">
        <w:rPr>
          <w:rStyle w:val="Heading2Char"/>
        </w:rPr>
        <w:t>McKinsey 7S and comparative evaluation</w:t>
      </w:r>
      <w:bookmarkEnd w:id="7"/>
      <w:r w:rsidRPr="004F10A9">
        <w:rPr>
          <w:rFonts w:ascii="Arial" w:hAnsi="Arial" w:cs="Arial"/>
          <w:sz w:val="24"/>
          <w:szCs w:val="24"/>
        </w:rPr>
        <w:br/>
      </w:r>
      <w:r w:rsidRPr="004F10A9">
        <w:rPr>
          <w:rFonts w:ascii="Arial" w:hAnsi="Arial" w:cs="Arial"/>
          <w:sz w:val="24"/>
          <w:szCs w:val="24"/>
        </w:rPr>
        <w:br/>
        <w:t xml:space="preserve">Each model </w:t>
      </w:r>
      <w:r w:rsidR="00FD6212" w:rsidRPr="004F10A9">
        <w:rPr>
          <w:rFonts w:ascii="Arial" w:hAnsi="Arial" w:cs="Arial"/>
          <w:sz w:val="24"/>
          <w:szCs w:val="24"/>
        </w:rPr>
        <w:t>illuminates’</w:t>
      </w:r>
      <w:r w:rsidRPr="004F10A9">
        <w:rPr>
          <w:rFonts w:ascii="Arial" w:hAnsi="Arial" w:cs="Arial"/>
          <w:sz w:val="24"/>
          <w:szCs w:val="24"/>
        </w:rPr>
        <w:t xml:space="preserve"> part of JLR's situation and none covers the whole. Lewin explains crisis management but assumes a stability JLR does not enjoy. Kotter explains long-term transformation but presupposes leadership continuity JLR has not maintained. ADKAR explains individual adoption but not the interaction between organisational elements.</w:t>
      </w:r>
      <w:r w:rsidRPr="004F10A9">
        <w:rPr>
          <w:rFonts w:ascii="Arial" w:hAnsi="Arial" w:cs="Arial"/>
          <w:sz w:val="24"/>
          <w:szCs w:val="24"/>
        </w:rPr>
        <w:br/>
      </w:r>
      <w:r w:rsidRPr="004F10A9">
        <w:rPr>
          <w:rFonts w:ascii="Arial" w:hAnsi="Arial" w:cs="Arial"/>
          <w:sz w:val="24"/>
          <w:szCs w:val="24"/>
        </w:rPr>
        <w:br/>
        <w:t>The McKinsey 7S framework (Waterman, Peters and Phillips, 1980) addresses this last gap. By treating strategy, structure, systems, shared values, style, staff and skills as interdependent, it explains why JLR's difficulty is systemic rather than located in any single element. Reimagine represents a coherent strategy; the failure lay in systems, specifically the digital infrastructure supporting it, and in skills, specifically cyber-resilience capability. Because the elements are interdependent, a deficiency in systems undermined the strategy irrespective of the strategy's merit. The framework's further advantage is that it contains no terminal state, making it better suited than sequential models to an organisation facing continuous external shock.</w:t>
      </w:r>
      <w:r w:rsidRPr="004F10A9">
        <w:rPr>
          <w:rFonts w:ascii="Arial" w:hAnsi="Arial" w:cs="Arial"/>
          <w:sz w:val="24"/>
          <w:szCs w:val="24"/>
        </w:rPr>
        <w:br/>
      </w:r>
      <w:r w:rsidRPr="004F10A9">
        <w:rPr>
          <w:rFonts w:ascii="Arial" w:hAnsi="Arial" w:cs="Arial"/>
          <w:sz w:val="24"/>
          <w:szCs w:val="24"/>
        </w:rPr>
        <w:br/>
      </w:r>
      <w:r w:rsidRPr="004F10A9">
        <w:rPr>
          <w:rStyle w:val="Heading2Char"/>
        </w:rPr>
        <w:t>4. Leadership and Organisational Culture</w:t>
      </w:r>
      <w:r w:rsidRPr="004F10A9">
        <w:rPr>
          <w:rStyle w:val="Heading2Char"/>
        </w:rPr>
        <w:br/>
        <w:t>4.1 Three leadership styles in five years</w:t>
      </w:r>
      <w:r w:rsidRPr="004F10A9">
        <w:rPr>
          <w:rStyle w:val="Heading2Char"/>
        </w:rPr>
        <w:br/>
      </w:r>
      <w:r w:rsidRPr="004F10A9">
        <w:rPr>
          <w:rFonts w:ascii="Arial" w:hAnsi="Arial" w:cs="Arial"/>
          <w:sz w:val="24"/>
          <w:szCs w:val="24"/>
        </w:rPr>
        <w:br/>
        <w:t>Bass (1985) distinguishes transformational leadership, which motivates followers through idealised influence, inspirational motivation, intellectual stimulation and individualised consideration, from transactional leadership, which operates through contingent reward and management by exception. JLR's recent history offers an unusually clear illustration of both, and of the costs of oscillating between them.</w:t>
      </w:r>
      <w:r w:rsidRPr="004F10A9">
        <w:rPr>
          <w:rFonts w:ascii="Arial" w:hAnsi="Arial" w:cs="Arial"/>
          <w:sz w:val="24"/>
          <w:szCs w:val="24"/>
        </w:rPr>
        <w:br/>
      </w:r>
    </w:p>
    <w:p w14:paraId="722C1379" w14:textId="57A8D0D4" w:rsidR="004F10A9" w:rsidRDefault="004F10A9" w:rsidP="00C81323">
      <w:pPr>
        <w:rPr>
          <w:rFonts w:ascii="Arial" w:hAnsi="Arial" w:cs="Arial"/>
          <w:sz w:val="24"/>
          <w:szCs w:val="24"/>
        </w:rPr>
      </w:pPr>
      <w:r w:rsidRPr="004F10A9">
        <w:rPr>
          <w:rFonts w:ascii="Arial" w:hAnsi="Arial" w:cs="Arial"/>
          <w:sz w:val="24"/>
          <w:szCs w:val="24"/>
        </w:rPr>
        <w:t>Thierry Bolloré, Chief Executive from 2020 to 2022, was the architect of Reimagine and operated in a strongly transformational register. Articulating a radical vision for an entirely electric Jaguar, challenging deeply held assumptions within an engineering-led organisation, and committing to a strategy whose returns lay years ahead all correspond closely to Bass's model. Transformational leadership was arguably necessary to move a traditional manufacturer towards the scale of change electrification demanded. However, Bolloré resigned in 2022 approximately two years into the role, following a period of financial underperformance, illustrating the vulnerability of transformational leadership when short-term results deteriorate.</w:t>
      </w:r>
      <w:r w:rsidRPr="004F10A9">
        <w:rPr>
          <w:rFonts w:ascii="Arial" w:hAnsi="Arial" w:cs="Arial"/>
          <w:sz w:val="24"/>
          <w:szCs w:val="24"/>
        </w:rPr>
        <w:br/>
      </w:r>
      <w:r w:rsidRPr="004F10A9">
        <w:rPr>
          <w:rFonts w:ascii="Arial" w:hAnsi="Arial" w:cs="Arial"/>
          <w:sz w:val="24"/>
          <w:szCs w:val="24"/>
        </w:rPr>
        <w:br/>
        <w:t xml:space="preserve">Adrian Mardell, Chief Executive from November 2022 to November 2025, combined transformational continuity with markedly stronger transactional discipline. Having served as Chief Financial Officer, Mardell maintained </w:t>
      </w:r>
      <w:r w:rsidR="00FD6212" w:rsidRPr="004F10A9">
        <w:rPr>
          <w:rFonts w:ascii="Arial" w:hAnsi="Arial" w:cs="Arial"/>
          <w:sz w:val="24"/>
          <w:szCs w:val="24"/>
        </w:rPr>
        <w:t>Reimagines</w:t>
      </w:r>
      <w:r w:rsidRPr="004F10A9">
        <w:rPr>
          <w:rFonts w:ascii="Arial" w:hAnsi="Arial" w:cs="Arial"/>
          <w:sz w:val="24"/>
          <w:szCs w:val="24"/>
        </w:rPr>
        <w:t xml:space="preserve"> direction whilst delivering the operational and financial performance that gave it credibility, culminating in the FY25 record. Tata Sons Chairman Natarajan Chandrasekaran credited him with the stellar turnaround of JLR and with delivering record results (JLR Media Newsroom, 2025). Mardell's </w:t>
      </w:r>
      <w:r w:rsidR="001B77B3" w:rsidRPr="004F10A9">
        <w:rPr>
          <w:rFonts w:ascii="Arial" w:hAnsi="Arial" w:cs="Arial"/>
          <w:sz w:val="24"/>
          <w:szCs w:val="24"/>
        </w:rPr>
        <w:t>thirty-five-year</w:t>
      </w:r>
      <w:r w:rsidRPr="004F10A9">
        <w:rPr>
          <w:rFonts w:ascii="Arial" w:hAnsi="Arial" w:cs="Arial"/>
          <w:sz w:val="24"/>
          <w:szCs w:val="24"/>
        </w:rPr>
        <w:t xml:space="preserve"> tenure at the company is </w:t>
      </w:r>
      <w:r w:rsidRPr="004F10A9">
        <w:rPr>
          <w:rFonts w:ascii="Arial" w:hAnsi="Arial" w:cs="Arial"/>
          <w:sz w:val="24"/>
          <w:szCs w:val="24"/>
        </w:rPr>
        <w:lastRenderedPageBreak/>
        <w:t>significant in itself: internal legitimacy is a resource that external appointments lack, and it plausibly explains why the same strategy encountered less internal resistance under his leadership than under his predecessor's.</w:t>
      </w:r>
      <w:r w:rsidRPr="004F10A9">
        <w:rPr>
          <w:rFonts w:ascii="Arial" w:hAnsi="Arial" w:cs="Arial"/>
          <w:sz w:val="24"/>
          <w:szCs w:val="24"/>
        </w:rPr>
        <w:br/>
      </w:r>
      <w:r w:rsidRPr="004F10A9">
        <w:rPr>
          <w:rFonts w:ascii="Arial" w:hAnsi="Arial" w:cs="Arial"/>
          <w:sz w:val="24"/>
          <w:szCs w:val="24"/>
        </w:rPr>
        <w:br/>
        <w:t>PB Balaji, appointed from November 2025, is JLR's first Indian chief executive. Group Chief Financial Officer of Tata Motors since 2017 and a member of the JLR board across the same period, Balaji brings approximately three decades of experience in finance and supply chain functions, including a lengthy career at Unilever before joining Tata. Chandrasekaran framed the appointment explicitly in terms of continuity, noting Balaji's familiarity with the company and its strategy and stating that the move would ensure JLR continued to accelerate its Reimagine journey (JLR Media Newsroom, 2025). Appointed weeks after the cyberattack shutdown concluded, and with a background weighted towards finance and supply chain rather than product or brand, Balaji's profile suggests a more transactional and situational orientation, prioritising financial stabilisation and supply chain reconstruction over further transformational initiative.</w:t>
      </w:r>
      <w:r w:rsidRPr="004F10A9">
        <w:rPr>
          <w:rFonts w:ascii="Arial" w:hAnsi="Arial" w:cs="Arial"/>
          <w:sz w:val="24"/>
          <w:szCs w:val="24"/>
        </w:rPr>
        <w:br/>
      </w:r>
      <w:r w:rsidRPr="004F10A9">
        <w:rPr>
          <w:rFonts w:ascii="Arial" w:hAnsi="Arial" w:cs="Arial"/>
          <w:sz w:val="24"/>
          <w:szCs w:val="24"/>
        </w:rPr>
        <w:br/>
        <w:t>Situational leadership theory would regard this as appropriate. The organisational task following a crisis differs from the task of initiating transformation, and the leadership style required differs accordingly. The concern is not the appointment itself but the cumulative effect of three distinct leadership styles within five years on an organisation attempting a decade-long transformation.</w:t>
      </w:r>
      <w:r w:rsidRPr="004F10A9">
        <w:rPr>
          <w:rFonts w:ascii="Arial" w:hAnsi="Arial" w:cs="Arial"/>
          <w:sz w:val="24"/>
          <w:szCs w:val="24"/>
        </w:rPr>
        <w:br/>
      </w:r>
      <w:r w:rsidRPr="004F10A9">
        <w:rPr>
          <w:rFonts w:ascii="Arial" w:hAnsi="Arial" w:cs="Arial"/>
          <w:sz w:val="24"/>
          <w:szCs w:val="24"/>
        </w:rPr>
        <w:br/>
      </w:r>
      <w:r w:rsidRPr="004F10A9">
        <w:rPr>
          <w:rStyle w:val="Heading2Char"/>
        </w:rPr>
        <w:t>4.2 Organisational culture</w:t>
      </w:r>
      <w:r w:rsidRPr="004F10A9">
        <w:rPr>
          <w:rFonts w:ascii="Arial" w:hAnsi="Arial" w:cs="Arial"/>
          <w:sz w:val="24"/>
          <w:szCs w:val="24"/>
        </w:rPr>
        <w:br/>
      </w:r>
      <w:r w:rsidRPr="004F10A9">
        <w:rPr>
          <w:rFonts w:ascii="Arial" w:hAnsi="Arial" w:cs="Arial"/>
          <w:sz w:val="24"/>
          <w:szCs w:val="24"/>
        </w:rPr>
        <w:br/>
        <w:t>Handy (1993) identifies four organisational culture types: power, role, task and person. JLR corresponds most closely to a role culture, characterised by functional specialisation, hierarchy, defined procedure and predictability. This is unsurprising and largely appropriate in volume automotive manufacturing, where safety, quality and regulatory compliance depend on procedural consistency.</w:t>
      </w:r>
      <w:r w:rsidRPr="004F10A9">
        <w:rPr>
          <w:rFonts w:ascii="Arial" w:hAnsi="Arial" w:cs="Arial"/>
          <w:sz w:val="24"/>
          <w:szCs w:val="24"/>
        </w:rPr>
        <w:br/>
      </w:r>
      <w:r w:rsidRPr="004F10A9">
        <w:rPr>
          <w:rFonts w:ascii="Arial" w:hAnsi="Arial" w:cs="Arial"/>
          <w:sz w:val="24"/>
          <w:szCs w:val="24"/>
        </w:rPr>
        <w:br/>
        <w:t>The difficulty is that Reimagine requires task culture characteristics: cross-functional teams, tolerance of iteration and failure, and rapid decision-making under uncertainty. Transformation-focused functions operate alongside established engineering teams with substantially different working norms, generating internal friction that manifests as delay and resistance.</w:t>
      </w:r>
      <w:r w:rsidRPr="004F10A9">
        <w:rPr>
          <w:rFonts w:ascii="Arial" w:hAnsi="Arial" w:cs="Arial"/>
          <w:sz w:val="24"/>
          <w:szCs w:val="24"/>
        </w:rPr>
        <w:br/>
      </w:r>
      <w:r w:rsidRPr="004F10A9">
        <w:rPr>
          <w:rFonts w:ascii="Arial" w:hAnsi="Arial" w:cs="Arial"/>
          <w:sz w:val="24"/>
          <w:szCs w:val="24"/>
        </w:rPr>
        <w:br/>
        <w:t xml:space="preserve">Schein (2010) provides the more fundamental analysis. Distinguishing artefacts, espoused values and underlying basic assumptions, Schein argues that artefacts change readily whilst basic assumptions, being largely unconscious, are extremely resistant to alteration and ultimately determine behaviour. JLR has changed its artefacts extensively, including brand identity, product architecture and organisational structure. Whether the basic assumptions of an engineering organisation built around mechanical craftsmanship have shifted towards software-defined products is considerably less clear, and the cyberattack provides indirect evidence that they had not. An organisation whose deep assumptions treated digital infrastructure as a </w:t>
      </w:r>
      <w:r w:rsidRPr="004F10A9">
        <w:rPr>
          <w:rFonts w:ascii="Arial" w:hAnsi="Arial" w:cs="Arial"/>
          <w:sz w:val="24"/>
          <w:szCs w:val="24"/>
        </w:rPr>
        <w:lastRenderedPageBreak/>
        <w:t>support function rather than as productive capacity would predictably underinvest in protecting it.</w:t>
      </w:r>
      <w:r w:rsidRPr="004F10A9">
        <w:rPr>
          <w:rFonts w:ascii="Arial" w:hAnsi="Arial" w:cs="Arial"/>
          <w:sz w:val="24"/>
          <w:szCs w:val="24"/>
        </w:rPr>
        <w:br/>
      </w:r>
      <w:r w:rsidRPr="004F10A9">
        <w:rPr>
          <w:rFonts w:ascii="Arial" w:hAnsi="Arial" w:cs="Arial"/>
          <w:sz w:val="24"/>
          <w:szCs w:val="24"/>
        </w:rPr>
        <w:br/>
        <w:t>The crisis response itself reveals a further tension. Managing the shutdown required centralised, hierarchical decision-making, which the role culture executed effectively. Reimagine requires distributed, collaborative working. The organisation therefore demonstrated competence in precisely the mode its strategy is attempting to move away from, which will reinforce rather than weaken the existing culture. Combined with leadership discontinuity, this makes Kotter's anchoring stage extremely difficult to achieve.</w:t>
      </w:r>
      <w:r w:rsidRPr="004F10A9">
        <w:rPr>
          <w:rFonts w:ascii="Arial" w:hAnsi="Arial" w:cs="Arial"/>
          <w:sz w:val="24"/>
          <w:szCs w:val="24"/>
        </w:rPr>
        <w:br/>
      </w:r>
      <w:r>
        <w:rPr>
          <w:noProof/>
        </w:rPr>
        <w:drawing>
          <wp:inline distT="0" distB="0" distL="0" distR="0" wp14:anchorId="5B54B0C9" wp14:editId="5B0F06AE">
            <wp:extent cx="4381500" cy="2914650"/>
            <wp:effectExtent l="0" t="0" r="0" b="0"/>
            <wp:docPr id="1127181241" name="Picture 1127181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381500" cy="2914650"/>
                    </a:xfrm>
                    <a:prstGeom prst="rect">
                      <a:avLst/>
                    </a:prstGeom>
                  </pic:spPr>
                </pic:pic>
              </a:graphicData>
            </a:graphic>
          </wp:inline>
        </w:drawing>
      </w:r>
      <w:r w:rsidRPr="004F10A9">
        <w:rPr>
          <w:rFonts w:ascii="Arial" w:hAnsi="Arial" w:cs="Arial"/>
          <w:sz w:val="24"/>
          <w:szCs w:val="24"/>
        </w:rPr>
        <w:br/>
      </w:r>
      <w:r w:rsidRPr="004F10A9">
        <w:rPr>
          <w:rStyle w:val="Heading2Char"/>
        </w:rPr>
        <w:t>5. Proposed Change Management Plan</w:t>
      </w:r>
      <w:r w:rsidRPr="004F10A9">
        <w:rPr>
          <w:rStyle w:val="Heading2Char"/>
        </w:rPr>
        <w:br/>
        <w:t>5.1 Rationale and objectives</w:t>
      </w:r>
      <w:r w:rsidRPr="004F10A9">
        <w:rPr>
          <w:rFonts w:ascii="Arial" w:hAnsi="Arial" w:cs="Arial"/>
          <w:sz w:val="24"/>
          <w:szCs w:val="24"/>
        </w:rPr>
        <w:br/>
      </w:r>
      <w:r w:rsidRPr="004F10A9">
        <w:rPr>
          <w:rFonts w:ascii="Arial" w:hAnsi="Arial" w:cs="Arial"/>
          <w:sz w:val="24"/>
          <w:szCs w:val="24"/>
        </w:rPr>
        <w:br/>
        <w:t>The change proposed is not a new strategy. Reimagine remains a coherent response to the competitive and regulatory environment, and the analysis above does not support replacing it. The required change is a step improvement in digital and operational resilience, ensuring the existing transformation can be delivered through future shocks. An Enterprise Cyber-Resilience and Digital Trust Programme is therefore proposed, with four objectives:</w:t>
      </w:r>
      <w:r w:rsidRPr="004F10A9">
        <w:rPr>
          <w:rFonts w:ascii="Arial" w:hAnsi="Arial" w:cs="Arial"/>
          <w:sz w:val="24"/>
          <w:szCs w:val="24"/>
        </w:rPr>
        <w:br/>
      </w:r>
      <w:r w:rsidRPr="004F10A9">
        <w:rPr>
          <w:rFonts w:ascii="Arial" w:hAnsi="Arial" w:cs="Arial"/>
          <w:sz w:val="24"/>
          <w:szCs w:val="24"/>
        </w:rPr>
        <w:br/>
        <w:t>Achieve independently verified information security certification to ISO/IEC 27001 across all UK manufacturing and supplier-facing systems within 18 months.</w:t>
      </w:r>
      <w:r w:rsidRPr="004F10A9">
        <w:rPr>
          <w:rFonts w:ascii="Arial" w:hAnsi="Arial" w:cs="Arial"/>
          <w:sz w:val="24"/>
          <w:szCs w:val="24"/>
        </w:rPr>
        <w:br/>
        <w:t>Eliminate cyber-related production downtime within 24 months, principally through segregation of information technology from operational technology so that a compromise of one does not halt the other.</w:t>
      </w:r>
      <w:r w:rsidRPr="004F10A9">
        <w:rPr>
          <w:rFonts w:ascii="Arial" w:hAnsi="Arial" w:cs="Arial"/>
          <w:sz w:val="24"/>
          <w:szCs w:val="24"/>
        </w:rPr>
        <w:br/>
        <w:t>Restore supplier confidence to pre-attack levels within 12 months, measured through recurring supplier surveys covering satisfaction and payment reliability.</w:t>
      </w:r>
      <w:r w:rsidRPr="004F10A9">
        <w:rPr>
          <w:rFonts w:ascii="Arial" w:hAnsi="Arial" w:cs="Arial"/>
          <w:sz w:val="24"/>
          <w:szCs w:val="24"/>
        </w:rPr>
        <w:br/>
        <w:t>Protect the published Reimagine product timeline from further resilience-related delay.</w:t>
      </w:r>
    </w:p>
    <w:p w14:paraId="2D430861" w14:textId="38129D73" w:rsidR="004F10A9" w:rsidRDefault="004F10A9" w:rsidP="00C81323">
      <w:pPr>
        <w:rPr>
          <w:rFonts w:ascii="Arial" w:hAnsi="Arial" w:cs="Arial"/>
          <w:sz w:val="24"/>
          <w:szCs w:val="24"/>
        </w:rPr>
      </w:pPr>
      <w:r w:rsidRPr="004F10A9">
        <w:rPr>
          <w:rFonts w:ascii="Arial" w:hAnsi="Arial" w:cs="Arial"/>
          <w:sz w:val="24"/>
          <w:szCs w:val="24"/>
        </w:rPr>
        <w:lastRenderedPageBreak/>
        <w:br/>
      </w:r>
      <w:bookmarkStart w:id="8" w:name="_Toc237007075"/>
      <w:r w:rsidRPr="004F10A9">
        <w:rPr>
          <w:rStyle w:val="Heading2Char"/>
        </w:rPr>
        <w:t>5.2 Stakeholder analysis</w:t>
      </w:r>
      <w:bookmarkEnd w:id="8"/>
      <w:r w:rsidRPr="004F10A9">
        <w:rPr>
          <w:rFonts w:ascii="Arial" w:hAnsi="Arial" w:cs="Arial"/>
          <w:sz w:val="24"/>
          <w:szCs w:val="24"/>
        </w:rPr>
        <w:br/>
      </w:r>
      <w:r w:rsidRPr="004F10A9">
        <w:rPr>
          <w:rFonts w:ascii="Arial" w:hAnsi="Arial" w:cs="Arial"/>
          <w:sz w:val="24"/>
          <w:szCs w:val="24"/>
        </w:rPr>
        <w:br/>
        <w:t>A power-interest matrix (Johnson, Whittington and Scholes, 2017) indicates where communication effort should concentrate.</w:t>
      </w:r>
      <w:r>
        <w:rPr>
          <w:rFonts w:ascii="Arial" w:hAnsi="Arial" w:cs="Arial"/>
          <w:sz w:val="24"/>
          <w:szCs w:val="24"/>
        </w:rPr>
        <w:t xml:space="preserve"> </w:t>
      </w:r>
      <w:r w:rsidRPr="004F10A9">
        <w:rPr>
          <w:rFonts w:ascii="Arial" w:hAnsi="Arial" w:cs="Arial"/>
          <w:sz w:val="24"/>
          <w:szCs w:val="24"/>
        </w:rPr>
        <w:t>The UK Government and UK Export Finance combine high power with high interest whilst the £1.5 billion guarantee remains outstanding and require structured regular liaison. Tata Motors and institutional investors similarly combine high power and high interest, as programme approval and funding depend on them. JLR's 34,000 UK employees have high interest but limited individual power and require consistent internal communication, particularly given the visible link between resilience and job security. Suppliers occupy an unusual position: individually low in power, collectively high, since the programme cannot succeed without their compliance. Customers have high interest but low power, and their concerns will centre on data protection rather than the technical programme.</w:t>
      </w:r>
    </w:p>
    <w:tbl>
      <w:tblPr>
        <w:tblStyle w:val="GridTable5Dark-Accent1"/>
        <w:tblW w:w="0" w:type="auto"/>
        <w:tblLook w:val="04A0" w:firstRow="1" w:lastRow="0" w:firstColumn="1" w:lastColumn="0" w:noHBand="0" w:noVBand="1"/>
      </w:tblPr>
      <w:tblGrid>
        <w:gridCol w:w="2404"/>
        <w:gridCol w:w="2056"/>
        <w:gridCol w:w="1017"/>
        <w:gridCol w:w="3539"/>
      </w:tblGrid>
      <w:tr w:rsidR="004F10A9" w:rsidRPr="004F10A9" w14:paraId="24147C6E" w14:textId="77777777" w:rsidTr="004F10A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323E6F" w14:textId="77777777" w:rsidR="004F10A9" w:rsidRPr="004F10A9" w:rsidRDefault="004F10A9" w:rsidP="00C81323">
            <w:pPr>
              <w:spacing w:after="160" w:line="259" w:lineRule="auto"/>
              <w:rPr>
                <w:rFonts w:ascii="Arial" w:hAnsi="Arial" w:cs="Arial"/>
                <w:b w:val="0"/>
                <w:bCs w:val="0"/>
                <w:sz w:val="24"/>
                <w:szCs w:val="24"/>
              </w:rPr>
            </w:pPr>
            <w:r w:rsidRPr="004F10A9">
              <w:rPr>
                <w:rFonts w:ascii="Arial" w:hAnsi="Arial" w:cs="Arial"/>
                <w:b w:val="0"/>
                <w:bCs w:val="0"/>
                <w:sz w:val="24"/>
                <w:szCs w:val="24"/>
              </w:rPr>
              <w:t>Stakeholder group</w:t>
            </w:r>
          </w:p>
        </w:tc>
        <w:tc>
          <w:tcPr>
            <w:tcW w:w="0" w:type="auto"/>
            <w:hideMark/>
          </w:tcPr>
          <w:p w14:paraId="0891ECBD" w14:textId="77777777" w:rsidR="004F10A9" w:rsidRPr="004F10A9" w:rsidRDefault="004F10A9" w:rsidP="00C81323">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4F10A9">
              <w:rPr>
                <w:rFonts w:ascii="Arial" w:hAnsi="Arial" w:cs="Arial"/>
                <w:b w:val="0"/>
                <w:bCs w:val="0"/>
                <w:sz w:val="24"/>
                <w:szCs w:val="24"/>
              </w:rPr>
              <w:t>Power</w:t>
            </w:r>
          </w:p>
        </w:tc>
        <w:tc>
          <w:tcPr>
            <w:tcW w:w="0" w:type="auto"/>
            <w:hideMark/>
          </w:tcPr>
          <w:p w14:paraId="6133BBEA" w14:textId="77777777" w:rsidR="004F10A9" w:rsidRPr="004F10A9" w:rsidRDefault="004F10A9" w:rsidP="00C81323">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4F10A9">
              <w:rPr>
                <w:rFonts w:ascii="Arial" w:hAnsi="Arial" w:cs="Arial"/>
                <w:b w:val="0"/>
                <w:bCs w:val="0"/>
                <w:sz w:val="24"/>
                <w:szCs w:val="24"/>
              </w:rPr>
              <w:t>Interest</w:t>
            </w:r>
          </w:p>
        </w:tc>
        <w:tc>
          <w:tcPr>
            <w:tcW w:w="0" w:type="auto"/>
            <w:hideMark/>
          </w:tcPr>
          <w:p w14:paraId="18BCF520" w14:textId="77777777" w:rsidR="004F10A9" w:rsidRPr="004F10A9" w:rsidRDefault="004F10A9" w:rsidP="00C81323">
            <w:pPr>
              <w:spacing w:after="160" w:line="259"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rPr>
            </w:pPr>
            <w:r w:rsidRPr="004F10A9">
              <w:rPr>
                <w:rFonts w:ascii="Arial" w:hAnsi="Arial" w:cs="Arial"/>
                <w:b w:val="0"/>
                <w:bCs w:val="0"/>
                <w:sz w:val="24"/>
                <w:szCs w:val="24"/>
              </w:rPr>
              <w:t>Engagement approach</w:t>
            </w:r>
          </w:p>
        </w:tc>
      </w:tr>
      <w:tr w:rsidR="004F10A9" w:rsidRPr="004F10A9" w14:paraId="2282D6A9" w14:textId="77777777" w:rsidTr="004F10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F65D74" w14:textId="77777777" w:rsidR="004F10A9" w:rsidRPr="004F10A9" w:rsidRDefault="004F10A9" w:rsidP="00C81323">
            <w:pPr>
              <w:spacing w:after="160" w:line="259" w:lineRule="auto"/>
              <w:rPr>
                <w:rFonts w:ascii="Arial" w:hAnsi="Arial" w:cs="Arial"/>
                <w:b w:val="0"/>
                <w:bCs w:val="0"/>
                <w:sz w:val="24"/>
                <w:szCs w:val="24"/>
              </w:rPr>
            </w:pPr>
            <w:r w:rsidRPr="004F10A9">
              <w:rPr>
                <w:rFonts w:ascii="Arial" w:hAnsi="Arial" w:cs="Arial"/>
                <w:b w:val="0"/>
                <w:bCs w:val="0"/>
                <w:sz w:val="24"/>
                <w:szCs w:val="24"/>
              </w:rPr>
              <w:t>UK Government / UK Export Finance</w:t>
            </w:r>
          </w:p>
        </w:tc>
        <w:tc>
          <w:tcPr>
            <w:tcW w:w="0" w:type="auto"/>
            <w:hideMark/>
          </w:tcPr>
          <w:p w14:paraId="466C0EA5" w14:textId="77777777" w:rsidR="004F10A9" w:rsidRPr="004F10A9" w:rsidRDefault="004F10A9" w:rsidP="00C81323">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F10A9">
              <w:rPr>
                <w:rFonts w:ascii="Arial" w:hAnsi="Arial" w:cs="Arial"/>
                <w:sz w:val="24"/>
                <w:szCs w:val="24"/>
              </w:rPr>
              <w:t>High</w:t>
            </w:r>
          </w:p>
        </w:tc>
        <w:tc>
          <w:tcPr>
            <w:tcW w:w="0" w:type="auto"/>
            <w:hideMark/>
          </w:tcPr>
          <w:p w14:paraId="3A7AB22C" w14:textId="77777777" w:rsidR="004F10A9" w:rsidRPr="004F10A9" w:rsidRDefault="004F10A9" w:rsidP="00C81323">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F10A9">
              <w:rPr>
                <w:rFonts w:ascii="Arial" w:hAnsi="Arial" w:cs="Arial"/>
                <w:sz w:val="24"/>
                <w:szCs w:val="24"/>
              </w:rPr>
              <w:t>High</w:t>
            </w:r>
          </w:p>
        </w:tc>
        <w:tc>
          <w:tcPr>
            <w:tcW w:w="0" w:type="auto"/>
            <w:hideMark/>
          </w:tcPr>
          <w:p w14:paraId="101220D9" w14:textId="77777777" w:rsidR="004F10A9" w:rsidRPr="004F10A9" w:rsidRDefault="004F10A9" w:rsidP="00C81323">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F10A9">
              <w:rPr>
                <w:rFonts w:ascii="Arial" w:hAnsi="Arial" w:cs="Arial"/>
                <w:sz w:val="24"/>
                <w:szCs w:val="24"/>
              </w:rPr>
              <w:t>Regular, structured liaison given the £1.5bn loan guarantee</w:t>
            </w:r>
          </w:p>
        </w:tc>
      </w:tr>
      <w:tr w:rsidR="004F10A9" w:rsidRPr="004F10A9" w14:paraId="43463A04" w14:textId="77777777" w:rsidTr="004F10A9">
        <w:tc>
          <w:tcPr>
            <w:cnfStyle w:val="001000000000" w:firstRow="0" w:lastRow="0" w:firstColumn="1" w:lastColumn="0" w:oddVBand="0" w:evenVBand="0" w:oddHBand="0" w:evenHBand="0" w:firstRowFirstColumn="0" w:firstRowLastColumn="0" w:lastRowFirstColumn="0" w:lastRowLastColumn="0"/>
            <w:tcW w:w="0" w:type="auto"/>
            <w:hideMark/>
          </w:tcPr>
          <w:p w14:paraId="1071E338" w14:textId="77777777" w:rsidR="004F10A9" w:rsidRPr="004F10A9" w:rsidRDefault="004F10A9" w:rsidP="00C81323">
            <w:pPr>
              <w:spacing w:after="160" w:line="259" w:lineRule="auto"/>
              <w:rPr>
                <w:rFonts w:ascii="Arial" w:hAnsi="Arial" w:cs="Arial"/>
                <w:b w:val="0"/>
                <w:bCs w:val="0"/>
                <w:sz w:val="24"/>
                <w:szCs w:val="24"/>
              </w:rPr>
            </w:pPr>
            <w:r w:rsidRPr="004F10A9">
              <w:rPr>
                <w:rFonts w:ascii="Arial" w:hAnsi="Arial" w:cs="Arial"/>
                <w:b w:val="0"/>
                <w:bCs w:val="0"/>
                <w:sz w:val="24"/>
                <w:szCs w:val="24"/>
              </w:rPr>
              <w:t>Institutional investors &amp; Tata Motors Board</w:t>
            </w:r>
          </w:p>
        </w:tc>
        <w:tc>
          <w:tcPr>
            <w:tcW w:w="0" w:type="auto"/>
            <w:hideMark/>
          </w:tcPr>
          <w:p w14:paraId="7C269C4E" w14:textId="77777777" w:rsidR="004F10A9" w:rsidRPr="004F10A9" w:rsidRDefault="004F10A9" w:rsidP="00C81323">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F10A9">
              <w:rPr>
                <w:rFonts w:ascii="Arial" w:hAnsi="Arial" w:cs="Arial"/>
                <w:sz w:val="24"/>
                <w:szCs w:val="24"/>
              </w:rPr>
              <w:t>High</w:t>
            </w:r>
          </w:p>
        </w:tc>
        <w:tc>
          <w:tcPr>
            <w:tcW w:w="0" w:type="auto"/>
            <w:hideMark/>
          </w:tcPr>
          <w:p w14:paraId="704748AE" w14:textId="77777777" w:rsidR="004F10A9" w:rsidRPr="004F10A9" w:rsidRDefault="004F10A9" w:rsidP="00C81323">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F10A9">
              <w:rPr>
                <w:rFonts w:ascii="Arial" w:hAnsi="Arial" w:cs="Arial"/>
                <w:sz w:val="24"/>
                <w:szCs w:val="24"/>
              </w:rPr>
              <w:t>High</w:t>
            </w:r>
          </w:p>
        </w:tc>
        <w:tc>
          <w:tcPr>
            <w:tcW w:w="0" w:type="auto"/>
            <w:hideMark/>
          </w:tcPr>
          <w:p w14:paraId="79BC2E39" w14:textId="77777777" w:rsidR="004F10A9" w:rsidRPr="004F10A9" w:rsidRDefault="004F10A9" w:rsidP="00C81323">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F10A9">
              <w:rPr>
                <w:rFonts w:ascii="Arial" w:hAnsi="Arial" w:cs="Arial"/>
                <w:sz w:val="24"/>
                <w:szCs w:val="24"/>
              </w:rPr>
              <w:t>Direct involvement in approving and directing change</w:t>
            </w:r>
          </w:p>
        </w:tc>
      </w:tr>
      <w:tr w:rsidR="004F10A9" w:rsidRPr="004F10A9" w14:paraId="62DCC878" w14:textId="77777777" w:rsidTr="004F10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2C8849" w14:textId="77777777" w:rsidR="004F10A9" w:rsidRPr="004F10A9" w:rsidRDefault="004F10A9" w:rsidP="00C81323">
            <w:pPr>
              <w:spacing w:after="160" w:line="259" w:lineRule="auto"/>
              <w:rPr>
                <w:rFonts w:ascii="Arial" w:hAnsi="Arial" w:cs="Arial"/>
                <w:b w:val="0"/>
                <w:bCs w:val="0"/>
                <w:sz w:val="24"/>
                <w:szCs w:val="24"/>
              </w:rPr>
            </w:pPr>
            <w:r w:rsidRPr="004F10A9">
              <w:rPr>
                <w:rFonts w:ascii="Arial" w:hAnsi="Arial" w:cs="Arial"/>
                <w:b w:val="0"/>
                <w:bCs w:val="0"/>
                <w:sz w:val="24"/>
                <w:szCs w:val="24"/>
              </w:rPr>
              <w:t>Suppliers (c.120,000 jobs, mainly SMEs)</w:t>
            </w:r>
          </w:p>
        </w:tc>
        <w:tc>
          <w:tcPr>
            <w:tcW w:w="0" w:type="auto"/>
            <w:hideMark/>
          </w:tcPr>
          <w:p w14:paraId="5F755ABE" w14:textId="77777777" w:rsidR="004F10A9" w:rsidRPr="004F10A9" w:rsidRDefault="004F10A9" w:rsidP="00C81323">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F10A9">
              <w:rPr>
                <w:rFonts w:ascii="Arial" w:hAnsi="Arial" w:cs="Arial"/>
                <w:sz w:val="24"/>
                <w:szCs w:val="24"/>
              </w:rPr>
              <w:t>Low individually, high collectively</w:t>
            </w:r>
          </w:p>
        </w:tc>
        <w:tc>
          <w:tcPr>
            <w:tcW w:w="0" w:type="auto"/>
            <w:hideMark/>
          </w:tcPr>
          <w:p w14:paraId="34271F8A" w14:textId="77777777" w:rsidR="004F10A9" w:rsidRPr="004F10A9" w:rsidRDefault="004F10A9" w:rsidP="00C81323">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F10A9">
              <w:rPr>
                <w:rFonts w:ascii="Arial" w:hAnsi="Arial" w:cs="Arial"/>
                <w:sz w:val="24"/>
                <w:szCs w:val="24"/>
              </w:rPr>
              <w:t>High</w:t>
            </w:r>
          </w:p>
        </w:tc>
        <w:tc>
          <w:tcPr>
            <w:tcW w:w="0" w:type="auto"/>
            <w:hideMark/>
          </w:tcPr>
          <w:p w14:paraId="5BF1B5EA" w14:textId="77777777" w:rsidR="004F10A9" w:rsidRPr="004F10A9" w:rsidRDefault="004F10A9" w:rsidP="00C81323">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F10A9">
              <w:rPr>
                <w:rFonts w:ascii="Arial" w:hAnsi="Arial" w:cs="Arial"/>
                <w:sz w:val="24"/>
                <w:szCs w:val="24"/>
              </w:rPr>
              <w:t>Joint procurement and security channel; practical support for smaller firms</w:t>
            </w:r>
          </w:p>
        </w:tc>
      </w:tr>
      <w:tr w:rsidR="004F10A9" w:rsidRPr="004F10A9" w14:paraId="60F03F28" w14:textId="77777777" w:rsidTr="004F10A9">
        <w:tc>
          <w:tcPr>
            <w:cnfStyle w:val="001000000000" w:firstRow="0" w:lastRow="0" w:firstColumn="1" w:lastColumn="0" w:oddVBand="0" w:evenVBand="0" w:oddHBand="0" w:evenHBand="0" w:firstRowFirstColumn="0" w:firstRowLastColumn="0" w:lastRowFirstColumn="0" w:lastRowLastColumn="0"/>
            <w:tcW w:w="0" w:type="auto"/>
            <w:hideMark/>
          </w:tcPr>
          <w:p w14:paraId="4B03841A" w14:textId="77777777" w:rsidR="004F10A9" w:rsidRPr="004F10A9" w:rsidRDefault="004F10A9" w:rsidP="00C81323">
            <w:pPr>
              <w:spacing w:after="160" w:line="259" w:lineRule="auto"/>
              <w:rPr>
                <w:rFonts w:ascii="Arial" w:hAnsi="Arial" w:cs="Arial"/>
                <w:b w:val="0"/>
                <w:bCs w:val="0"/>
                <w:sz w:val="24"/>
                <w:szCs w:val="24"/>
              </w:rPr>
            </w:pPr>
            <w:r w:rsidRPr="004F10A9">
              <w:rPr>
                <w:rFonts w:ascii="Arial" w:hAnsi="Arial" w:cs="Arial"/>
                <w:b w:val="0"/>
                <w:bCs w:val="0"/>
                <w:sz w:val="24"/>
                <w:szCs w:val="24"/>
              </w:rPr>
              <w:t>JLR employees in the UK (34,000)</w:t>
            </w:r>
          </w:p>
        </w:tc>
        <w:tc>
          <w:tcPr>
            <w:tcW w:w="0" w:type="auto"/>
            <w:hideMark/>
          </w:tcPr>
          <w:p w14:paraId="60EFB17C" w14:textId="77777777" w:rsidR="004F10A9" w:rsidRPr="004F10A9" w:rsidRDefault="004F10A9" w:rsidP="00C81323">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F10A9">
              <w:rPr>
                <w:rFonts w:ascii="Arial" w:hAnsi="Arial" w:cs="Arial"/>
                <w:sz w:val="24"/>
                <w:szCs w:val="24"/>
              </w:rPr>
              <w:t>Low</w:t>
            </w:r>
          </w:p>
        </w:tc>
        <w:tc>
          <w:tcPr>
            <w:tcW w:w="0" w:type="auto"/>
            <w:hideMark/>
          </w:tcPr>
          <w:p w14:paraId="6678CC4B" w14:textId="77777777" w:rsidR="004F10A9" w:rsidRPr="004F10A9" w:rsidRDefault="004F10A9" w:rsidP="00C81323">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F10A9">
              <w:rPr>
                <w:rFonts w:ascii="Arial" w:hAnsi="Arial" w:cs="Arial"/>
                <w:sz w:val="24"/>
                <w:szCs w:val="24"/>
              </w:rPr>
              <w:t>High</w:t>
            </w:r>
          </w:p>
        </w:tc>
        <w:tc>
          <w:tcPr>
            <w:tcW w:w="0" w:type="auto"/>
            <w:hideMark/>
          </w:tcPr>
          <w:p w14:paraId="434248D0" w14:textId="77777777" w:rsidR="004F10A9" w:rsidRPr="004F10A9" w:rsidRDefault="004F10A9" w:rsidP="00C81323">
            <w:pPr>
              <w:spacing w:after="160" w:line="259"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F10A9">
              <w:rPr>
                <w:rFonts w:ascii="Arial" w:hAnsi="Arial" w:cs="Arial"/>
                <w:sz w:val="24"/>
                <w:szCs w:val="24"/>
              </w:rPr>
              <w:t>Regular internal briefings to sustain morale and cooperation</w:t>
            </w:r>
          </w:p>
        </w:tc>
      </w:tr>
      <w:tr w:rsidR="004F10A9" w:rsidRPr="004F10A9" w14:paraId="634865F7" w14:textId="77777777" w:rsidTr="004F10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B3DB70" w14:textId="77777777" w:rsidR="004F10A9" w:rsidRPr="004F10A9" w:rsidRDefault="004F10A9" w:rsidP="00C81323">
            <w:pPr>
              <w:spacing w:after="160" w:line="259" w:lineRule="auto"/>
              <w:rPr>
                <w:rFonts w:ascii="Arial" w:hAnsi="Arial" w:cs="Arial"/>
                <w:b w:val="0"/>
                <w:bCs w:val="0"/>
                <w:sz w:val="24"/>
                <w:szCs w:val="24"/>
              </w:rPr>
            </w:pPr>
            <w:r w:rsidRPr="004F10A9">
              <w:rPr>
                <w:rFonts w:ascii="Arial" w:hAnsi="Arial" w:cs="Arial"/>
                <w:b w:val="0"/>
                <w:bCs w:val="0"/>
                <w:sz w:val="24"/>
                <w:szCs w:val="24"/>
              </w:rPr>
              <w:t>Customers</w:t>
            </w:r>
          </w:p>
        </w:tc>
        <w:tc>
          <w:tcPr>
            <w:tcW w:w="0" w:type="auto"/>
            <w:hideMark/>
          </w:tcPr>
          <w:p w14:paraId="3DF645D5" w14:textId="77777777" w:rsidR="004F10A9" w:rsidRPr="004F10A9" w:rsidRDefault="004F10A9" w:rsidP="00C81323">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F10A9">
              <w:rPr>
                <w:rFonts w:ascii="Arial" w:hAnsi="Arial" w:cs="Arial"/>
                <w:sz w:val="24"/>
                <w:szCs w:val="24"/>
              </w:rPr>
              <w:t>Low</w:t>
            </w:r>
          </w:p>
        </w:tc>
        <w:tc>
          <w:tcPr>
            <w:tcW w:w="0" w:type="auto"/>
            <w:hideMark/>
          </w:tcPr>
          <w:p w14:paraId="2BE1D6D2" w14:textId="77777777" w:rsidR="004F10A9" w:rsidRPr="004F10A9" w:rsidRDefault="004F10A9" w:rsidP="00C81323">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F10A9">
              <w:rPr>
                <w:rFonts w:ascii="Arial" w:hAnsi="Arial" w:cs="Arial"/>
                <w:sz w:val="24"/>
                <w:szCs w:val="24"/>
              </w:rPr>
              <w:t>High</w:t>
            </w:r>
          </w:p>
        </w:tc>
        <w:tc>
          <w:tcPr>
            <w:tcW w:w="0" w:type="auto"/>
            <w:hideMark/>
          </w:tcPr>
          <w:p w14:paraId="11FAF2FC" w14:textId="77777777" w:rsidR="004F10A9" w:rsidRPr="004F10A9" w:rsidRDefault="004F10A9" w:rsidP="00C81323">
            <w:pPr>
              <w:spacing w:after="160" w:line="259"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F10A9">
              <w:rPr>
                <w:rFonts w:ascii="Arial" w:hAnsi="Arial" w:cs="Arial"/>
                <w:sz w:val="24"/>
                <w:szCs w:val="24"/>
              </w:rPr>
              <w:t>Clear, reassuring communication on data protection and vehicle safety</w:t>
            </w:r>
          </w:p>
        </w:tc>
      </w:tr>
    </w:tbl>
    <w:p w14:paraId="1429DB08" w14:textId="77777777" w:rsidR="004F10A9" w:rsidRDefault="004F10A9" w:rsidP="00C81323">
      <w:pPr>
        <w:rPr>
          <w:rFonts w:ascii="Arial" w:hAnsi="Arial" w:cs="Arial"/>
          <w:sz w:val="24"/>
          <w:szCs w:val="24"/>
        </w:rPr>
      </w:pPr>
      <w:r w:rsidRPr="004F10A9">
        <w:rPr>
          <w:rFonts w:ascii="Arial" w:hAnsi="Arial" w:cs="Arial"/>
          <w:sz w:val="24"/>
          <w:szCs w:val="24"/>
        </w:rPr>
        <w:br/>
      </w:r>
      <w:r w:rsidRPr="004F10A9">
        <w:rPr>
          <w:rFonts w:ascii="Arial" w:hAnsi="Arial" w:cs="Arial"/>
          <w:sz w:val="24"/>
          <w:szCs w:val="24"/>
        </w:rPr>
        <w:br/>
      </w:r>
      <w:bookmarkStart w:id="9" w:name="_Toc237007076"/>
      <w:r w:rsidRPr="004F10A9">
        <w:rPr>
          <w:rStyle w:val="Heading2Char"/>
        </w:rPr>
        <w:t>5.3 Financial plan</w:t>
      </w:r>
      <w:bookmarkEnd w:id="9"/>
      <w:r w:rsidRPr="004F10A9">
        <w:rPr>
          <w:rFonts w:ascii="Arial" w:hAnsi="Arial" w:cs="Arial"/>
          <w:sz w:val="24"/>
          <w:szCs w:val="24"/>
        </w:rPr>
        <w:br/>
      </w:r>
      <w:r w:rsidRPr="004F10A9">
        <w:rPr>
          <w:rFonts w:ascii="Arial" w:hAnsi="Arial" w:cs="Arial"/>
          <w:sz w:val="24"/>
          <w:szCs w:val="24"/>
        </w:rPr>
        <w:br/>
        <w:t>The programme will be funded from the existing £18 billion five-year investment commitment (Tata Motors, 2024), with a ring-fenced allocation covering cybersecurity infrastructure, network segregation, supplier due diligence tooling and permanent incident response capability.</w:t>
      </w:r>
      <w:r w:rsidRPr="004F10A9">
        <w:rPr>
          <w:rFonts w:ascii="Arial" w:hAnsi="Arial" w:cs="Arial"/>
          <w:sz w:val="24"/>
          <w:szCs w:val="24"/>
        </w:rPr>
        <w:br/>
      </w:r>
      <w:r w:rsidRPr="004F10A9">
        <w:rPr>
          <w:rFonts w:ascii="Arial" w:hAnsi="Arial" w:cs="Arial"/>
          <w:sz w:val="24"/>
          <w:szCs w:val="24"/>
        </w:rPr>
        <w:br/>
        <w:t xml:space="preserve">The business case is straightforward. The 2025 attack cost JLR £196 million in a single quarter and contributed to a £485 million quarterly pre-tax loss (Tata Motors, </w:t>
      </w:r>
      <w:r w:rsidRPr="004F10A9">
        <w:rPr>
          <w:rFonts w:ascii="Arial" w:hAnsi="Arial" w:cs="Arial"/>
          <w:sz w:val="24"/>
          <w:szCs w:val="24"/>
        </w:rPr>
        <w:lastRenderedPageBreak/>
        <w:t>2025b), caused an estimated £1.9 billion of damage to the wider economy (Cyber Monitoring Centre, 2025), and required a £1.5 billion government-backed facility to stabilise the supply chain (GOV.UK, 2025). Against this exposure, an investment in the low hundreds of millions is proportionate and represents insurance against a recurrence whose cost is now empirically established rather than hypothetical.</w:t>
      </w:r>
      <w:r w:rsidRPr="004F10A9">
        <w:rPr>
          <w:rFonts w:ascii="Arial" w:hAnsi="Arial" w:cs="Arial"/>
          <w:sz w:val="24"/>
          <w:szCs w:val="24"/>
        </w:rPr>
        <w:br/>
      </w:r>
      <w:r w:rsidRPr="004F10A9">
        <w:rPr>
          <w:rFonts w:ascii="Arial" w:hAnsi="Arial" w:cs="Arial"/>
          <w:sz w:val="24"/>
          <w:szCs w:val="24"/>
        </w:rPr>
        <w:br/>
      </w:r>
      <w:r w:rsidRPr="004F10A9">
        <w:rPr>
          <w:rStyle w:val="Heading2Char"/>
        </w:rPr>
        <w:t>5.4 Communication plan</w:t>
      </w:r>
      <w:r w:rsidRPr="004F10A9">
        <w:rPr>
          <w:rFonts w:ascii="Arial" w:hAnsi="Arial" w:cs="Arial"/>
          <w:sz w:val="24"/>
          <w:szCs w:val="24"/>
        </w:rPr>
        <w:br/>
      </w:r>
      <w:r w:rsidRPr="004F10A9">
        <w:rPr>
          <w:rFonts w:ascii="Arial" w:hAnsi="Arial" w:cs="Arial"/>
          <w:sz w:val="24"/>
          <w:szCs w:val="24"/>
        </w:rPr>
        <w:br/>
        <w:t>Internally, the Chief Transformation and Performance Officer should lead regular updates connecting resilience work explicitly to employment security across the 34,000 direct and 120,000 supply chain roles. Given Schein's analysis, communication must address underlying assumptions rather than procedures alone: the objective is to establish digital infrastructure as productive capacity rather than support function.</w:t>
      </w:r>
      <w:r w:rsidRPr="004F10A9">
        <w:rPr>
          <w:rFonts w:ascii="Arial" w:hAnsi="Arial" w:cs="Arial"/>
          <w:sz w:val="24"/>
          <w:szCs w:val="24"/>
        </w:rPr>
        <w:br/>
      </w:r>
      <w:r w:rsidRPr="004F10A9">
        <w:rPr>
          <w:rFonts w:ascii="Arial" w:hAnsi="Arial" w:cs="Arial"/>
          <w:sz w:val="24"/>
          <w:szCs w:val="24"/>
        </w:rPr>
        <w:br/>
        <w:t>For suppliers, a joint procurement and information security channel should provide early visibility of new requirements alongside practical support for smaller firms, whose compliance capacity is limited and whose exclusion would fragment the supply base.</w:t>
      </w:r>
      <w:r w:rsidRPr="004F10A9">
        <w:rPr>
          <w:rFonts w:ascii="Arial" w:hAnsi="Arial" w:cs="Arial"/>
          <w:sz w:val="24"/>
          <w:szCs w:val="24"/>
        </w:rPr>
        <w:br/>
      </w:r>
      <w:r w:rsidRPr="004F10A9">
        <w:rPr>
          <w:rFonts w:ascii="Arial" w:hAnsi="Arial" w:cs="Arial"/>
          <w:sz w:val="24"/>
          <w:szCs w:val="24"/>
        </w:rPr>
        <w:br/>
        <w:t>Externally, quarterly reporting on resilience milestones should be integrated into existing investor updates. Government and regulator engagement should continue through the Department for Business and Trade and UK Export Finance for the duration of the guarantee.</w:t>
      </w:r>
    </w:p>
    <w:p w14:paraId="29BAC99A" w14:textId="77777777" w:rsidR="004F10A9" w:rsidRPr="004F10A9" w:rsidRDefault="004F10A9" w:rsidP="00C81323">
      <w:pPr>
        <w:pStyle w:val="Heading2"/>
      </w:pPr>
      <w:bookmarkStart w:id="10" w:name="_Toc237007077"/>
      <w:r w:rsidRPr="004F10A9">
        <w:t>5.5 Evaluation plan</w:t>
      </w:r>
      <w:bookmarkEnd w:id="10"/>
    </w:p>
    <w:p w14:paraId="7DD4F4E1" w14:textId="77777777" w:rsidR="004F10A9" w:rsidRDefault="004F10A9" w:rsidP="00C81323">
      <w:pPr>
        <w:spacing w:after="200" w:line="360" w:lineRule="auto"/>
      </w:pPr>
      <w:r>
        <w:rPr>
          <w:rFonts w:ascii="Arial" w:eastAsia="Arial" w:hAnsi="Arial" w:cs="Arial"/>
        </w:rPr>
        <w:t>Metrics that should be used to monitor the outcomes for the stated objectives are certification (i.e. auditable binary data), reduction in downtime (i.e. data that can be continuously monitored), supplier satisfaction (i.e. quarterly surveys), and the adherence to the published Reimagine roadmap for new product launches (i.e. data that will be published on the JLR Corporate Website for 2026 and onwards). A formal review of the objectives should be undertaken by the Executive Leadership Team after 12 months and 24 months, outlining findings to the JLR Automotive PLC Board via the Reimagine governance structure. The lessons from Reimagine strategy can be consolidated into longer-term structural change (as proposed by Kotter) and ongoing monitoring and evaluation (as suggested by a McKinsey 7S analysis) to enable JLR to respond to any external shocks.</w:t>
      </w:r>
    </w:p>
    <w:p w14:paraId="21257346" w14:textId="77777777" w:rsidR="004F10A9" w:rsidRDefault="004F10A9" w:rsidP="00C81323">
      <w:pPr>
        <w:rPr>
          <w:rFonts w:ascii="Arial" w:hAnsi="Arial" w:cs="Arial"/>
          <w:sz w:val="24"/>
          <w:szCs w:val="24"/>
        </w:rPr>
      </w:pPr>
    </w:p>
    <w:tbl>
      <w:tblPr>
        <w:tblStyle w:val="GridTable5Dark-Accent5"/>
        <w:tblW w:w="0" w:type="auto"/>
        <w:tblLook w:val="04A0" w:firstRow="1" w:lastRow="0" w:firstColumn="1" w:lastColumn="0" w:noHBand="0" w:noVBand="1"/>
      </w:tblPr>
      <w:tblGrid>
        <w:gridCol w:w="1990"/>
        <w:gridCol w:w="3263"/>
        <w:gridCol w:w="1798"/>
        <w:gridCol w:w="1965"/>
      </w:tblGrid>
      <w:tr w:rsidR="004F10A9" w:rsidRPr="004F10A9" w14:paraId="4692CE5D" w14:textId="77777777" w:rsidTr="004F10A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4A56B8" w14:textId="77777777" w:rsidR="004F10A9" w:rsidRPr="004F10A9" w:rsidRDefault="004F10A9" w:rsidP="00C81323">
            <w:r w:rsidRPr="004F10A9">
              <w:t>Objective</w:t>
            </w:r>
          </w:p>
        </w:tc>
        <w:tc>
          <w:tcPr>
            <w:tcW w:w="0" w:type="auto"/>
            <w:hideMark/>
          </w:tcPr>
          <w:p w14:paraId="6AED951A" w14:textId="77777777" w:rsidR="004F10A9" w:rsidRPr="004F10A9" w:rsidRDefault="004F10A9" w:rsidP="00C81323">
            <w:pPr>
              <w:cnfStyle w:val="100000000000" w:firstRow="1" w:lastRow="0" w:firstColumn="0" w:lastColumn="0" w:oddVBand="0" w:evenVBand="0" w:oddHBand="0" w:evenHBand="0" w:firstRowFirstColumn="0" w:firstRowLastColumn="0" w:lastRowFirstColumn="0" w:lastRowLastColumn="0"/>
            </w:pPr>
            <w:r w:rsidRPr="004F10A9">
              <w:t>Metric</w:t>
            </w:r>
          </w:p>
        </w:tc>
        <w:tc>
          <w:tcPr>
            <w:tcW w:w="0" w:type="auto"/>
            <w:hideMark/>
          </w:tcPr>
          <w:p w14:paraId="377DF27E" w14:textId="77777777" w:rsidR="004F10A9" w:rsidRPr="004F10A9" w:rsidRDefault="004F10A9" w:rsidP="00C81323">
            <w:pPr>
              <w:cnfStyle w:val="100000000000" w:firstRow="1" w:lastRow="0" w:firstColumn="0" w:lastColumn="0" w:oddVBand="0" w:evenVBand="0" w:oddHBand="0" w:evenHBand="0" w:firstRowFirstColumn="0" w:firstRowLastColumn="0" w:lastRowFirstColumn="0" w:lastRowLastColumn="0"/>
            </w:pPr>
            <w:r w:rsidRPr="004F10A9">
              <w:t>Target</w:t>
            </w:r>
          </w:p>
        </w:tc>
        <w:tc>
          <w:tcPr>
            <w:tcW w:w="0" w:type="auto"/>
            <w:hideMark/>
          </w:tcPr>
          <w:p w14:paraId="75CCA2E9" w14:textId="77777777" w:rsidR="004F10A9" w:rsidRPr="004F10A9" w:rsidRDefault="004F10A9" w:rsidP="00C81323">
            <w:pPr>
              <w:cnfStyle w:val="100000000000" w:firstRow="1" w:lastRow="0" w:firstColumn="0" w:lastColumn="0" w:oddVBand="0" w:evenVBand="0" w:oddHBand="0" w:evenHBand="0" w:firstRowFirstColumn="0" w:firstRowLastColumn="0" w:lastRowFirstColumn="0" w:lastRowLastColumn="0"/>
            </w:pPr>
            <w:r w:rsidRPr="004F10A9">
              <w:t>Review point</w:t>
            </w:r>
          </w:p>
        </w:tc>
      </w:tr>
      <w:tr w:rsidR="004F10A9" w:rsidRPr="004F10A9" w14:paraId="58466DC1" w14:textId="77777777" w:rsidTr="004F10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039A3C" w14:textId="77777777" w:rsidR="004F10A9" w:rsidRPr="004F10A9" w:rsidRDefault="004F10A9" w:rsidP="00C81323">
            <w:r w:rsidRPr="004F10A9">
              <w:t>ISO/IEC 27001 certification</w:t>
            </w:r>
          </w:p>
        </w:tc>
        <w:tc>
          <w:tcPr>
            <w:tcW w:w="0" w:type="auto"/>
            <w:hideMark/>
          </w:tcPr>
          <w:p w14:paraId="6A40981B" w14:textId="77777777" w:rsidR="004F10A9" w:rsidRPr="004F10A9" w:rsidRDefault="004F10A9" w:rsidP="00C81323">
            <w:pPr>
              <w:cnfStyle w:val="000000100000" w:firstRow="0" w:lastRow="0" w:firstColumn="0" w:lastColumn="0" w:oddVBand="0" w:evenVBand="0" w:oddHBand="1" w:evenHBand="0" w:firstRowFirstColumn="0" w:firstRowLastColumn="0" w:lastRowFirstColumn="0" w:lastRowLastColumn="0"/>
            </w:pPr>
            <w:r w:rsidRPr="004F10A9">
              <w:t>Certification status across UK manufacturing and supplier-facing systems</w:t>
            </w:r>
          </w:p>
        </w:tc>
        <w:tc>
          <w:tcPr>
            <w:tcW w:w="0" w:type="auto"/>
            <w:hideMark/>
          </w:tcPr>
          <w:p w14:paraId="4B18395F" w14:textId="77777777" w:rsidR="004F10A9" w:rsidRPr="004F10A9" w:rsidRDefault="004F10A9" w:rsidP="00C81323">
            <w:pPr>
              <w:cnfStyle w:val="000000100000" w:firstRow="0" w:lastRow="0" w:firstColumn="0" w:lastColumn="0" w:oddVBand="0" w:evenVBand="0" w:oddHBand="1" w:evenHBand="0" w:firstRowFirstColumn="0" w:firstRowLastColumn="0" w:lastRowFirstColumn="0" w:lastRowLastColumn="0"/>
            </w:pPr>
            <w:r w:rsidRPr="004F10A9">
              <w:t>Full certification achieved</w:t>
            </w:r>
          </w:p>
        </w:tc>
        <w:tc>
          <w:tcPr>
            <w:tcW w:w="0" w:type="auto"/>
            <w:hideMark/>
          </w:tcPr>
          <w:p w14:paraId="7B5DCB1F" w14:textId="77777777" w:rsidR="004F10A9" w:rsidRPr="004F10A9" w:rsidRDefault="004F10A9" w:rsidP="00C81323">
            <w:pPr>
              <w:cnfStyle w:val="000000100000" w:firstRow="0" w:lastRow="0" w:firstColumn="0" w:lastColumn="0" w:oddVBand="0" w:evenVBand="0" w:oddHBand="1" w:evenHBand="0" w:firstRowFirstColumn="0" w:firstRowLastColumn="0" w:lastRowFirstColumn="0" w:lastRowLastColumn="0"/>
            </w:pPr>
            <w:r w:rsidRPr="004F10A9">
              <w:t>18 months</w:t>
            </w:r>
          </w:p>
        </w:tc>
      </w:tr>
      <w:tr w:rsidR="004F10A9" w:rsidRPr="004F10A9" w14:paraId="60599AF0" w14:textId="77777777" w:rsidTr="004F10A9">
        <w:tc>
          <w:tcPr>
            <w:cnfStyle w:val="001000000000" w:firstRow="0" w:lastRow="0" w:firstColumn="1" w:lastColumn="0" w:oddVBand="0" w:evenVBand="0" w:oddHBand="0" w:evenHBand="0" w:firstRowFirstColumn="0" w:firstRowLastColumn="0" w:lastRowFirstColumn="0" w:lastRowLastColumn="0"/>
            <w:tcW w:w="0" w:type="auto"/>
            <w:hideMark/>
          </w:tcPr>
          <w:p w14:paraId="20ED6AF1" w14:textId="77777777" w:rsidR="004F10A9" w:rsidRPr="004F10A9" w:rsidRDefault="004F10A9" w:rsidP="00C81323">
            <w:r w:rsidRPr="004F10A9">
              <w:lastRenderedPageBreak/>
              <w:t>Eliminate cyber-related downtime</w:t>
            </w:r>
          </w:p>
        </w:tc>
        <w:tc>
          <w:tcPr>
            <w:tcW w:w="0" w:type="auto"/>
            <w:hideMark/>
          </w:tcPr>
          <w:p w14:paraId="4F2C739F" w14:textId="77777777" w:rsidR="004F10A9" w:rsidRPr="004F10A9" w:rsidRDefault="004F10A9" w:rsidP="00C81323">
            <w:pPr>
              <w:cnfStyle w:val="000000000000" w:firstRow="0" w:lastRow="0" w:firstColumn="0" w:lastColumn="0" w:oddVBand="0" w:evenVBand="0" w:oddHBand="0" w:evenHBand="0" w:firstRowFirstColumn="0" w:firstRowLastColumn="0" w:lastRowFirstColumn="0" w:lastRowLastColumn="0"/>
            </w:pPr>
            <w:r w:rsidRPr="004F10A9">
              <w:t>Production hours lost to cyber incidents</w:t>
            </w:r>
          </w:p>
        </w:tc>
        <w:tc>
          <w:tcPr>
            <w:tcW w:w="0" w:type="auto"/>
            <w:hideMark/>
          </w:tcPr>
          <w:p w14:paraId="775C6CF4" w14:textId="77777777" w:rsidR="004F10A9" w:rsidRPr="004F10A9" w:rsidRDefault="004F10A9" w:rsidP="00C81323">
            <w:pPr>
              <w:cnfStyle w:val="000000000000" w:firstRow="0" w:lastRow="0" w:firstColumn="0" w:lastColumn="0" w:oddVBand="0" w:evenVBand="0" w:oddHBand="0" w:evenHBand="0" w:firstRowFirstColumn="0" w:firstRowLastColumn="0" w:lastRowFirstColumn="0" w:lastRowLastColumn="0"/>
            </w:pPr>
            <w:r w:rsidRPr="004F10A9">
              <w:t>Zero</w:t>
            </w:r>
          </w:p>
        </w:tc>
        <w:tc>
          <w:tcPr>
            <w:tcW w:w="0" w:type="auto"/>
            <w:hideMark/>
          </w:tcPr>
          <w:p w14:paraId="2FCCD6CF" w14:textId="77777777" w:rsidR="004F10A9" w:rsidRPr="004F10A9" w:rsidRDefault="004F10A9" w:rsidP="00C81323">
            <w:pPr>
              <w:cnfStyle w:val="000000000000" w:firstRow="0" w:lastRow="0" w:firstColumn="0" w:lastColumn="0" w:oddVBand="0" w:evenVBand="0" w:oddHBand="0" w:evenHBand="0" w:firstRowFirstColumn="0" w:firstRowLastColumn="0" w:lastRowFirstColumn="0" w:lastRowLastColumn="0"/>
            </w:pPr>
            <w:r w:rsidRPr="004F10A9">
              <w:t>24 months</w:t>
            </w:r>
          </w:p>
        </w:tc>
      </w:tr>
      <w:tr w:rsidR="004F10A9" w:rsidRPr="004F10A9" w14:paraId="3B425DE2" w14:textId="77777777" w:rsidTr="004F10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99DDEC" w14:textId="77777777" w:rsidR="004F10A9" w:rsidRPr="004F10A9" w:rsidRDefault="004F10A9" w:rsidP="00C81323">
            <w:r w:rsidRPr="004F10A9">
              <w:t>Restore supplier confidence</w:t>
            </w:r>
          </w:p>
        </w:tc>
        <w:tc>
          <w:tcPr>
            <w:tcW w:w="0" w:type="auto"/>
            <w:hideMark/>
          </w:tcPr>
          <w:p w14:paraId="71E3A6C9" w14:textId="77777777" w:rsidR="004F10A9" w:rsidRPr="004F10A9" w:rsidRDefault="004F10A9" w:rsidP="00C81323">
            <w:pPr>
              <w:cnfStyle w:val="000000100000" w:firstRow="0" w:lastRow="0" w:firstColumn="0" w:lastColumn="0" w:oddVBand="0" w:evenVBand="0" w:oddHBand="1" w:evenHBand="0" w:firstRowFirstColumn="0" w:firstRowLastColumn="0" w:lastRowFirstColumn="0" w:lastRowLastColumn="0"/>
            </w:pPr>
            <w:r w:rsidRPr="004F10A9">
              <w:t>Quarterly supplier satisfaction and payment reliability survey</w:t>
            </w:r>
          </w:p>
        </w:tc>
        <w:tc>
          <w:tcPr>
            <w:tcW w:w="0" w:type="auto"/>
            <w:hideMark/>
          </w:tcPr>
          <w:p w14:paraId="4582571E" w14:textId="77777777" w:rsidR="004F10A9" w:rsidRPr="004F10A9" w:rsidRDefault="004F10A9" w:rsidP="00C81323">
            <w:pPr>
              <w:cnfStyle w:val="000000100000" w:firstRow="0" w:lastRow="0" w:firstColumn="0" w:lastColumn="0" w:oddVBand="0" w:evenVBand="0" w:oddHBand="1" w:evenHBand="0" w:firstRowFirstColumn="0" w:firstRowLastColumn="0" w:lastRowFirstColumn="0" w:lastRowLastColumn="0"/>
            </w:pPr>
            <w:r w:rsidRPr="004F10A9">
              <w:t>Return to pre-attack baseline</w:t>
            </w:r>
          </w:p>
        </w:tc>
        <w:tc>
          <w:tcPr>
            <w:tcW w:w="0" w:type="auto"/>
            <w:hideMark/>
          </w:tcPr>
          <w:p w14:paraId="3454FB88" w14:textId="77777777" w:rsidR="004F10A9" w:rsidRPr="004F10A9" w:rsidRDefault="004F10A9" w:rsidP="00C81323">
            <w:pPr>
              <w:cnfStyle w:val="000000100000" w:firstRow="0" w:lastRow="0" w:firstColumn="0" w:lastColumn="0" w:oddVBand="0" w:evenVBand="0" w:oddHBand="1" w:evenHBand="0" w:firstRowFirstColumn="0" w:firstRowLastColumn="0" w:lastRowFirstColumn="0" w:lastRowLastColumn="0"/>
            </w:pPr>
            <w:r w:rsidRPr="004F10A9">
              <w:t>12 months</w:t>
            </w:r>
          </w:p>
        </w:tc>
      </w:tr>
      <w:tr w:rsidR="004F10A9" w:rsidRPr="004F10A9" w14:paraId="0BC775C5" w14:textId="77777777" w:rsidTr="004F10A9">
        <w:tc>
          <w:tcPr>
            <w:cnfStyle w:val="001000000000" w:firstRow="0" w:lastRow="0" w:firstColumn="1" w:lastColumn="0" w:oddVBand="0" w:evenVBand="0" w:oddHBand="0" w:evenHBand="0" w:firstRowFirstColumn="0" w:firstRowLastColumn="0" w:lastRowFirstColumn="0" w:lastRowLastColumn="0"/>
            <w:tcW w:w="0" w:type="auto"/>
            <w:hideMark/>
          </w:tcPr>
          <w:p w14:paraId="7C1879E5" w14:textId="77777777" w:rsidR="004F10A9" w:rsidRPr="004F10A9" w:rsidRDefault="004F10A9" w:rsidP="00C81323">
            <w:r w:rsidRPr="004F10A9">
              <w:t>Protect Reimagine timeline</w:t>
            </w:r>
          </w:p>
        </w:tc>
        <w:tc>
          <w:tcPr>
            <w:tcW w:w="0" w:type="auto"/>
            <w:hideMark/>
          </w:tcPr>
          <w:p w14:paraId="52093B61" w14:textId="77777777" w:rsidR="004F10A9" w:rsidRPr="004F10A9" w:rsidRDefault="004F10A9" w:rsidP="00C81323">
            <w:pPr>
              <w:cnfStyle w:val="000000000000" w:firstRow="0" w:lastRow="0" w:firstColumn="0" w:lastColumn="0" w:oddVBand="0" w:evenVBand="0" w:oddHBand="0" w:evenHBand="0" w:firstRowFirstColumn="0" w:firstRowLastColumn="0" w:lastRowFirstColumn="0" w:lastRowLastColumn="0"/>
            </w:pPr>
            <w:r w:rsidRPr="004F10A9">
              <w:t>Product launches delivered against published roadmap</w:t>
            </w:r>
          </w:p>
        </w:tc>
        <w:tc>
          <w:tcPr>
            <w:tcW w:w="0" w:type="auto"/>
            <w:hideMark/>
          </w:tcPr>
          <w:p w14:paraId="4737D560" w14:textId="77777777" w:rsidR="004F10A9" w:rsidRPr="004F10A9" w:rsidRDefault="004F10A9" w:rsidP="00C81323">
            <w:pPr>
              <w:cnfStyle w:val="000000000000" w:firstRow="0" w:lastRow="0" w:firstColumn="0" w:lastColumn="0" w:oddVBand="0" w:evenVBand="0" w:oddHBand="0" w:evenHBand="0" w:firstRowFirstColumn="0" w:firstRowLastColumn="0" w:lastRowFirstColumn="0" w:lastRowLastColumn="0"/>
            </w:pPr>
            <w:r w:rsidRPr="004F10A9">
              <w:t>No resilience-related delay</w:t>
            </w:r>
          </w:p>
        </w:tc>
        <w:tc>
          <w:tcPr>
            <w:tcW w:w="0" w:type="auto"/>
            <w:hideMark/>
          </w:tcPr>
          <w:p w14:paraId="4401953F" w14:textId="77777777" w:rsidR="004F10A9" w:rsidRPr="004F10A9" w:rsidRDefault="004F10A9" w:rsidP="00C81323">
            <w:pPr>
              <w:cnfStyle w:val="000000000000" w:firstRow="0" w:lastRow="0" w:firstColumn="0" w:lastColumn="0" w:oddVBand="0" w:evenVBand="0" w:oddHBand="0" w:evenHBand="0" w:firstRowFirstColumn="0" w:firstRowLastColumn="0" w:lastRowFirstColumn="0" w:lastRowLastColumn="0"/>
            </w:pPr>
            <w:r w:rsidRPr="004F10A9">
              <w:t>Ongoing, reviewed at 12 and 24 months</w:t>
            </w:r>
          </w:p>
        </w:tc>
      </w:tr>
    </w:tbl>
    <w:p w14:paraId="76600E98" w14:textId="3D0B6EEA" w:rsidR="007D331A" w:rsidRPr="004F10A9" w:rsidRDefault="004F10A9" w:rsidP="00C81323">
      <w:pPr>
        <w:pStyle w:val="Heading2"/>
      </w:pPr>
      <w:r w:rsidRPr="004F10A9">
        <w:br/>
      </w:r>
    </w:p>
    <w:p w14:paraId="2D8E556C" w14:textId="77777777" w:rsidR="004F10A9" w:rsidRPr="004F10A9" w:rsidRDefault="004F10A9" w:rsidP="00C81323">
      <w:pPr>
        <w:pStyle w:val="Heading2"/>
        <w:rPr>
          <w:rFonts w:ascii="Arial" w:hAnsi="Arial" w:cs="Arial"/>
          <w:sz w:val="24"/>
          <w:szCs w:val="24"/>
        </w:rPr>
      </w:pPr>
      <w:bookmarkStart w:id="11" w:name="_Toc237007078"/>
      <w:r w:rsidRPr="004F10A9">
        <w:rPr>
          <w:rFonts w:ascii="Arial" w:hAnsi="Arial" w:cs="Arial"/>
          <w:sz w:val="24"/>
          <w:szCs w:val="24"/>
        </w:rPr>
        <w:t>6. Conclusion</w:t>
      </w:r>
      <w:bookmarkEnd w:id="11"/>
    </w:p>
    <w:p w14:paraId="486FD731" w14:textId="77777777" w:rsidR="004F10A9" w:rsidRPr="004F10A9" w:rsidRDefault="004F10A9" w:rsidP="00C81323">
      <w:pPr>
        <w:rPr>
          <w:rFonts w:ascii="Arial" w:hAnsi="Arial" w:cs="Arial"/>
          <w:sz w:val="24"/>
          <w:szCs w:val="24"/>
        </w:rPr>
      </w:pPr>
      <w:r w:rsidRPr="004F10A9">
        <w:rPr>
          <w:rFonts w:ascii="Arial" w:hAnsi="Arial" w:cs="Arial"/>
          <w:sz w:val="24"/>
          <w:szCs w:val="24"/>
        </w:rPr>
        <w:t>JLR's experience during 2025 demonstrates that in a digitalised industry, strategic capability and digital resilience are inseparable. The company holds a coherent strategy, substantial financial commitment and demonstrated operational competence, yet a single cybersecurity failure removed five weeks of production, generated the most economically damaging cyber event in UK history, and required state intervention to protect its supply chain.</w:t>
      </w:r>
    </w:p>
    <w:p w14:paraId="059F4D2B" w14:textId="77777777" w:rsidR="004F10A9" w:rsidRPr="004F10A9" w:rsidRDefault="004F10A9" w:rsidP="00C81323">
      <w:pPr>
        <w:rPr>
          <w:rFonts w:ascii="Arial" w:hAnsi="Arial" w:cs="Arial"/>
          <w:sz w:val="24"/>
          <w:szCs w:val="24"/>
        </w:rPr>
      </w:pPr>
      <w:r w:rsidRPr="004F10A9">
        <w:rPr>
          <w:rFonts w:ascii="Arial" w:hAnsi="Arial" w:cs="Arial"/>
          <w:sz w:val="24"/>
          <w:szCs w:val="24"/>
        </w:rPr>
        <w:t>The analysis identifies three interacting weaknesses: leadership discontinuity that prevents cultural anchoring, a role culture ill-suited to the collaborative working Reimagine requires, and systems vulnerability arising from digital transformation pursued without commensurate investment in protection. The proposed programme addresses the third directly whilst recognising that durable change requires sustained leadership attention over years, which is the element JLR has most conspicuously lacked.</w:t>
      </w:r>
    </w:p>
    <w:p w14:paraId="6945B0C5" w14:textId="77777777" w:rsidR="00921B97" w:rsidRPr="004F10A9" w:rsidRDefault="00921B97" w:rsidP="00C81323">
      <w:pPr>
        <w:rPr>
          <w:ins w:id="12" w:author="Benilde Barbosa Ferreira (2328311)" w:date="2026-07-24T15:55:00Z" w16du:dateUtc="2026-07-24T14:55:00Z"/>
          <w:rFonts w:ascii="Arial" w:hAnsi="Arial" w:cs="Arial"/>
          <w:sz w:val="24"/>
          <w:szCs w:val="24"/>
        </w:rPr>
      </w:pPr>
    </w:p>
    <w:p w14:paraId="162D81D7" w14:textId="77777777" w:rsidR="00921B97" w:rsidRPr="004F10A9" w:rsidRDefault="00921B97" w:rsidP="00C81323">
      <w:pPr>
        <w:rPr>
          <w:ins w:id="13" w:author="Benilde Barbosa Ferreira (2328311)" w:date="2026-07-24T15:55:00Z" w16du:dateUtc="2026-07-24T14:55:00Z"/>
          <w:rFonts w:ascii="Arial" w:hAnsi="Arial" w:cs="Arial"/>
          <w:sz w:val="24"/>
          <w:szCs w:val="24"/>
        </w:rPr>
      </w:pPr>
    </w:p>
    <w:p w14:paraId="4E27ED65" w14:textId="77777777" w:rsidR="00921B97" w:rsidRPr="004F10A9" w:rsidRDefault="00921B97" w:rsidP="00C81323">
      <w:pPr>
        <w:rPr>
          <w:ins w:id="14" w:author="Benilde Barbosa Ferreira (2328311)" w:date="2026-07-24T15:55:00Z" w16du:dateUtc="2026-07-24T14:55:00Z"/>
          <w:rFonts w:ascii="Arial" w:hAnsi="Arial" w:cs="Arial"/>
          <w:sz w:val="24"/>
          <w:szCs w:val="24"/>
        </w:rPr>
      </w:pPr>
    </w:p>
    <w:p w14:paraId="021F37A8" w14:textId="77777777" w:rsidR="00921B97" w:rsidRPr="004F10A9" w:rsidRDefault="00921B97" w:rsidP="00C81323">
      <w:pPr>
        <w:rPr>
          <w:ins w:id="15" w:author="Benilde Barbosa Ferreira (2328311)" w:date="2026-07-24T15:55:00Z" w16du:dateUtc="2026-07-24T14:55:00Z"/>
          <w:rFonts w:ascii="Arial" w:hAnsi="Arial" w:cs="Arial"/>
          <w:sz w:val="24"/>
          <w:szCs w:val="24"/>
        </w:rPr>
      </w:pPr>
    </w:p>
    <w:p w14:paraId="5EC1A5F3" w14:textId="77777777" w:rsidR="00921B97" w:rsidRPr="004F10A9" w:rsidRDefault="00921B97" w:rsidP="00C81323">
      <w:pPr>
        <w:rPr>
          <w:ins w:id="16" w:author="Benilde Barbosa Ferreira (2328311)" w:date="2026-07-24T15:55:00Z" w16du:dateUtc="2026-07-24T14:55:00Z"/>
          <w:rFonts w:ascii="Arial" w:hAnsi="Arial" w:cs="Arial"/>
          <w:sz w:val="24"/>
          <w:szCs w:val="24"/>
        </w:rPr>
      </w:pPr>
    </w:p>
    <w:p w14:paraId="0CDBC03D" w14:textId="77777777" w:rsidR="00921B97" w:rsidRPr="004F10A9" w:rsidRDefault="00921B97" w:rsidP="00C81323">
      <w:pPr>
        <w:rPr>
          <w:ins w:id="17" w:author="Benilde Barbosa Ferreira (2328311)" w:date="2026-07-24T15:55:00Z" w16du:dateUtc="2026-07-24T14:55:00Z"/>
          <w:rFonts w:ascii="Arial" w:hAnsi="Arial" w:cs="Arial"/>
          <w:sz w:val="24"/>
          <w:szCs w:val="24"/>
        </w:rPr>
      </w:pPr>
    </w:p>
    <w:p w14:paraId="011F98DF" w14:textId="77777777" w:rsidR="00921B97" w:rsidRPr="004F10A9" w:rsidRDefault="00921B97" w:rsidP="00C81323">
      <w:pPr>
        <w:rPr>
          <w:ins w:id="18" w:author="Benilde Barbosa Ferreira (2328311)" w:date="2026-07-24T15:55:00Z" w16du:dateUtc="2026-07-24T14:55:00Z"/>
          <w:rFonts w:ascii="Arial" w:hAnsi="Arial" w:cs="Arial"/>
          <w:sz w:val="24"/>
          <w:szCs w:val="24"/>
        </w:rPr>
      </w:pPr>
    </w:p>
    <w:p w14:paraId="64F320B5" w14:textId="77777777" w:rsidR="00921B97" w:rsidRPr="004F10A9" w:rsidRDefault="00921B97" w:rsidP="00C81323">
      <w:pPr>
        <w:rPr>
          <w:ins w:id="19" w:author="Benilde Barbosa Ferreira (2328311)" w:date="2026-07-24T15:55:00Z" w16du:dateUtc="2026-07-24T14:55:00Z"/>
          <w:rFonts w:ascii="Arial" w:hAnsi="Arial" w:cs="Arial"/>
          <w:sz w:val="24"/>
          <w:szCs w:val="24"/>
        </w:rPr>
      </w:pPr>
    </w:p>
    <w:p w14:paraId="6F0C17B6" w14:textId="77777777" w:rsidR="00921B97" w:rsidRPr="004F10A9" w:rsidRDefault="00921B97" w:rsidP="00C81323">
      <w:pPr>
        <w:rPr>
          <w:ins w:id="20" w:author="Benilde Barbosa Ferreira (2328311)" w:date="2026-07-24T15:55:00Z" w16du:dateUtc="2026-07-24T14:55:00Z"/>
          <w:rFonts w:ascii="Arial" w:hAnsi="Arial" w:cs="Arial"/>
          <w:sz w:val="24"/>
          <w:szCs w:val="24"/>
        </w:rPr>
      </w:pPr>
    </w:p>
    <w:p w14:paraId="6D35CB31" w14:textId="77777777" w:rsidR="00921B97" w:rsidRDefault="00921B97" w:rsidP="00C81323">
      <w:pPr>
        <w:rPr>
          <w:rFonts w:ascii="Arial" w:hAnsi="Arial" w:cs="Arial"/>
          <w:sz w:val="24"/>
          <w:szCs w:val="24"/>
        </w:rPr>
      </w:pPr>
    </w:p>
    <w:p w14:paraId="4563DA85" w14:textId="77777777" w:rsidR="005273C9" w:rsidRDefault="005273C9" w:rsidP="00C81323">
      <w:pPr>
        <w:rPr>
          <w:rFonts w:ascii="Arial" w:hAnsi="Arial" w:cs="Arial"/>
          <w:sz w:val="24"/>
          <w:szCs w:val="24"/>
        </w:rPr>
      </w:pPr>
    </w:p>
    <w:p w14:paraId="1B5AA688" w14:textId="77777777" w:rsidR="005273C9" w:rsidRPr="004F10A9" w:rsidRDefault="005273C9" w:rsidP="00C81323">
      <w:pPr>
        <w:rPr>
          <w:rFonts w:ascii="Arial" w:hAnsi="Arial" w:cs="Arial"/>
          <w:sz w:val="24"/>
          <w:szCs w:val="24"/>
        </w:rPr>
      </w:pPr>
    </w:p>
    <w:p w14:paraId="759A609D" w14:textId="023E773C" w:rsidR="001F36DF" w:rsidRPr="004F10A9" w:rsidRDefault="00020BF2" w:rsidP="00C81323">
      <w:pPr>
        <w:pStyle w:val="Heading2"/>
      </w:pPr>
      <w:bookmarkStart w:id="21" w:name="_Toc237007079"/>
      <w:r w:rsidRPr="004F10A9">
        <w:lastRenderedPageBreak/>
        <w:t>References</w:t>
      </w:r>
      <w:bookmarkEnd w:id="21"/>
    </w:p>
    <w:p w14:paraId="0D72F082" w14:textId="77777777" w:rsidR="004F10A9" w:rsidRPr="004F10A9" w:rsidRDefault="004F10A9" w:rsidP="00C81323">
      <w:pPr>
        <w:rPr>
          <w:rFonts w:ascii="Arial" w:hAnsi="Arial" w:cs="Arial"/>
          <w:sz w:val="24"/>
          <w:szCs w:val="24"/>
        </w:rPr>
      </w:pPr>
      <w:r w:rsidRPr="004F10A9">
        <w:rPr>
          <w:rFonts w:ascii="Arial" w:hAnsi="Arial" w:cs="Arial"/>
          <w:sz w:val="24"/>
          <w:szCs w:val="24"/>
        </w:rPr>
        <w:t xml:space="preserve">Bass, B.M. (1985) </w:t>
      </w:r>
      <w:r w:rsidRPr="004F10A9">
        <w:rPr>
          <w:rFonts w:ascii="Arial" w:hAnsi="Arial" w:cs="Arial"/>
          <w:i/>
          <w:iCs/>
          <w:sz w:val="24"/>
          <w:szCs w:val="24"/>
        </w:rPr>
        <w:t>Leadership and Performance Beyond Expectations</w:t>
      </w:r>
      <w:r w:rsidRPr="004F10A9">
        <w:rPr>
          <w:rFonts w:ascii="Arial" w:hAnsi="Arial" w:cs="Arial"/>
          <w:sz w:val="24"/>
          <w:szCs w:val="24"/>
        </w:rPr>
        <w:t>. New York: Free Press.</w:t>
      </w:r>
    </w:p>
    <w:p w14:paraId="0D8158B6" w14:textId="77777777" w:rsidR="004F10A9" w:rsidRPr="004F10A9" w:rsidRDefault="004F10A9" w:rsidP="00C81323">
      <w:pPr>
        <w:rPr>
          <w:rFonts w:ascii="Arial" w:hAnsi="Arial" w:cs="Arial"/>
          <w:sz w:val="24"/>
          <w:szCs w:val="24"/>
        </w:rPr>
      </w:pPr>
      <w:r w:rsidRPr="004F10A9">
        <w:rPr>
          <w:rFonts w:ascii="Arial" w:hAnsi="Arial" w:cs="Arial"/>
          <w:sz w:val="24"/>
          <w:szCs w:val="24"/>
        </w:rPr>
        <w:t xml:space="preserve">Burnes, B. (2004) 'Kurt Lewin and the planned approach to change: a re-appraisal', </w:t>
      </w:r>
      <w:r w:rsidRPr="004F10A9">
        <w:rPr>
          <w:rFonts w:ascii="Arial" w:hAnsi="Arial" w:cs="Arial"/>
          <w:i/>
          <w:iCs/>
          <w:sz w:val="24"/>
          <w:szCs w:val="24"/>
        </w:rPr>
        <w:t>Journal of Management Studies</w:t>
      </w:r>
      <w:r w:rsidRPr="004F10A9">
        <w:rPr>
          <w:rFonts w:ascii="Arial" w:hAnsi="Arial" w:cs="Arial"/>
          <w:sz w:val="24"/>
          <w:szCs w:val="24"/>
        </w:rPr>
        <w:t>, 41(6), pp. 977–1002.</w:t>
      </w:r>
    </w:p>
    <w:p w14:paraId="3634FB69" w14:textId="77777777" w:rsidR="004F10A9" w:rsidRPr="004F10A9" w:rsidRDefault="004F10A9" w:rsidP="00C81323">
      <w:pPr>
        <w:rPr>
          <w:rFonts w:ascii="Arial" w:hAnsi="Arial" w:cs="Arial"/>
          <w:sz w:val="24"/>
          <w:szCs w:val="24"/>
        </w:rPr>
      </w:pPr>
      <w:r w:rsidRPr="004F10A9">
        <w:rPr>
          <w:rFonts w:ascii="Arial" w:hAnsi="Arial" w:cs="Arial"/>
          <w:sz w:val="24"/>
          <w:szCs w:val="24"/>
        </w:rPr>
        <w:t xml:space="preserve">Cyber Monitoring Centre (2025) </w:t>
      </w:r>
      <w:r w:rsidRPr="004F10A9">
        <w:rPr>
          <w:rFonts w:ascii="Arial" w:hAnsi="Arial" w:cs="Arial"/>
          <w:i/>
          <w:iCs/>
          <w:sz w:val="24"/>
          <w:szCs w:val="24"/>
        </w:rPr>
        <w:t>Cyber Monitoring Centre statement on the Jaguar Land Rover cyber incident – October 2025</w:t>
      </w:r>
      <w:r w:rsidRPr="004F10A9">
        <w:rPr>
          <w:rFonts w:ascii="Arial" w:hAnsi="Arial" w:cs="Arial"/>
          <w:sz w:val="24"/>
          <w:szCs w:val="24"/>
        </w:rPr>
        <w:t xml:space="preserve">. Available at: </w:t>
      </w:r>
      <w:hyperlink r:id="rId10" w:history="1">
        <w:r w:rsidRPr="004F10A9">
          <w:rPr>
            <w:rStyle w:val="Hyperlink"/>
            <w:rFonts w:ascii="Arial" w:hAnsi="Arial" w:cs="Arial"/>
            <w:sz w:val="24"/>
            <w:szCs w:val="24"/>
          </w:rPr>
          <w:t>https://cybermonitoringcentre.com/2025/10/22/cyber-monitoring-centre-statement-on-the-jaguar-land-rovercyber-incident-october-2025/</w:t>
        </w:r>
      </w:hyperlink>
      <w:r w:rsidRPr="004F10A9">
        <w:rPr>
          <w:rFonts w:ascii="Arial" w:hAnsi="Arial" w:cs="Arial"/>
          <w:sz w:val="24"/>
          <w:szCs w:val="24"/>
        </w:rPr>
        <w:t xml:space="preserve"> (Accessed: 3 August 2026).</w:t>
      </w:r>
    </w:p>
    <w:p w14:paraId="299DB4F3" w14:textId="77777777" w:rsidR="004F10A9" w:rsidRPr="004F10A9" w:rsidRDefault="004F10A9" w:rsidP="00C81323">
      <w:pPr>
        <w:rPr>
          <w:rFonts w:ascii="Arial" w:hAnsi="Arial" w:cs="Arial"/>
          <w:sz w:val="24"/>
          <w:szCs w:val="24"/>
        </w:rPr>
      </w:pPr>
      <w:r w:rsidRPr="004F10A9">
        <w:rPr>
          <w:rFonts w:ascii="Arial" w:hAnsi="Arial" w:cs="Arial"/>
          <w:sz w:val="24"/>
          <w:szCs w:val="24"/>
        </w:rPr>
        <w:t xml:space="preserve">Department for Transport (2023) </w:t>
      </w:r>
      <w:r w:rsidRPr="004F10A9">
        <w:rPr>
          <w:rFonts w:ascii="Arial" w:hAnsi="Arial" w:cs="Arial"/>
          <w:i/>
          <w:iCs/>
          <w:sz w:val="24"/>
          <w:szCs w:val="24"/>
        </w:rPr>
        <w:t>The Vehicle Emissions Trading Schemes Order 2023</w:t>
      </w:r>
      <w:r w:rsidRPr="004F10A9">
        <w:rPr>
          <w:rFonts w:ascii="Arial" w:hAnsi="Arial" w:cs="Arial"/>
          <w:sz w:val="24"/>
          <w:szCs w:val="24"/>
        </w:rPr>
        <w:t xml:space="preserve">. Available at: </w:t>
      </w:r>
      <w:hyperlink r:id="rId11" w:history="1">
        <w:r w:rsidRPr="004F10A9">
          <w:rPr>
            <w:rStyle w:val="Hyperlink"/>
            <w:rFonts w:ascii="Arial" w:hAnsi="Arial" w:cs="Arial"/>
            <w:sz w:val="24"/>
            <w:szCs w:val="24"/>
          </w:rPr>
          <w:t>https://www.legislation.gov.uk/uksi/2023/1394</w:t>
        </w:r>
      </w:hyperlink>
      <w:r w:rsidRPr="004F10A9">
        <w:rPr>
          <w:rFonts w:ascii="Arial" w:hAnsi="Arial" w:cs="Arial"/>
          <w:sz w:val="24"/>
          <w:szCs w:val="24"/>
        </w:rPr>
        <w:t xml:space="preserve"> (Accessed: 3 August 2026).</w:t>
      </w:r>
    </w:p>
    <w:p w14:paraId="2233A4E6" w14:textId="6155F099" w:rsidR="004F10A9" w:rsidRPr="004F10A9" w:rsidRDefault="004F10A9" w:rsidP="00C81323">
      <w:r w:rsidRPr="004F10A9">
        <w:rPr>
          <w:rFonts w:ascii="Arial" w:hAnsi="Arial" w:cs="Arial"/>
          <w:sz w:val="24"/>
          <w:szCs w:val="24"/>
        </w:rPr>
        <w:t xml:space="preserve">GOV.UK (2025) </w:t>
      </w:r>
      <w:r w:rsidRPr="004F10A9">
        <w:rPr>
          <w:rFonts w:ascii="Arial" w:hAnsi="Arial" w:cs="Arial"/>
          <w:i/>
          <w:iCs/>
          <w:sz w:val="24"/>
          <w:szCs w:val="24"/>
        </w:rPr>
        <w:t>Government backs Jaguar Land Rover with £1.5 billion loan guarantee</w:t>
      </w:r>
      <w:r w:rsidRPr="004F10A9">
        <w:rPr>
          <w:rFonts w:ascii="Arial" w:hAnsi="Arial" w:cs="Arial"/>
          <w:sz w:val="24"/>
          <w:szCs w:val="24"/>
        </w:rPr>
        <w:t>. Press release, 29 September. Available at:</w:t>
      </w:r>
      <w:r w:rsidRPr="004F10A9">
        <w:t xml:space="preserve"> </w:t>
      </w:r>
      <w:hyperlink r:id="rId12" w:history="1">
        <w:r w:rsidRPr="004F10A9">
          <w:rPr>
            <w:rStyle w:val="Hyperlink"/>
            <w:sz w:val="24"/>
            <w:szCs w:val="24"/>
          </w:rPr>
          <w:t>https://www.gov.uk/government/news/government-backs-jaguar-land-rover-with-15-billion-loan-guarantee</w:t>
        </w:r>
      </w:hyperlink>
      <w:r w:rsidRPr="004F10A9">
        <w:rPr>
          <w:rFonts w:ascii="Arial" w:hAnsi="Arial" w:cs="Arial"/>
          <w:sz w:val="24"/>
          <w:szCs w:val="24"/>
        </w:rPr>
        <w:t xml:space="preserve"> (Accessed</w:t>
      </w:r>
      <w:r>
        <w:rPr>
          <w:rFonts w:ascii="Arial" w:hAnsi="Arial" w:cs="Arial"/>
          <w:sz w:val="24"/>
          <w:szCs w:val="24"/>
        </w:rPr>
        <w:t xml:space="preserve">: 24 July </w:t>
      </w:r>
      <w:r w:rsidRPr="004F10A9">
        <w:rPr>
          <w:rFonts w:ascii="Arial" w:hAnsi="Arial" w:cs="Arial"/>
          <w:sz w:val="24"/>
          <w:szCs w:val="24"/>
        </w:rPr>
        <w:t>2026).</w:t>
      </w:r>
    </w:p>
    <w:p w14:paraId="3249BE22" w14:textId="77777777" w:rsidR="004F10A9" w:rsidRPr="004F10A9" w:rsidRDefault="004F10A9" w:rsidP="00C81323">
      <w:pPr>
        <w:rPr>
          <w:rFonts w:ascii="Arial" w:hAnsi="Arial" w:cs="Arial"/>
          <w:sz w:val="24"/>
          <w:szCs w:val="24"/>
        </w:rPr>
      </w:pPr>
      <w:r w:rsidRPr="004F10A9">
        <w:rPr>
          <w:rFonts w:ascii="Arial" w:hAnsi="Arial" w:cs="Arial"/>
          <w:sz w:val="24"/>
          <w:szCs w:val="24"/>
        </w:rPr>
        <w:t xml:space="preserve">Handy, C. (1993) </w:t>
      </w:r>
      <w:r w:rsidRPr="004F10A9">
        <w:rPr>
          <w:rFonts w:ascii="Arial" w:hAnsi="Arial" w:cs="Arial"/>
          <w:i/>
          <w:iCs/>
          <w:sz w:val="24"/>
          <w:szCs w:val="24"/>
        </w:rPr>
        <w:t>Understanding Organizations</w:t>
      </w:r>
      <w:r w:rsidRPr="004F10A9">
        <w:rPr>
          <w:rFonts w:ascii="Arial" w:hAnsi="Arial" w:cs="Arial"/>
          <w:sz w:val="24"/>
          <w:szCs w:val="24"/>
        </w:rPr>
        <w:t xml:space="preserve">. 4th </w:t>
      </w:r>
      <w:proofErr w:type="spellStart"/>
      <w:r w:rsidRPr="004F10A9">
        <w:rPr>
          <w:rFonts w:ascii="Arial" w:hAnsi="Arial" w:cs="Arial"/>
          <w:sz w:val="24"/>
          <w:szCs w:val="24"/>
        </w:rPr>
        <w:t>edn</w:t>
      </w:r>
      <w:proofErr w:type="spellEnd"/>
      <w:r w:rsidRPr="004F10A9">
        <w:rPr>
          <w:rFonts w:ascii="Arial" w:hAnsi="Arial" w:cs="Arial"/>
          <w:sz w:val="24"/>
          <w:szCs w:val="24"/>
        </w:rPr>
        <w:t>. London: Penguin.</w:t>
      </w:r>
    </w:p>
    <w:p w14:paraId="520FE921" w14:textId="77777777" w:rsidR="004F10A9" w:rsidRPr="004F10A9" w:rsidRDefault="004F10A9" w:rsidP="00C81323">
      <w:pPr>
        <w:rPr>
          <w:rFonts w:ascii="Arial" w:hAnsi="Arial" w:cs="Arial"/>
          <w:sz w:val="24"/>
          <w:szCs w:val="24"/>
        </w:rPr>
      </w:pPr>
      <w:r w:rsidRPr="004F10A9">
        <w:rPr>
          <w:rFonts w:ascii="Arial" w:hAnsi="Arial" w:cs="Arial"/>
          <w:sz w:val="24"/>
          <w:szCs w:val="24"/>
        </w:rPr>
        <w:t xml:space="preserve">Hiatt, J.M. (2006) </w:t>
      </w:r>
      <w:r w:rsidRPr="004F10A9">
        <w:rPr>
          <w:rFonts w:ascii="Arial" w:hAnsi="Arial" w:cs="Arial"/>
          <w:i/>
          <w:iCs/>
          <w:sz w:val="24"/>
          <w:szCs w:val="24"/>
        </w:rPr>
        <w:t>ADKAR: A Model for Change in Business, Government and our Community</w:t>
      </w:r>
      <w:r w:rsidRPr="004F10A9">
        <w:rPr>
          <w:rFonts w:ascii="Arial" w:hAnsi="Arial" w:cs="Arial"/>
          <w:sz w:val="24"/>
          <w:szCs w:val="24"/>
        </w:rPr>
        <w:t xml:space="preserve">. Loveland, CO: </w:t>
      </w:r>
      <w:proofErr w:type="spellStart"/>
      <w:r w:rsidRPr="004F10A9">
        <w:rPr>
          <w:rFonts w:ascii="Arial" w:hAnsi="Arial" w:cs="Arial"/>
          <w:sz w:val="24"/>
          <w:szCs w:val="24"/>
        </w:rPr>
        <w:t>Prosci</w:t>
      </w:r>
      <w:proofErr w:type="spellEnd"/>
      <w:r w:rsidRPr="004F10A9">
        <w:rPr>
          <w:rFonts w:ascii="Arial" w:hAnsi="Arial" w:cs="Arial"/>
          <w:sz w:val="24"/>
          <w:szCs w:val="24"/>
        </w:rPr>
        <w:t>.</w:t>
      </w:r>
    </w:p>
    <w:p w14:paraId="476F7B78" w14:textId="77777777" w:rsidR="004F10A9" w:rsidRPr="004F10A9" w:rsidRDefault="004F10A9" w:rsidP="00C81323">
      <w:pPr>
        <w:rPr>
          <w:rFonts w:ascii="Arial" w:hAnsi="Arial" w:cs="Arial"/>
          <w:sz w:val="24"/>
          <w:szCs w:val="24"/>
        </w:rPr>
      </w:pPr>
      <w:r w:rsidRPr="004F10A9">
        <w:rPr>
          <w:rFonts w:ascii="Arial" w:hAnsi="Arial" w:cs="Arial"/>
          <w:sz w:val="24"/>
          <w:szCs w:val="24"/>
        </w:rPr>
        <w:t xml:space="preserve">JLR Media Newsroom (2024) </w:t>
      </w:r>
      <w:r w:rsidRPr="004F10A9">
        <w:rPr>
          <w:rFonts w:ascii="Arial" w:hAnsi="Arial" w:cs="Arial"/>
          <w:i/>
          <w:iCs/>
          <w:sz w:val="24"/>
          <w:szCs w:val="24"/>
        </w:rPr>
        <w:t>JLR strengthens Executive Leadership Team with appointments for next phase of its Reimagine transformation</w:t>
      </w:r>
      <w:r w:rsidRPr="004F10A9">
        <w:rPr>
          <w:rFonts w:ascii="Arial" w:hAnsi="Arial" w:cs="Arial"/>
          <w:sz w:val="24"/>
          <w:szCs w:val="24"/>
        </w:rPr>
        <w:t xml:space="preserve">, 15 October. Available at: </w:t>
      </w:r>
      <w:hyperlink r:id="rId13" w:history="1">
        <w:r w:rsidRPr="004F10A9">
          <w:rPr>
            <w:rStyle w:val="Hyperlink"/>
            <w:rFonts w:ascii="Arial" w:hAnsi="Arial" w:cs="Arial"/>
            <w:sz w:val="24"/>
            <w:szCs w:val="24"/>
          </w:rPr>
          <w:t>https://media.jaguarlandrover.com/news/2024/10/jlr-strengthens-executive-leadership-team-appointments-next-phase-its-reimagine</w:t>
        </w:r>
      </w:hyperlink>
      <w:r w:rsidRPr="004F10A9">
        <w:rPr>
          <w:rFonts w:ascii="Arial" w:hAnsi="Arial" w:cs="Arial"/>
          <w:sz w:val="24"/>
          <w:szCs w:val="24"/>
        </w:rPr>
        <w:t xml:space="preserve"> (Accessed: 3 August 2026).</w:t>
      </w:r>
    </w:p>
    <w:p w14:paraId="1AE07453" w14:textId="77777777" w:rsidR="004F10A9" w:rsidRPr="004F10A9" w:rsidRDefault="004F10A9" w:rsidP="00C81323">
      <w:pPr>
        <w:rPr>
          <w:rFonts w:ascii="Arial" w:hAnsi="Arial" w:cs="Arial"/>
          <w:sz w:val="24"/>
          <w:szCs w:val="24"/>
        </w:rPr>
      </w:pPr>
      <w:r w:rsidRPr="004F10A9">
        <w:rPr>
          <w:rFonts w:ascii="Arial" w:hAnsi="Arial" w:cs="Arial"/>
          <w:sz w:val="24"/>
          <w:szCs w:val="24"/>
        </w:rPr>
        <w:t xml:space="preserve">JLR Media Newsroom (2025) </w:t>
      </w:r>
      <w:r w:rsidRPr="004F10A9">
        <w:rPr>
          <w:rFonts w:ascii="Arial" w:hAnsi="Arial" w:cs="Arial"/>
          <w:i/>
          <w:iCs/>
          <w:sz w:val="24"/>
          <w:szCs w:val="24"/>
        </w:rPr>
        <w:t>JLR executive announcement</w:t>
      </w:r>
      <w:r w:rsidRPr="004F10A9">
        <w:rPr>
          <w:rFonts w:ascii="Arial" w:hAnsi="Arial" w:cs="Arial"/>
          <w:sz w:val="24"/>
          <w:szCs w:val="24"/>
        </w:rPr>
        <w:t xml:space="preserve">, 4 August. Available at: </w:t>
      </w:r>
      <w:hyperlink r:id="rId14" w:history="1">
        <w:r w:rsidRPr="004F10A9">
          <w:rPr>
            <w:rStyle w:val="Hyperlink"/>
            <w:rFonts w:ascii="Arial" w:hAnsi="Arial" w:cs="Arial"/>
            <w:sz w:val="24"/>
            <w:szCs w:val="24"/>
          </w:rPr>
          <w:t>https://media.jaguarlandrover.com/news/2025/08/jlr-executive-announcement</w:t>
        </w:r>
      </w:hyperlink>
      <w:r w:rsidRPr="004F10A9">
        <w:rPr>
          <w:rFonts w:ascii="Arial" w:hAnsi="Arial" w:cs="Arial"/>
          <w:sz w:val="24"/>
          <w:szCs w:val="24"/>
        </w:rPr>
        <w:t xml:space="preserve"> (Accessed: 3 August 2026).</w:t>
      </w:r>
    </w:p>
    <w:p w14:paraId="2FDB63CD" w14:textId="77777777" w:rsidR="004F10A9" w:rsidRPr="004F10A9" w:rsidRDefault="004F10A9" w:rsidP="00C81323">
      <w:pPr>
        <w:rPr>
          <w:rFonts w:ascii="Arial" w:hAnsi="Arial" w:cs="Arial"/>
          <w:sz w:val="24"/>
          <w:szCs w:val="24"/>
        </w:rPr>
      </w:pPr>
      <w:r w:rsidRPr="004F10A9">
        <w:rPr>
          <w:rFonts w:ascii="Arial" w:hAnsi="Arial" w:cs="Arial"/>
          <w:sz w:val="24"/>
          <w:szCs w:val="24"/>
        </w:rPr>
        <w:t xml:space="preserve">Johnson, G., Whittington, R. and Scholes, K. (2017) </w:t>
      </w:r>
      <w:r w:rsidRPr="004F10A9">
        <w:rPr>
          <w:rFonts w:ascii="Arial" w:hAnsi="Arial" w:cs="Arial"/>
          <w:i/>
          <w:iCs/>
          <w:sz w:val="24"/>
          <w:szCs w:val="24"/>
        </w:rPr>
        <w:t>Exploring Strategy: Text and Cases</w:t>
      </w:r>
      <w:r w:rsidRPr="004F10A9">
        <w:rPr>
          <w:rFonts w:ascii="Arial" w:hAnsi="Arial" w:cs="Arial"/>
          <w:sz w:val="24"/>
          <w:szCs w:val="24"/>
        </w:rPr>
        <w:t xml:space="preserve">. 11th </w:t>
      </w:r>
      <w:proofErr w:type="spellStart"/>
      <w:r w:rsidRPr="004F10A9">
        <w:rPr>
          <w:rFonts w:ascii="Arial" w:hAnsi="Arial" w:cs="Arial"/>
          <w:sz w:val="24"/>
          <w:szCs w:val="24"/>
        </w:rPr>
        <w:t>edn</w:t>
      </w:r>
      <w:proofErr w:type="spellEnd"/>
      <w:r w:rsidRPr="004F10A9">
        <w:rPr>
          <w:rFonts w:ascii="Arial" w:hAnsi="Arial" w:cs="Arial"/>
          <w:sz w:val="24"/>
          <w:szCs w:val="24"/>
        </w:rPr>
        <w:t>. Harlow: Pearson.</w:t>
      </w:r>
    </w:p>
    <w:p w14:paraId="0E908C89" w14:textId="77777777" w:rsidR="004F10A9" w:rsidRPr="004F10A9" w:rsidRDefault="004F10A9" w:rsidP="00C81323">
      <w:pPr>
        <w:rPr>
          <w:rFonts w:ascii="Arial" w:hAnsi="Arial" w:cs="Arial"/>
          <w:sz w:val="24"/>
          <w:szCs w:val="24"/>
        </w:rPr>
      </w:pPr>
      <w:r w:rsidRPr="004F10A9">
        <w:rPr>
          <w:rFonts w:ascii="Arial" w:hAnsi="Arial" w:cs="Arial"/>
          <w:sz w:val="24"/>
          <w:szCs w:val="24"/>
        </w:rPr>
        <w:t xml:space="preserve">Kotter, J.P. (1996) </w:t>
      </w:r>
      <w:r w:rsidRPr="004F10A9">
        <w:rPr>
          <w:rFonts w:ascii="Arial" w:hAnsi="Arial" w:cs="Arial"/>
          <w:i/>
          <w:iCs/>
          <w:sz w:val="24"/>
          <w:szCs w:val="24"/>
        </w:rPr>
        <w:t>Leading Change</w:t>
      </w:r>
      <w:r w:rsidRPr="004F10A9">
        <w:rPr>
          <w:rFonts w:ascii="Arial" w:hAnsi="Arial" w:cs="Arial"/>
          <w:sz w:val="24"/>
          <w:szCs w:val="24"/>
        </w:rPr>
        <w:t>. Boston, MA: Harvard Business School Press.</w:t>
      </w:r>
    </w:p>
    <w:p w14:paraId="5A6C2E2C" w14:textId="77777777" w:rsidR="004F10A9" w:rsidRPr="004F10A9" w:rsidRDefault="004F10A9" w:rsidP="00C81323">
      <w:pPr>
        <w:rPr>
          <w:rFonts w:ascii="Arial" w:hAnsi="Arial" w:cs="Arial"/>
          <w:sz w:val="24"/>
          <w:szCs w:val="24"/>
        </w:rPr>
      </w:pPr>
      <w:r w:rsidRPr="004F10A9">
        <w:rPr>
          <w:rFonts w:ascii="Arial" w:hAnsi="Arial" w:cs="Arial"/>
          <w:sz w:val="24"/>
          <w:szCs w:val="24"/>
        </w:rPr>
        <w:t xml:space="preserve">Lewin, K. (1947) 'Frontiers in group dynamics: concept, method and reality in social science', </w:t>
      </w:r>
      <w:r w:rsidRPr="004F10A9">
        <w:rPr>
          <w:rFonts w:ascii="Arial" w:hAnsi="Arial" w:cs="Arial"/>
          <w:i/>
          <w:iCs/>
          <w:sz w:val="24"/>
          <w:szCs w:val="24"/>
        </w:rPr>
        <w:t>Human Relations</w:t>
      </w:r>
      <w:r w:rsidRPr="004F10A9">
        <w:rPr>
          <w:rFonts w:ascii="Arial" w:hAnsi="Arial" w:cs="Arial"/>
          <w:sz w:val="24"/>
          <w:szCs w:val="24"/>
        </w:rPr>
        <w:t>, 1(1), pp. 5–41.</w:t>
      </w:r>
    </w:p>
    <w:p w14:paraId="033435FD" w14:textId="77777777" w:rsidR="004F10A9" w:rsidRPr="004F10A9" w:rsidRDefault="004F10A9" w:rsidP="00C81323">
      <w:pPr>
        <w:rPr>
          <w:rFonts w:ascii="Arial" w:hAnsi="Arial" w:cs="Arial"/>
          <w:sz w:val="24"/>
          <w:szCs w:val="24"/>
        </w:rPr>
      </w:pPr>
      <w:r w:rsidRPr="004F10A9">
        <w:rPr>
          <w:rFonts w:ascii="Arial" w:hAnsi="Arial" w:cs="Arial"/>
          <w:sz w:val="24"/>
          <w:szCs w:val="24"/>
        </w:rPr>
        <w:t xml:space="preserve">Schein, E.H. (2010) </w:t>
      </w:r>
      <w:r w:rsidRPr="004F10A9">
        <w:rPr>
          <w:rFonts w:ascii="Arial" w:hAnsi="Arial" w:cs="Arial"/>
          <w:i/>
          <w:iCs/>
          <w:sz w:val="24"/>
          <w:szCs w:val="24"/>
        </w:rPr>
        <w:t>Organizational Culture and Leadership</w:t>
      </w:r>
      <w:r w:rsidRPr="004F10A9">
        <w:rPr>
          <w:rFonts w:ascii="Arial" w:hAnsi="Arial" w:cs="Arial"/>
          <w:sz w:val="24"/>
          <w:szCs w:val="24"/>
        </w:rPr>
        <w:t xml:space="preserve">. 4th </w:t>
      </w:r>
      <w:proofErr w:type="spellStart"/>
      <w:r w:rsidRPr="004F10A9">
        <w:rPr>
          <w:rFonts w:ascii="Arial" w:hAnsi="Arial" w:cs="Arial"/>
          <w:sz w:val="24"/>
          <w:szCs w:val="24"/>
        </w:rPr>
        <w:t>edn</w:t>
      </w:r>
      <w:proofErr w:type="spellEnd"/>
      <w:r w:rsidRPr="004F10A9">
        <w:rPr>
          <w:rFonts w:ascii="Arial" w:hAnsi="Arial" w:cs="Arial"/>
          <w:sz w:val="24"/>
          <w:szCs w:val="24"/>
        </w:rPr>
        <w:t>. San Francisco, CA: Jossey-Bass.</w:t>
      </w:r>
    </w:p>
    <w:p w14:paraId="0507E2E3" w14:textId="77777777" w:rsidR="004F10A9" w:rsidRPr="004F10A9" w:rsidRDefault="004F10A9" w:rsidP="00C81323">
      <w:pPr>
        <w:rPr>
          <w:rFonts w:ascii="Arial" w:hAnsi="Arial" w:cs="Arial"/>
          <w:sz w:val="24"/>
          <w:szCs w:val="24"/>
        </w:rPr>
      </w:pPr>
      <w:r w:rsidRPr="004F10A9">
        <w:rPr>
          <w:rFonts w:ascii="Arial" w:hAnsi="Arial" w:cs="Arial"/>
          <w:sz w:val="24"/>
          <w:szCs w:val="24"/>
        </w:rPr>
        <w:t xml:space="preserve">Tata Motors (2024) </w:t>
      </w:r>
      <w:r w:rsidRPr="004F10A9">
        <w:rPr>
          <w:rFonts w:ascii="Arial" w:hAnsi="Arial" w:cs="Arial"/>
          <w:i/>
          <w:iCs/>
          <w:sz w:val="24"/>
          <w:szCs w:val="24"/>
        </w:rPr>
        <w:t>Tata Motors consolidated Q1 FY25 results</w:t>
      </w:r>
      <w:r w:rsidRPr="004F10A9">
        <w:rPr>
          <w:rFonts w:ascii="Arial" w:hAnsi="Arial" w:cs="Arial"/>
          <w:sz w:val="24"/>
          <w:szCs w:val="24"/>
        </w:rPr>
        <w:t xml:space="preserve">. Available at: </w:t>
      </w:r>
      <w:hyperlink r:id="rId15" w:history="1">
        <w:r w:rsidRPr="004F10A9">
          <w:rPr>
            <w:rStyle w:val="Hyperlink"/>
            <w:rFonts w:ascii="Arial" w:hAnsi="Arial" w:cs="Arial"/>
            <w:sz w:val="24"/>
            <w:szCs w:val="24"/>
          </w:rPr>
          <w:t>https://www.tatamotors.com/press-releases/tata-motors-consolidated-q1-fy25-results/</w:t>
        </w:r>
      </w:hyperlink>
      <w:r w:rsidRPr="004F10A9">
        <w:rPr>
          <w:rFonts w:ascii="Arial" w:hAnsi="Arial" w:cs="Arial"/>
          <w:sz w:val="24"/>
          <w:szCs w:val="24"/>
        </w:rPr>
        <w:t xml:space="preserve"> (Accessed: 3 August 2026).</w:t>
      </w:r>
    </w:p>
    <w:p w14:paraId="1A97C5E2" w14:textId="77777777" w:rsidR="004F10A9" w:rsidRPr="004F10A9" w:rsidRDefault="004F10A9" w:rsidP="00C81323">
      <w:pPr>
        <w:rPr>
          <w:rFonts w:ascii="Arial" w:hAnsi="Arial" w:cs="Arial"/>
          <w:sz w:val="24"/>
          <w:szCs w:val="24"/>
        </w:rPr>
      </w:pPr>
      <w:r w:rsidRPr="004F10A9">
        <w:rPr>
          <w:rFonts w:ascii="Arial" w:hAnsi="Arial" w:cs="Arial"/>
          <w:sz w:val="24"/>
          <w:szCs w:val="24"/>
        </w:rPr>
        <w:lastRenderedPageBreak/>
        <w:t xml:space="preserve">Tata Motors (2025a) </w:t>
      </w:r>
      <w:r w:rsidRPr="004F10A9">
        <w:rPr>
          <w:rFonts w:ascii="Arial" w:hAnsi="Arial" w:cs="Arial"/>
          <w:i/>
          <w:iCs/>
          <w:sz w:val="24"/>
          <w:szCs w:val="24"/>
        </w:rPr>
        <w:t>Tata Motors consolidated Q4 FY25 results</w:t>
      </w:r>
      <w:r w:rsidRPr="004F10A9">
        <w:rPr>
          <w:rFonts w:ascii="Arial" w:hAnsi="Arial" w:cs="Arial"/>
          <w:sz w:val="24"/>
          <w:szCs w:val="24"/>
        </w:rPr>
        <w:t xml:space="preserve">. Available at: </w:t>
      </w:r>
      <w:hyperlink r:id="rId16" w:history="1">
        <w:r w:rsidRPr="004F10A9">
          <w:rPr>
            <w:rStyle w:val="Hyperlink"/>
            <w:rFonts w:ascii="Arial" w:hAnsi="Arial" w:cs="Arial"/>
            <w:sz w:val="24"/>
            <w:szCs w:val="24"/>
          </w:rPr>
          <w:t>https://www.tatamotors.com/press-releases/tata-motors-consolidated-q4-fy25-results/</w:t>
        </w:r>
      </w:hyperlink>
      <w:r w:rsidRPr="004F10A9">
        <w:rPr>
          <w:rFonts w:ascii="Arial" w:hAnsi="Arial" w:cs="Arial"/>
          <w:sz w:val="24"/>
          <w:szCs w:val="24"/>
        </w:rPr>
        <w:t xml:space="preserve"> (Accessed: 3 August 2026).</w:t>
      </w:r>
    </w:p>
    <w:p w14:paraId="4B8F280A" w14:textId="7B742EF7" w:rsidR="004F10A9" w:rsidRPr="004F10A9" w:rsidRDefault="004F10A9" w:rsidP="00C81323">
      <w:pPr>
        <w:rPr>
          <w:rFonts w:ascii="Arial" w:hAnsi="Arial" w:cs="Arial"/>
          <w:sz w:val="24"/>
          <w:szCs w:val="24"/>
        </w:rPr>
      </w:pPr>
      <w:r w:rsidRPr="004F10A9">
        <w:rPr>
          <w:rFonts w:ascii="Arial" w:hAnsi="Arial" w:cs="Arial"/>
          <w:sz w:val="24"/>
          <w:szCs w:val="24"/>
        </w:rPr>
        <w:t xml:space="preserve">Tata Motors (2025b) </w:t>
      </w:r>
      <w:r w:rsidRPr="004F10A9">
        <w:rPr>
          <w:rFonts w:ascii="Arial" w:hAnsi="Arial" w:cs="Arial"/>
          <w:i/>
          <w:iCs/>
          <w:sz w:val="24"/>
          <w:szCs w:val="24"/>
        </w:rPr>
        <w:t>Tata Motors consolidated Q2 FY26 results</w:t>
      </w:r>
      <w:r w:rsidRPr="004F10A9">
        <w:rPr>
          <w:rFonts w:ascii="Arial" w:hAnsi="Arial" w:cs="Arial"/>
          <w:sz w:val="24"/>
          <w:szCs w:val="24"/>
        </w:rPr>
        <w:t>. Available a</w:t>
      </w:r>
      <w:r>
        <w:rPr>
          <w:rFonts w:ascii="Arial" w:hAnsi="Arial" w:cs="Arial"/>
          <w:sz w:val="24"/>
          <w:szCs w:val="24"/>
        </w:rPr>
        <w:t>t</w:t>
      </w:r>
      <w:r w:rsidRPr="004F10A9">
        <w:rPr>
          <w:rFonts w:ascii="Arial" w:hAnsi="Arial" w:cs="Arial"/>
          <w:sz w:val="24"/>
          <w:szCs w:val="24"/>
        </w:rPr>
        <w:t>:</w:t>
      </w:r>
      <w:r>
        <w:rPr>
          <w:rFonts w:ascii="Arial" w:hAnsi="Arial" w:cs="Arial"/>
          <w:sz w:val="24"/>
          <w:szCs w:val="24"/>
        </w:rPr>
        <w:t xml:space="preserve"> </w:t>
      </w:r>
      <w:hyperlink r:id="rId17" w:history="1">
        <w:r w:rsidRPr="00345356">
          <w:rPr>
            <w:rStyle w:val="Hyperlink"/>
            <w:rFonts w:ascii="Arial" w:hAnsi="Arial" w:cs="Arial"/>
            <w:sz w:val="24"/>
            <w:szCs w:val="24"/>
          </w:rPr>
          <w:t>https://cv.tatamotors.com/assets/cv/files/2025-11/Tata_Motors_Q2_FY26_Press_Release.pdf</w:t>
        </w:r>
      </w:hyperlink>
      <w:r>
        <w:rPr>
          <w:rFonts w:ascii="Arial" w:hAnsi="Arial" w:cs="Arial"/>
          <w:sz w:val="24"/>
          <w:szCs w:val="24"/>
        </w:rPr>
        <w:t xml:space="preserve"> </w:t>
      </w:r>
      <w:r w:rsidRPr="004F10A9">
        <w:rPr>
          <w:rFonts w:ascii="Arial" w:hAnsi="Arial" w:cs="Arial"/>
          <w:sz w:val="24"/>
          <w:szCs w:val="24"/>
        </w:rPr>
        <w:t>(Accessed: 3 August 2026).</w:t>
      </w:r>
    </w:p>
    <w:p w14:paraId="4DFFD406" w14:textId="77777777" w:rsidR="004F10A9" w:rsidRPr="004F10A9" w:rsidRDefault="004F10A9" w:rsidP="00C81323">
      <w:pPr>
        <w:rPr>
          <w:rFonts w:ascii="Arial" w:hAnsi="Arial" w:cs="Arial"/>
          <w:sz w:val="24"/>
          <w:szCs w:val="24"/>
        </w:rPr>
      </w:pPr>
      <w:r w:rsidRPr="004F10A9">
        <w:rPr>
          <w:rFonts w:ascii="Arial" w:hAnsi="Arial" w:cs="Arial"/>
          <w:sz w:val="24"/>
          <w:szCs w:val="24"/>
        </w:rPr>
        <w:t xml:space="preserve">Waterman, R.H., Peters, T.J. and Phillips, J.R. (1980) 'Structure is not organization', </w:t>
      </w:r>
      <w:r w:rsidRPr="004F10A9">
        <w:rPr>
          <w:rFonts w:ascii="Arial" w:hAnsi="Arial" w:cs="Arial"/>
          <w:i/>
          <w:iCs/>
          <w:sz w:val="24"/>
          <w:szCs w:val="24"/>
        </w:rPr>
        <w:t>Business Horizons</w:t>
      </w:r>
      <w:r w:rsidRPr="004F10A9">
        <w:rPr>
          <w:rFonts w:ascii="Arial" w:hAnsi="Arial" w:cs="Arial"/>
          <w:sz w:val="24"/>
          <w:szCs w:val="24"/>
        </w:rPr>
        <w:t>, 23(3), pp. 14–26.</w:t>
      </w:r>
    </w:p>
    <w:p w14:paraId="139C6269" w14:textId="77777777" w:rsidR="001F36DF" w:rsidRPr="004F10A9" w:rsidRDefault="001F36DF" w:rsidP="00C81323">
      <w:pPr>
        <w:rPr>
          <w:rFonts w:ascii="Arial" w:hAnsi="Arial" w:cs="Arial"/>
          <w:sz w:val="24"/>
          <w:szCs w:val="24"/>
        </w:rPr>
      </w:pPr>
    </w:p>
    <w:sectPr w:rsidR="001F36DF" w:rsidRPr="004F10A9" w:rsidSect="0029183D">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3322DD" w14:textId="77777777" w:rsidR="00B1525E" w:rsidRDefault="00B1525E" w:rsidP="0029183D">
      <w:pPr>
        <w:spacing w:after="0" w:line="240" w:lineRule="auto"/>
      </w:pPr>
      <w:r>
        <w:separator/>
      </w:r>
    </w:p>
  </w:endnote>
  <w:endnote w:type="continuationSeparator" w:id="0">
    <w:p w14:paraId="659EA34D" w14:textId="77777777" w:rsidR="00B1525E" w:rsidRDefault="00B1525E" w:rsidP="00291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6233960"/>
      <w:docPartObj>
        <w:docPartGallery w:val="Page Numbers (Bottom of Page)"/>
        <w:docPartUnique/>
      </w:docPartObj>
    </w:sdtPr>
    <w:sdtEndPr>
      <w:rPr>
        <w:color w:val="7F7F7F" w:themeColor="background1" w:themeShade="7F"/>
        <w:spacing w:val="60"/>
      </w:rPr>
    </w:sdtEndPr>
    <w:sdtContent>
      <w:p w14:paraId="7C1C4DB5" w14:textId="37DD7BD6" w:rsidR="0029183D" w:rsidRDefault="0029183D">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3BEF0DD0" w14:textId="77777777" w:rsidR="0029183D" w:rsidRDefault="002918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38974C" w14:textId="77777777" w:rsidR="00B1525E" w:rsidRDefault="00B1525E" w:rsidP="0029183D">
      <w:pPr>
        <w:spacing w:after="0" w:line="240" w:lineRule="auto"/>
      </w:pPr>
      <w:r>
        <w:separator/>
      </w:r>
    </w:p>
  </w:footnote>
  <w:footnote w:type="continuationSeparator" w:id="0">
    <w:p w14:paraId="568260DD" w14:textId="77777777" w:rsidR="00B1525E" w:rsidRDefault="00B1525E" w:rsidP="002918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3A3AB9"/>
    <w:multiLevelType w:val="multilevel"/>
    <w:tmpl w:val="0FA484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AF677F3"/>
    <w:multiLevelType w:val="multilevel"/>
    <w:tmpl w:val="E4AC2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EAF6186"/>
    <w:multiLevelType w:val="hybridMultilevel"/>
    <w:tmpl w:val="2884DC90"/>
    <w:lvl w:ilvl="0" w:tplc="07D01954">
      <w:start w:val="1"/>
      <w:numFmt w:val="decimal"/>
      <w:lvlText w:val="%1."/>
      <w:lvlJc w:val="left"/>
      <w:pPr>
        <w:ind w:left="432" w:hanging="360"/>
      </w:pPr>
      <w:rPr>
        <w:rFonts w:asciiTheme="majorHAnsi" w:eastAsiaTheme="majorEastAsia" w:hAnsiTheme="majorHAnsi" w:cstheme="majorBidi" w:hint="default"/>
        <w:color w:val="2F5496" w:themeColor="accent1" w:themeShade="BF"/>
        <w:sz w:val="32"/>
      </w:rPr>
    </w:lvl>
    <w:lvl w:ilvl="1" w:tplc="08090019" w:tentative="1">
      <w:start w:val="1"/>
      <w:numFmt w:val="lowerLetter"/>
      <w:lvlText w:val="%2."/>
      <w:lvlJc w:val="left"/>
      <w:pPr>
        <w:ind w:left="1152" w:hanging="360"/>
      </w:pPr>
    </w:lvl>
    <w:lvl w:ilvl="2" w:tplc="0809001B" w:tentative="1">
      <w:start w:val="1"/>
      <w:numFmt w:val="lowerRoman"/>
      <w:lvlText w:val="%3."/>
      <w:lvlJc w:val="right"/>
      <w:pPr>
        <w:ind w:left="1872" w:hanging="180"/>
      </w:pPr>
    </w:lvl>
    <w:lvl w:ilvl="3" w:tplc="0809000F" w:tentative="1">
      <w:start w:val="1"/>
      <w:numFmt w:val="decimal"/>
      <w:lvlText w:val="%4."/>
      <w:lvlJc w:val="left"/>
      <w:pPr>
        <w:ind w:left="2592" w:hanging="360"/>
      </w:pPr>
    </w:lvl>
    <w:lvl w:ilvl="4" w:tplc="08090019" w:tentative="1">
      <w:start w:val="1"/>
      <w:numFmt w:val="lowerLetter"/>
      <w:lvlText w:val="%5."/>
      <w:lvlJc w:val="left"/>
      <w:pPr>
        <w:ind w:left="3312" w:hanging="360"/>
      </w:pPr>
    </w:lvl>
    <w:lvl w:ilvl="5" w:tplc="0809001B" w:tentative="1">
      <w:start w:val="1"/>
      <w:numFmt w:val="lowerRoman"/>
      <w:lvlText w:val="%6."/>
      <w:lvlJc w:val="right"/>
      <w:pPr>
        <w:ind w:left="4032" w:hanging="180"/>
      </w:pPr>
    </w:lvl>
    <w:lvl w:ilvl="6" w:tplc="0809000F" w:tentative="1">
      <w:start w:val="1"/>
      <w:numFmt w:val="decimal"/>
      <w:lvlText w:val="%7."/>
      <w:lvlJc w:val="left"/>
      <w:pPr>
        <w:ind w:left="4752" w:hanging="360"/>
      </w:pPr>
    </w:lvl>
    <w:lvl w:ilvl="7" w:tplc="08090019" w:tentative="1">
      <w:start w:val="1"/>
      <w:numFmt w:val="lowerLetter"/>
      <w:lvlText w:val="%8."/>
      <w:lvlJc w:val="left"/>
      <w:pPr>
        <w:ind w:left="5472" w:hanging="360"/>
      </w:pPr>
    </w:lvl>
    <w:lvl w:ilvl="8" w:tplc="0809001B" w:tentative="1">
      <w:start w:val="1"/>
      <w:numFmt w:val="lowerRoman"/>
      <w:lvlText w:val="%9."/>
      <w:lvlJc w:val="right"/>
      <w:pPr>
        <w:ind w:left="6192" w:hanging="180"/>
      </w:pPr>
    </w:lvl>
  </w:abstractNum>
  <w:num w:numId="1" w16cid:durableId="920794712">
    <w:abstractNumId w:val="0"/>
  </w:num>
  <w:num w:numId="2" w16cid:durableId="884178780">
    <w:abstractNumId w:val="1"/>
  </w:num>
  <w:num w:numId="3" w16cid:durableId="192310658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Benilde Barbosa Ferreira (2328311)">
    <w15:presenceInfo w15:providerId="AD" w15:userId="S::2328311@student.uwtsd.ac.uk::1ed38f10-0ece-4386-a0a3-7304108a9b6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D3B"/>
    <w:rsid w:val="00020A4F"/>
    <w:rsid w:val="00020BF2"/>
    <w:rsid w:val="00082DC4"/>
    <w:rsid w:val="001A2849"/>
    <w:rsid w:val="001B77B3"/>
    <w:rsid w:val="001F36DF"/>
    <w:rsid w:val="0029183D"/>
    <w:rsid w:val="002C5891"/>
    <w:rsid w:val="002D40E7"/>
    <w:rsid w:val="003119D9"/>
    <w:rsid w:val="003341D1"/>
    <w:rsid w:val="00375F01"/>
    <w:rsid w:val="003B0717"/>
    <w:rsid w:val="004C7123"/>
    <w:rsid w:val="004F10A9"/>
    <w:rsid w:val="005273C9"/>
    <w:rsid w:val="00572A3D"/>
    <w:rsid w:val="00686E4F"/>
    <w:rsid w:val="006D5D3B"/>
    <w:rsid w:val="00747EC1"/>
    <w:rsid w:val="007D331A"/>
    <w:rsid w:val="009153EC"/>
    <w:rsid w:val="00921B97"/>
    <w:rsid w:val="00924B10"/>
    <w:rsid w:val="00954433"/>
    <w:rsid w:val="00A77FB8"/>
    <w:rsid w:val="00AD2BF2"/>
    <w:rsid w:val="00B07230"/>
    <w:rsid w:val="00B1525E"/>
    <w:rsid w:val="00C50F93"/>
    <w:rsid w:val="00C65BEF"/>
    <w:rsid w:val="00C81323"/>
    <w:rsid w:val="00DF645E"/>
    <w:rsid w:val="00E55A7C"/>
    <w:rsid w:val="00EC0F66"/>
    <w:rsid w:val="00EF22A6"/>
    <w:rsid w:val="00F645B9"/>
    <w:rsid w:val="00FB4138"/>
    <w:rsid w:val="00FD6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7136E"/>
  <w15:chartTrackingRefBased/>
  <w15:docId w15:val="{D331A4D4-98B5-4DC6-B4ED-40CD31A6F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5D3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D5D3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D5D3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D5D3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D5D3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D5D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5D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5D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5D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D3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6D5D3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D5D3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D5D3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D5D3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D5D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5D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5D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5D3B"/>
    <w:rPr>
      <w:rFonts w:eastAsiaTheme="majorEastAsia" w:cstheme="majorBidi"/>
      <w:color w:val="272727" w:themeColor="text1" w:themeTint="D8"/>
    </w:rPr>
  </w:style>
  <w:style w:type="paragraph" w:styleId="Title">
    <w:name w:val="Title"/>
    <w:basedOn w:val="Normal"/>
    <w:next w:val="Normal"/>
    <w:link w:val="TitleChar"/>
    <w:uiPriority w:val="10"/>
    <w:qFormat/>
    <w:rsid w:val="006D5D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5D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5D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5D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5D3B"/>
    <w:pPr>
      <w:spacing w:before="160"/>
      <w:jc w:val="center"/>
    </w:pPr>
    <w:rPr>
      <w:i/>
      <w:iCs/>
      <w:color w:val="404040" w:themeColor="text1" w:themeTint="BF"/>
    </w:rPr>
  </w:style>
  <w:style w:type="character" w:customStyle="1" w:styleId="QuoteChar">
    <w:name w:val="Quote Char"/>
    <w:basedOn w:val="DefaultParagraphFont"/>
    <w:link w:val="Quote"/>
    <w:uiPriority w:val="29"/>
    <w:rsid w:val="006D5D3B"/>
    <w:rPr>
      <w:i/>
      <w:iCs/>
      <w:color w:val="404040" w:themeColor="text1" w:themeTint="BF"/>
    </w:rPr>
  </w:style>
  <w:style w:type="paragraph" w:styleId="ListParagraph">
    <w:name w:val="List Paragraph"/>
    <w:basedOn w:val="Normal"/>
    <w:uiPriority w:val="34"/>
    <w:qFormat/>
    <w:rsid w:val="006D5D3B"/>
    <w:pPr>
      <w:ind w:left="720"/>
      <w:contextualSpacing/>
    </w:pPr>
  </w:style>
  <w:style w:type="character" w:styleId="IntenseEmphasis">
    <w:name w:val="Intense Emphasis"/>
    <w:basedOn w:val="DefaultParagraphFont"/>
    <w:uiPriority w:val="21"/>
    <w:qFormat/>
    <w:rsid w:val="006D5D3B"/>
    <w:rPr>
      <w:i/>
      <w:iCs/>
      <w:color w:val="2F5496" w:themeColor="accent1" w:themeShade="BF"/>
    </w:rPr>
  </w:style>
  <w:style w:type="paragraph" w:styleId="IntenseQuote">
    <w:name w:val="Intense Quote"/>
    <w:basedOn w:val="Normal"/>
    <w:next w:val="Normal"/>
    <w:link w:val="IntenseQuoteChar"/>
    <w:uiPriority w:val="30"/>
    <w:qFormat/>
    <w:rsid w:val="006D5D3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D5D3B"/>
    <w:rPr>
      <w:i/>
      <w:iCs/>
      <w:color w:val="2F5496" w:themeColor="accent1" w:themeShade="BF"/>
    </w:rPr>
  </w:style>
  <w:style w:type="character" w:styleId="IntenseReference">
    <w:name w:val="Intense Reference"/>
    <w:basedOn w:val="DefaultParagraphFont"/>
    <w:uiPriority w:val="32"/>
    <w:qFormat/>
    <w:rsid w:val="006D5D3B"/>
    <w:rPr>
      <w:b/>
      <w:bCs/>
      <w:smallCaps/>
      <w:color w:val="2F5496" w:themeColor="accent1" w:themeShade="BF"/>
      <w:spacing w:val="5"/>
    </w:rPr>
  </w:style>
  <w:style w:type="character" w:styleId="Hyperlink">
    <w:name w:val="Hyperlink"/>
    <w:basedOn w:val="DefaultParagraphFont"/>
    <w:uiPriority w:val="99"/>
    <w:unhideWhenUsed/>
    <w:rsid w:val="00375F01"/>
    <w:rPr>
      <w:color w:val="0563C1" w:themeColor="hyperlink"/>
      <w:u w:val="single"/>
    </w:rPr>
  </w:style>
  <w:style w:type="character" w:styleId="UnresolvedMention">
    <w:name w:val="Unresolved Mention"/>
    <w:basedOn w:val="DefaultParagraphFont"/>
    <w:uiPriority w:val="99"/>
    <w:semiHidden/>
    <w:unhideWhenUsed/>
    <w:rsid w:val="00375F01"/>
    <w:rPr>
      <w:color w:val="605E5C"/>
      <w:shd w:val="clear" w:color="auto" w:fill="E1DFDD"/>
    </w:rPr>
  </w:style>
  <w:style w:type="character" w:styleId="FollowedHyperlink">
    <w:name w:val="FollowedHyperlink"/>
    <w:basedOn w:val="DefaultParagraphFont"/>
    <w:uiPriority w:val="99"/>
    <w:semiHidden/>
    <w:unhideWhenUsed/>
    <w:rsid w:val="00375F01"/>
    <w:rPr>
      <w:color w:val="954F72" w:themeColor="followedHyperlink"/>
      <w:u w:val="single"/>
    </w:rPr>
  </w:style>
  <w:style w:type="paragraph" w:styleId="NormalWeb">
    <w:name w:val="Normal (Web)"/>
    <w:basedOn w:val="Normal"/>
    <w:uiPriority w:val="99"/>
    <w:semiHidden/>
    <w:unhideWhenUsed/>
    <w:rsid w:val="007D331A"/>
    <w:rPr>
      <w:rFonts w:ascii="Times New Roman" w:hAnsi="Times New Roman" w:cs="Times New Roman"/>
      <w:sz w:val="24"/>
      <w:szCs w:val="24"/>
    </w:rPr>
  </w:style>
  <w:style w:type="paragraph" w:styleId="TOCHeading">
    <w:name w:val="TOC Heading"/>
    <w:basedOn w:val="Heading1"/>
    <w:next w:val="Normal"/>
    <w:uiPriority w:val="39"/>
    <w:unhideWhenUsed/>
    <w:qFormat/>
    <w:rsid w:val="0029183D"/>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29183D"/>
    <w:pPr>
      <w:spacing w:after="100"/>
      <w:ind w:left="220"/>
    </w:pPr>
  </w:style>
  <w:style w:type="paragraph" w:styleId="Header">
    <w:name w:val="header"/>
    <w:basedOn w:val="Normal"/>
    <w:link w:val="HeaderChar"/>
    <w:uiPriority w:val="99"/>
    <w:unhideWhenUsed/>
    <w:rsid w:val="002918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83D"/>
  </w:style>
  <w:style w:type="paragraph" w:styleId="Footer">
    <w:name w:val="footer"/>
    <w:basedOn w:val="Normal"/>
    <w:link w:val="FooterChar"/>
    <w:uiPriority w:val="99"/>
    <w:unhideWhenUsed/>
    <w:rsid w:val="00291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83D"/>
  </w:style>
  <w:style w:type="paragraph" w:styleId="NoSpacing">
    <w:name w:val="No Spacing"/>
    <w:link w:val="NoSpacingChar"/>
    <w:uiPriority w:val="1"/>
    <w:qFormat/>
    <w:rsid w:val="0029183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29183D"/>
    <w:rPr>
      <w:rFonts w:eastAsiaTheme="minorEastAsia"/>
      <w:kern w:val="0"/>
      <w:lang w:eastAsia="en-GB"/>
      <w14:ligatures w14:val="none"/>
    </w:rPr>
  </w:style>
  <w:style w:type="paragraph" w:styleId="Revision">
    <w:name w:val="Revision"/>
    <w:hidden/>
    <w:uiPriority w:val="99"/>
    <w:semiHidden/>
    <w:rsid w:val="00EF22A6"/>
    <w:pPr>
      <w:spacing w:after="0" w:line="240" w:lineRule="auto"/>
    </w:pPr>
  </w:style>
  <w:style w:type="character" w:styleId="CommentReference">
    <w:name w:val="annotation reference"/>
    <w:basedOn w:val="DefaultParagraphFont"/>
    <w:uiPriority w:val="99"/>
    <w:semiHidden/>
    <w:unhideWhenUsed/>
    <w:rsid w:val="00EF22A6"/>
    <w:rPr>
      <w:sz w:val="16"/>
      <w:szCs w:val="16"/>
    </w:rPr>
  </w:style>
  <w:style w:type="paragraph" w:styleId="CommentText">
    <w:name w:val="annotation text"/>
    <w:basedOn w:val="Normal"/>
    <w:link w:val="CommentTextChar"/>
    <w:uiPriority w:val="99"/>
    <w:unhideWhenUsed/>
    <w:rsid w:val="00EF22A6"/>
    <w:pPr>
      <w:spacing w:line="240" w:lineRule="auto"/>
    </w:pPr>
    <w:rPr>
      <w:sz w:val="20"/>
      <w:szCs w:val="20"/>
    </w:rPr>
  </w:style>
  <w:style w:type="character" w:customStyle="1" w:styleId="CommentTextChar">
    <w:name w:val="Comment Text Char"/>
    <w:basedOn w:val="DefaultParagraphFont"/>
    <w:link w:val="CommentText"/>
    <w:uiPriority w:val="99"/>
    <w:rsid w:val="00EF22A6"/>
    <w:rPr>
      <w:sz w:val="20"/>
      <w:szCs w:val="20"/>
    </w:rPr>
  </w:style>
  <w:style w:type="paragraph" w:styleId="CommentSubject">
    <w:name w:val="annotation subject"/>
    <w:basedOn w:val="CommentText"/>
    <w:next w:val="CommentText"/>
    <w:link w:val="CommentSubjectChar"/>
    <w:uiPriority w:val="99"/>
    <w:semiHidden/>
    <w:unhideWhenUsed/>
    <w:rsid w:val="00EF22A6"/>
    <w:rPr>
      <w:b/>
      <w:bCs/>
    </w:rPr>
  </w:style>
  <w:style w:type="character" w:customStyle="1" w:styleId="CommentSubjectChar">
    <w:name w:val="Comment Subject Char"/>
    <w:basedOn w:val="CommentTextChar"/>
    <w:link w:val="CommentSubject"/>
    <w:uiPriority w:val="99"/>
    <w:semiHidden/>
    <w:rsid w:val="00EF22A6"/>
    <w:rPr>
      <w:b/>
      <w:bCs/>
      <w:sz w:val="20"/>
      <w:szCs w:val="20"/>
    </w:rPr>
  </w:style>
  <w:style w:type="table" w:styleId="TableGrid">
    <w:name w:val="Table Grid"/>
    <w:basedOn w:val="TableNormal"/>
    <w:uiPriority w:val="39"/>
    <w:rsid w:val="004F10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4F10A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PlainTable4">
    <w:name w:val="Plain Table 4"/>
    <w:basedOn w:val="TableNormal"/>
    <w:uiPriority w:val="44"/>
    <w:rsid w:val="004F10A9"/>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4F10A9"/>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5">
    <w:name w:val="Grid Table 5 Dark Accent 5"/>
    <w:basedOn w:val="TableNormal"/>
    <w:uiPriority w:val="50"/>
    <w:rsid w:val="004F10A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edia.jaguarlandrover.com/news/2024/10/jlr-strengthens-executive-leadership-team-appointments-next-phase-its-reimagine"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gov.uk/government/news/government-backs-jaguar-land-rover-with-15-billion-loan-guarantee" TargetMode="External"/><Relationship Id="rId17" Type="http://schemas.openxmlformats.org/officeDocument/2006/relationships/hyperlink" Target="https://cv.tatamotors.com/assets/cv/files/2025-11/Tata_Motors_Q2_FY26_Press_Release.pdf" TargetMode="External"/><Relationship Id="rId2" Type="http://schemas.openxmlformats.org/officeDocument/2006/relationships/numbering" Target="numbering.xml"/><Relationship Id="rId16" Type="http://schemas.openxmlformats.org/officeDocument/2006/relationships/hyperlink" Target="https://www.tatamotors.com/press-releases/tata-motors-consolidated-q4-fy25-results/" TargetMode="Externa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si/2023/1394" TargetMode="External"/><Relationship Id="rId5" Type="http://schemas.openxmlformats.org/officeDocument/2006/relationships/webSettings" Target="webSettings.xml"/><Relationship Id="rId15" Type="http://schemas.openxmlformats.org/officeDocument/2006/relationships/hyperlink" Target="https://www.tatamotors.com/press-releases/tata-motors-consolidated-q1-fy25-results/" TargetMode="External"/><Relationship Id="rId10" Type="http://schemas.openxmlformats.org/officeDocument/2006/relationships/hyperlink" Target="https://cybermonitoringcentre.com/2025/10/22/cyber-monitoring-centre-statement-on-the-jaguar-land-rovercyber-incident-october-2025/"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edia.jaguarlandrover.com/news/2025/08/jlr-executive-announc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2FF9A8-58AA-4AAA-8E84-4BA329955A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5000</Words>
  <Characters>28500</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Benilde Barbosa Ferreira (2328311)</dc:creator>
  <cp:keywords/>
  <dc:description/>
  <cp:lastModifiedBy>Benilde Barbosa Ferreira (2328311)</cp:lastModifiedBy>
  <cp:revision>4</cp:revision>
  <dcterms:created xsi:type="dcterms:W3CDTF">2026-07-23T21:06:00Z</dcterms:created>
  <dcterms:modified xsi:type="dcterms:W3CDTF">2026-08-07T14:50:00Z</dcterms:modified>
</cp:coreProperties>
</file>