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527BA5F" w14:textId="1AA1976D" w:rsidR="002E4DB7" w:rsidRDefault="00EE50E5" w:rsidP="00EE50E5">
      <w:pPr>
        <w:spacing w:line="360" w:lineRule="auto"/>
        <w:rPr>
          <w:rFonts w:ascii="Arial" w:hAnsi="Arial" w:cs="Arial"/>
        </w:rPr>
      </w:pPr>
      <w:r>
        <w:rPr>
          <w:rFonts w:ascii="Arial" w:hAnsi="Arial" w:cs="Arial"/>
        </w:rPr>
        <w:t>Introduction</w:t>
      </w:r>
    </w:p>
    <w:p w14:paraId="4CAA2C5E" w14:textId="3F8619F5" w:rsidR="00DA720C" w:rsidRDefault="000232F1" w:rsidP="00EE50E5">
      <w:pPr>
        <w:spacing w:line="360" w:lineRule="auto"/>
        <w:rPr>
          <w:rFonts w:ascii="Arial" w:hAnsi="Arial" w:cs="Arial"/>
        </w:rPr>
      </w:pPr>
      <w:r w:rsidRPr="000232F1">
        <w:rPr>
          <w:rFonts w:ascii="Arial" w:hAnsi="Arial" w:cs="Arial"/>
        </w:rPr>
        <w:t>Type 2 diabetes is a long-term metabolic condition characterised by the body's reduced ability to respond to insulin and the inadequate production of insulin itself, which can result in increased blood glucose levels and may potentially affect various organs over time (NHS, 2025).</w:t>
      </w:r>
      <w:r w:rsidR="008A6EC2" w:rsidRPr="008A6EC2">
        <w:t xml:space="preserve"> </w:t>
      </w:r>
      <w:r w:rsidR="008A6EC2" w:rsidRPr="008A6EC2">
        <w:rPr>
          <w:rFonts w:ascii="Arial" w:hAnsi="Arial" w:cs="Arial"/>
        </w:rPr>
        <w:t>The condition typically develops gradually and may be accompanied by various symptoms such as increased thirst, frequent urination, fatigue, blurred vision, recurrent infections, and wounds that take longer to heal (NICE, 2023).</w:t>
      </w:r>
      <w:r w:rsidR="00DA720C">
        <w:rPr>
          <w:rFonts w:ascii="Arial" w:hAnsi="Arial" w:cs="Arial"/>
        </w:rPr>
        <w:t xml:space="preserve"> Some individuals remain asymptomatic during the </w:t>
      </w:r>
      <w:r w:rsidR="008C4402">
        <w:rPr>
          <w:rFonts w:ascii="Arial" w:hAnsi="Arial" w:cs="Arial"/>
        </w:rPr>
        <w:t>initial stages</w:t>
      </w:r>
      <w:r w:rsidR="00DA720C">
        <w:rPr>
          <w:rFonts w:ascii="Arial" w:hAnsi="Arial" w:cs="Arial"/>
        </w:rPr>
        <w:t xml:space="preserve">, leading to delayed diagnosis and an increased risk of complications. </w:t>
      </w:r>
    </w:p>
    <w:p w14:paraId="01DA6CA2" w14:textId="5FAEDCBE" w:rsidR="00442A84" w:rsidRDefault="00D967C0" w:rsidP="00EE50E5">
      <w:pPr>
        <w:spacing w:line="360" w:lineRule="auto"/>
        <w:rPr>
          <w:rFonts w:ascii="Arial" w:hAnsi="Arial" w:cs="Arial"/>
        </w:rPr>
      </w:pPr>
      <w:r w:rsidRPr="00D967C0">
        <w:rPr>
          <w:rFonts w:ascii="Arial" w:hAnsi="Arial" w:cs="Arial"/>
        </w:rPr>
        <w:t xml:space="preserve">Type 2 diabetes is recognised as a significant global health concern. The International Diabetes Federation (2024) estimates that </w:t>
      </w:r>
      <w:r w:rsidR="008C4402" w:rsidRPr="00D967C0">
        <w:rPr>
          <w:rFonts w:ascii="Arial" w:hAnsi="Arial" w:cs="Arial"/>
        </w:rPr>
        <w:t>589</w:t>
      </w:r>
      <w:r w:rsidRPr="00D967C0">
        <w:rPr>
          <w:rFonts w:ascii="Arial" w:hAnsi="Arial" w:cs="Arial"/>
        </w:rPr>
        <w:t xml:space="preserve"> million adults worldwide are currently living with diabetes, and this figure is expected to rise to 853 million by 2050. In the United Kingdom, over 5.8 million individuals have been diagnosed with diabetes, with around 90% of these cases being type 2, and it is believed that approximately 1.3 million people remain undiagnosed (Diabetes UK, 2024). These statistics serve to emphasise the increasing importance and widespread impact of the condition.</w:t>
      </w:r>
    </w:p>
    <w:p w14:paraId="5B786291" w14:textId="77777777" w:rsidR="00367338" w:rsidRDefault="00367338" w:rsidP="00EE50E5">
      <w:pPr>
        <w:spacing w:line="360" w:lineRule="auto"/>
        <w:rPr>
          <w:rFonts w:ascii="Arial" w:hAnsi="Arial" w:cs="Arial"/>
        </w:rPr>
      </w:pPr>
    </w:p>
    <w:p w14:paraId="678C2D71" w14:textId="143F4CF7" w:rsidR="00FC6ED6" w:rsidRDefault="00926A60" w:rsidP="00EE50E5">
      <w:pPr>
        <w:spacing w:line="360" w:lineRule="auto"/>
        <w:rPr>
          <w:rFonts w:ascii="Arial" w:hAnsi="Arial" w:cs="Arial"/>
        </w:rPr>
      </w:pPr>
      <w:r w:rsidRPr="00926A60">
        <w:rPr>
          <w:rFonts w:ascii="Arial" w:hAnsi="Arial" w:cs="Arial"/>
        </w:rPr>
        <w:t>Type 2 diabetes can have significant implications for individuals, their families, and the broader community. On a personal level, it is associated with an increased likelihood of developing long-term complications such as cardiovascular issues, chronic kidney problems, retinopathy, neuropathy, and the potential need for lower-limb amputations (NHS, 2025).</w:t>
      </w:r>
      <w:r w:rsidR="00E36AE6" w:rsidRPr="00E36AE6">
        <w:t xml:space="preserve"> </w:t>
      </w:r>
      <w:r w:rsidR="00E36AE6" w:rsidRPr="00E36AE6">
        <w:rPr>
          <w:rFonts w:ascii="Arial" w:hAnsi="Arial" w:cs="Arial"/>
        </w:rPr>
        <w:t>These complications are often a result of ongoing hyperglycaemia, which can affect blood vessels and nerves, potentially impacting an individual's ability to work, drive, or perform daily activities independently (NICE, 2023).</w:t>
      </w:r>
      <w:r w:rsidR="00C44F15" w:rsidRPr="00C44F15">
        <w:t xml:space="preserve"> </w:t>
      </w:r>
      <w:r w:rsidR="00C44F15" w:rsidRPr="00C44F15">
        <w:rPr>
          <w:rFonts w:ascii="Arial" w:hAnsi="Arial" w:cs="Arial"/>
        </w:rPr>
        <w:t>Individuals experiencing reduced mobility, chronic pain, or vision impairment often face challenges that may affect their overall quality of life and can sometimes lead to feelings of psychological distress, such as anxiety and depression (Diabetes UK, 2024).</w:t>
      </w:r>
    </w:p>
    <w:p w14:paraId="4AEEB8A4" w14:textId="2B1832F7" w:rsidR="00CD5E94" w:rsidRDefault="00CD5E94" w:rsidP="00EE50E5">
      <w:pPr>
        <w:spacing w:line="360" w:lineRule="auto"/>
        <w:rPr>
          <w:rFonts w:ascii="Arial" w:hAnsi="Arial" w:cs="Arial"/>
        </w:rPr>
      </w:pPr>
      <w:r w:rsidRPr="00CD5E94">
        <w:rPr>
          <w:rFonts w:ascii="Arial" w:hAnsi="Arial" w:cs="Arial"/>
        </w:rPr>
        <w:t>At the community level, type 2 diabetes tends to be more common among socially disadvantaged groups. There is a notably higher prevalence among individuals living in deprived areas and within certain ethnic minority communities, particularly those of South Asian, African-Caribbean, and Black African backgrounds. These patterns highlight existing health inequalities that have been recognised over time (Public Health England, 2020).</w:t>
      </w:r>
      <w:r w:rsidR="00D353F9" w:rsidRPr="00D353F9">
        <w:t xml:space="preserve"> </w:t>
      </w:r>
      <w:r w:rsidR="00D353F9" w:rsidRPr="00D353F9">
        <w:rPr>
          <w:rFonts w:ascii="Arial" w:hAnsi="Arial" w:cs="Arial"/>
        </w:rPr>
        <w:t xml:space="preserve">These inequalities can lead to higher rates of sickness absence, earlier retirement due to health reasons, and a greater dependence on unpaid carers within families (Diabetes UK, 2023). Family members may often face emotional challenges, financial pressures, and </w:t>
      </w:r>
      <w:r w:rsidR="00D353F9" w:rsidRPr="00D353F9">
        <w:rPr>
          <w:rFonts w:ascii="Arial" w:hAnsi="Arial" w:cs="Arial"/>
        </w:rPr>
        <w:lastRenderedPageBreak/>
        <w:t>heightened stress as they offer long-term support, particularly in cases where complications arise (NHS, 2025).</w:t>
      </w:r>
    </w:p>
    <w:p w14:paraId="54E1694F" w14:textId="35910D9A" w:rsidR="00446E2B" w:rsidRDefault="00446E2B" w:rsidP="00EE50E5">
      <w:pPr>
        <w:spacing w:line="360" w:lineRule="auto"/>
        <w:rPr>
          <w:rFonts w:ascii="Arial" w:hAnsi="Arial" w:cs="Arial"/>
        </w:rPr>
      </w:pPr>
      <w:r w:rsidRPr="00446E2B">
        <w:rPr>
          <w:rFonts w:ascii="Arial" w:hAnsi="Arial" w:cs="Arial"/>
        </w:rPr>
        <w:t>The wider community impact encompasses an increased demand for social care, a</w:t>
      </w:r>
      <w:r w:rsidR="00C44426">
        <w:rPr>
          <w:rFonts w:ascii="Arial" w:hAnsi="Arial" w:cs="Arial"/>
        </w:rPr>
        <w:t xml:space="preserve"> </w:t>
      </w:r>
      <w:r w:rsidRPr="00446E2B">
        <w:rPr>
          <w:rFonts w:ascii="Arial" w:hAnsi="Arial" w:cs="Arial"/>
        </w:rPr>
        <w:t>reduction in workplace productivity, and a rise in local authority expenditure associated with long-term illness. Consequently, type 2 diabetes is recognised not only as a medical condition but also as a social and economic challenge that can influence community cohesion and public health outcomes (WHO, 2023).</w:t>
      </w:r>
    </w:p>
    <w:p w14:paraId="0D168BFB" w14:textId="77777777" w:rsidR="00A738A6" w:rsidRDefault="00A738A6" w:rsidP="00EE50E5">
      <w:pPr>
        <w:spacing w:line="360" w:lineRule="auto"/>
        <w:rPr>
          <w:rFonts w:ascii="Arial" w:hAnsi="Arial" w:cs="Arial"/>
        </w:rPr>
      </w:pPr>
    </w:p>
    <w:p w14:paraId="660FD916" w14:textId="7F4F20CE" w:rsidR="0029415F" w:rsidRDefault="00A738A6" w:rsidP="00EE50E5">
      <w:pPr>
        <w:spacing w:line="360" w:lineRule="auto"/>
        <w:rPr>
          <w:rFonts w:ascii="Arial" w:hAnsi="Arial" w:cs="Arial"/>
        </w:rPr>
      </w:pPr>
      <w:r w:rsidRPr="00A738A6">
        <w:rPr>
          <w:rFonts w:ascii="Arial" w:hAnsi="Arial" w:cs="Arial"/>
        </w:rPr>
        <w:t>The rising prevalence of type 2 diabetes poses considerable challenges for the National Health Service. A study conducted by the University of York (2024) estimated that, during 2021–22, diabetes incurred costs of approximately £14 billion for the UK, with over £10 billion of this amount being direct expenditure by the NHS. A significant portion of this expenditure is attributed not only to routine management but also to the treatment of associated complications, such as cardiovascular disease, kidney failure requiring dialysis, and diabetic foot conditions.</w:t>
      </w:r>
    </w:p>
    <w:p w14:paraId="3B0F68DE" w14:textId="63A311A2" w:rsidR="0029415F" w:rsidRDefault="0029415F" w:rsidP="00EE50E5">
      <w:pPr>
        <w:spacing w:line="360" w:lineRule="auto"/>
        <w:rPr>
          <w:rFonts w:ascii="Arial" w:hAnsi="Arial" w:cs="Arial"/>
        </w:rPr>
      </w:pPr>
      <w:r w:rsidRPr="0029415F">
        <w:rPr>
          <w:rFonts w:ascii="Arial" w:hAnsi="Arial" w:cs="Arial"/>
        </w:rPr>
        <w:t xml:space="preserve">The NHS is currently </w:t>
      </w:r>
      <w:r w:rsidR="00367338" w:rsidRPr="0029415F">
        <w:rPr>
          <w:rFonts w:ascii="Arial" w:hAnsi="Arial" w:cs="Arial"/>
        </w:rPr>
        <w:t>experiencing operational</w:t>
      </w:r>
      <w:r w:rsidRPr="0029415F">
        <w:rPr>
          <w:rFonts w:ascii="Arial" w:hAnsi="Arial" w:cs="Arial"/>
        </w:rPr>
        <w:t xml:space="preserve"> pressures. Diabetes remains one of the most frequent reasons for GP appointments, medication prescriptions, and referrals to specialist services. The demand for podiatry, ophthalmology, and renal clinics continues to grow. In England, the proportion of adults receiving all recommended diabetes care processes (such as foot checks, blood pressure monitoring, and HbA1c testing) during 2023 to 2024 ranged from 38.4% to 70.6%, indicating some variation in service delivery and ongoing challenges in ensuring consistent care (OHID, 2025).</w:t>
      </w:r>
    </w:p>
    <w:p w14:paraId="55F9F5C0" w14:textId="6A61CBC2" w:rsidR="00E653DF" w:rsidRDefault="00E653DF" w:rsidP="00EE50E5">
      <w:pPr>
        <w:spacing w:line="360" w:lineRule="auto"/>
        <w:rPr>
          <w:rFonts w:ascii="Arial" w:hAnsi="Arial" w:cs="Arial"/>
        </w:rPr>
      </w:pPr>
      <w:r w:rsidRPr="00E653DF">
        <w:rPr>
          <w:rFonts w:ascii="Arial" w:hAnsi="Arial" w:cs="Arial"/>
        </w:rPr>
        <w:t>Type 2 diabetes, therefore, plays a role in the longer waiting times, increased pressures on the workforce, greater utilisation of hospital beds, and the sustained need for chronic disease management. As the incidence continues to rise, it becomes increasingly important for the NHS to allocate appropriate resources towards diabetes care, emphasising the value of effective prevention and early intervention strategies.</w:t>
      </w:r>
    </w:p>
    <w:p w14:paraId="328E58D0" w14:textId="0B4A1809" w:rsidR="004F0BC1" w:rsidRPr="004F0BC1" w:rsidRDefault="00E15D84" w:rsidP="004F0BC1">
      <w:pPr>
        <w:spacing w:line="360" w:lineRule="auto"/>
        <w:rPr>
          <w:rFonts w:ascii="Arial" w:hAnsi="Arial" w:cs="Arial"/>
        </w:rPr>
      </w:pPr>
      <w:r w:rsidRPr="00E15D84">
        <w:rPr>
          <w:rFonts w:ascii="Arial" w:hAnsi="Arial" w:cs="Arial"/>
        </w:rPr>
        <w:t>The management of type 2 diabetes typically involves a comprehensive approach that encompasses prevention, early detection, lifestyle modifications, medication where appropriate, and ongoing monitoring.</w:t>
      </w:r>
    </w:p>
    <w:p w14:paraId="587E6843" w14:textId="156AD0F0" w:rsidR="0087102C" w:rsidRDefault="004F0BC1" w:rsidP="00EE50E5">
      <w:pPr>
        <w:spacing w:line="360" w:lineRule="auto"/>
        <w:rPr>
          <w:rFonts w:ascii="Arial" w:hAnsi="Arial" w:cs="Arial"/>
        </w:rPr>
      </w:pPr>
      <w:r w:rsidRPr="004F0BC1">
        <w:rPr>
          <w:rFonts w:ascii="Arial" w:hAnsi="Arial" w:cs="Arial"/>
        </w:rPr>
        <w:t xml:space="preserve">Primary prevention is of utmost importance. Support is provided to individuals at higher risk through lifestyle programmes that emphasise a healthy diet, weight management, increased physical activity, and smoking cessation (NHS, 2025). For instance, the NHS Diabetes Prevention Programme offers personalised support to those with pre-diabetes or at elevated </w:t>
      </w:r>
      <w:r w:rsidRPr="004F0BC1">
        <w:rPr>
          <w:rFonts w:ascii="Arial" w:hAnsi="Arial" w:cs="Arial"/>
        </w:rPr>
        <w:lastRenderedPageBreak/>
        <w:t>risk of developing type 2 diabetes, aiming to minimise the likelihood of progression to the full condition (NHS, 2025). Additionally, early detection plays a vital role</w:t>
      </w:r>
      <w:r>
        <w:rPr>
          <w:rFonts w:ascii="Arial" w:hAnsi="Arial" w:cs="Arial"/>
        </w:rPr>
        <w:t xml:space="preserve">, </w:t>
      </w:r>
      <w:r w:rsidRPr="004F0BC1">
        <w:rPr>
          <w:rFonts w:ascii="Arial" w:hAnsi="Arial" w:cs="Arial"/>
        </w:rPr>
        <w:t>regular screening of at-risk populations enables early intervention before complications develop, thereby helping to alleviate longer-term health challenges (NHS England, 2022).</w:t>
      </w:r>
    </w:p>
    <w:p w14:paraId="10720976" w14:textId="0E37DCAA" w:rsidR="00C93066" w:rsidRDefault="00C93066" w:rsidP="00EE50E5">
      <w:pPr>
        <w:spacing w:line="360" w:lineRule="auto"/>
        <w:rPr>
          <w:rFonts w:ascii="Arial" w:hAnsi="Arial" w:cs="Arial"/>
        </w:rPr>
      </w:pPr>
      <w:r w:rsidRPr="00C93066">
        <w:rPr>
          <w:rFonts w:ascii="Arial" w:hAnsi="Arial" w:cs="Arial"/>
        </w:rPr>
        <w:t>Once diagnosed, the management of type 2 diabetes typically focuses on maintaining optimal glycaemic control (target HbA</w:t>
      </w:r>
      <w:r>
        <w:rPr>
          <w:rFonts w:ascii="Cambria Math" w:hAnsi="Cambria Math" w:cs="Cambria Math"/>
        </w:rPr>
        <w:t xml:space="preserve">1c </w:t>
      </w:r>
      <w:r w:rsidRPr="00C93066">
        <w:rPr>
          <w:rFonts w:ascii="Arial" w:hAnsi="Arial" w:cs="Arial"/>
        </w:rPr>
        <w:t xml:space="preserve">levels), reducing cardiovascular risk factors (such as blood pressure and lipid levels), screening for potential complications (including those affecting the eyes, feet, and kidneys), and providing relevant patient education. According to the National Institute for Health and Care Excellence (NICE) guidelines (2023), initial pharmacological treatment </w:t>
      </w:r>
      <w:r w:rsidR="002F6E92" w:rsidRPr="00C93066">
        <w:rPr>
          <w:rFonts w:ascii="Arial" w:hAnsi="Arial" w:cs="Arial"/>
        </w:rPr>
        <w:t>involves</w:t>
      </w:r>
      <w:r w:rsidRPr="00C93066">
        <w:rPr>
          <w:rFonts w:ascii="Arial" w:hAnsi="Arial" w:cs="Arial"/>
        </w:rPr>
        <w:t xml:space="preserve"> metformin alongside lifestyle modifications. Additional medications, such as SGLT2 inhibitors, GLP-1 receptor agonists, or insulin, may be considered based on individual risk profiles and disease progression (NICE, 2023). The NHS also highlights the importance of structured diabetes education and self-management programmes, like DESMOND, to help patients gain the necessary knowledge and skills to effectively manage their condition (Wikipedia, 2025).</w:t>
      </w:r>
    </w:p>
    <w:p w14:paraId="7694E2E8" w14:textId="51F93E0B" w:rsidR="00306B06" w:rsidRDefault="00306B06" w:rsidP="00EE50E5">
      <w:pPr>
        <w:spacing w:line="360" w:lineRule="auto"/>
        <w:rPr>
          <w:rFonts w:ascii="Arial" w:hAnsi="Arial" w:cs="Arial"/>
        </w:rPr>
      </w:pPr>
      <w:r w:rsidRPr="00306B06">
        <w:rPr>
          <w:rFonts w:ascii="Arial" w:hAnsi="Arial" w:cs="Arial"/>
        </w:rPr>
        <w:t>Recent evidence suggests that remission may be possible for some individuals with type 2 diabetes, particularly those diagnosed at an early stage and who achieve considerable weight loss. The NHS “Path to Remission” initiative illustrates that with intensive dietary interventions, alongside lifestyle changes and appropriate medical support, it is often feasible to restore glycaemic levels to within non-diabetic ranges (NHS England, 2022</w:t>
      </w:r>
      <w:r w:rsidR="009B747A">
        <w:rPr>
          <w:rFonts w:ascii="Arial" w:hAnsi="Arial" w:cs="Arial"/>
        </w:rPr>
        <w:t>).</w:t>
      </w:r>
      <w:r w:rsidR="009B747A" w:rsidRPr="009B747A">
        <w:t xml:space="preserve"> </w:t>
      </w:r>
      <w:r w:rsidR="009B747A" w:rsidRPr="009B747A">
        <w:rPr>
          <w:rFonts w:ascii="Arial" w:hAnsi="Arial" w:cs="Arial"/>
        </w:rPr>
        <w:t>In 2024–25, the NHS “Path to Remission” programme saw over 13,000 individuals enrol, with approximately 32% of those completing the programme experiencing remission. This highlights the promising potential of lifestyle-focused interventions to positively influence long-term outcomes and help alleviate pressures on health services.</w:t>
      </w:r>
    </w:p>
    <w:p w14:paraId="0DE1A8FA" w14:textId="092F0D4C" w:rsidR="00455131" w:rsidRDefault="00455131" w:rsidP="00EE50E5">
      <w:pPr>
        <w:spacing w:line="360" w:lineRule="auto"/>
        <w:rPr>
          <w:rFonts w:ascii="Arial" w:hAnsi="Arial" w:cs="Arial"/>
        </w:rPr>
      </w:pPr>
      <w:r w:rsidRPr="00455131">
        <w:rPr>
          <w:rFonts w:ascii="Arial" w:hAnsi="Arial" w:cs="Arial"/>
        </w:rPr>
        <w:t xml:space="preserve">A variety of biological and lifestyle factors can influence the health and wellbeing of individuals living with type 2 diabetes. Age, genetic predisposition, and family history are recognised to increase risk, with older adults often displaying a higher </w:t>
      </w:r>
      <w:r w:rsidR="007D3775">
        <w:rPr>
          <w:rFonts w:ascii="Arial" w:hAnsi="Arial" w:cs="Arial"/>
        </w:rPr>
        <w:t>susceptibility</w:t>
      </w:r>
      <w:r w:rsidRPr="00455131">
        <w:rPr>
          <w:rFonts w:ascii="Arial" w:hAnsi="Arial" w:cs="Arial"/>
        </w:rPr>
        <w:t xml:space="preserve"> due to decreased insulin sensitivity (NHS, 2025). Ethnicity is also an important consideration, as individuals of South Asian, African-Caribbean, and Black African backgrounds appear to be at greater risk of developing type 2 diabetes at a younger age and at lower body-mass indices compared to the White British population (Public Health England, 2020). Lifestyle factors, including physical inactivity, dietary habits, and obesity, are particularly significant modifiable contributors to disease progression, with central adiposity being </w:t>
      </w:r>
      <w:r w:rsidR="00142ED2" w:rsidRPr="00455131">
        <w:rPr>
          <w:rFonts w:ascii="Arial" w:hAnsi="Arial" w:cs="Arial"/>
        </w:rPr>
        <w:t>strongly associated</w:t>
      </w:r>
      <w:r w:rsidRPr="00455131">
        <w:rPr>
          <w:rFonts w:ascii="Arial" w:hAnsi="Arial" w:cs="Arial"/>
        </w:rPr>
        <w:t xml:space="preserve"> with insulin resistance (NICE, 2023). Additionally, </w:t>
      </w:r>
      <w:r w:rsidR="00142ED2" w:rsidRPr="00455131">
        <w:rPr>
          <w:rFonts w:ascii="Arial" w:hAnsi="Arial" w:cs="Arial"/>
        </w:rPr>
        <w:t>smoking</w:t>
      </w:r>
      <w:r w:rsidR="00142ED2">
        <w:rPr>
          <w:rFonts w:ascii="Arial" w:hAnsi="Arial" w:cs="Arial"/>
        </w:rPr>
        <w:t xml:space="preserve"> </w:t>
      </w:r>
      <w:r w:rsidRPr="00455131">
        <w:rPr>
          <w:rFonts w:ascii="Arial" w:hAnsi="Arial" w:cs="Arial"/>
        </w:rPr>
        <w:t xml:space="preserve">and excessive alcohol </w:t>
      </w:r>
      <w:r w:rsidRPr="00455131">
        <w:rPr>
          <w:rFonts w:ascii="Arial" w:hAnsi="Arial" w:cs="Arial"/>
        </w:rPr>
        <w:lastRenderedPageBreak/>
        <w:t>consumption can negatively impact metabolic regulation and may elevate cardiovascular risk (WHO, 2023).</w:t>
      </w:r>
    </w:p>
    <w:p w14:paraId="207D7DE7" w14:textId="77777777" w:rsidR="002F2CF9" w:rsidRPr="002F2CF9" w:rsidRDefault="002F2CF9" w:rsidP="002F2CF9">
      <w:pPr>
        <w:spacing w:line="360" w:lineRule="auto"/>
        <w:rPr>
          <w:rFonts w:ascii="Arial" w:hAnsi="Arial" w:cs="Arial"/>
        </w:rPr>
      </w:pPr>
      <w:r w:rsidRPr="002F2CF9">
        <w:rPr>
          <w:rFonts w:ascii="Arial" w:hAnsi="Arial" w:cs="Arial"/>
        </w:rPr>
        <w:t>Psychological wellbeing plays a vital role in influencing diabetes outcomes. Living with type 2 diabetes can often be associated with increased stress, anxiety, and diabetes-related distress, which may stem from the ongoing responsibilities of glucose monitoring, medication management, dietary modifications, and concerns about potential complications (Diabetes UK, 2024). Additionally, depression tends to be more prevalent among individuals with long-term conditions such as diabetes and can be linked to challenges in self-management, medication adherence, and a higher likelihood of complications (NHS, 2025). These psychological factors can have a meaningful effect on health behaviours, potentially leading to fluctuations in glucose control and affecting engagement with healthcare services.</w:t>
      </w:r>
    </w:p>
    <w:p w14:paraId="2AACBA8B" w14:textId="705B55BC" w:rsidR="002F2CF9" w:rsidRDefault="002F2CF9" w:rsidP="002F2CF9">
      <w:pPr>
        <w:spacing w:line="360" w:lineRule="auto"/>
        <w:rPr>
          <w:rFonts w:ascii="Arial" w:hAnsi="Arial" w:cs="Arial"/>
        </w:rPr>
      </w:pPr>
      <w:r w:rsidRPr="002F2CF9">
        <w:rPr>
          <w:rFonts w:ascii="Arial" w:hAnsi="Arial" w:cs="Arial"/>
        </w:rPr>
        <w:t>Family members and carers also often experience emotional challenges when supporting a relative with type 2 diabetes. Evidence suggests that caregiving roles can sometimes result in increased stress, financial difficulties, and a decreased quality of life, especially in instances where complications arise (Diabetes UK, 2023).</w:t>
      </w:r>
    </w:p>
    <w:p w14:paraId="197CD8BC" w14:textId="77777777" w:rsidR="00147E00" w:rsidRPr="00147E00" w:rsidRDefault="00147E00" w:rsidP="00147E00">
      <w:pPr>
        <w:spacing w:line="360" w:lineRule="auto"/>
        <w:rPr>
          <w:rFonts w:ascii="Arial" w:hAnsi="Arial" w:cs="Arial"/>
        </w:rPr>
      </w:pPr>
      <w:r w:rsidRPr="00147E00">
        <w:rPr>
          <w:rFonts w:ascii="Arial" w:hAnsi="Arial" w:cs="Arial"/>
        </w:rPr>
        <w:t>Social determinants of health play a significant role in influencing diabetes outcomes. Individuals residing in deprived communities may face challenges such as limited access to healthy foods, fewer safe environments for physical activity, and financial difficulties, which can affect their ability to manage the condition effectively (Public Health England, 2020). Additionally, lower levels of health literacy and language barriers might sometimes hinder understanding of dietary advice, self-monitoring, and medication routines (NICE, 2023).</w:t>
      </w:r>
    </w:p>
    <w:p w14:paraId="02A18AD4" w14:textId="5FD4C186" w:rsidR="00147E00" w:rsidRDefault="00147E00" w:rsidP="00147E00">
      <w:pPr>
        <w:spacing w:line="360" w:lineRule="auto"/>
        <w:rPr>
          <w:rFonts w:ascii="Arial" w:hAnsi="Arial" w:cs="Arial"/>
        </w:rPr>
      </w:pPr>
      <w:r w:rsidRPr="00147E00">
        <w:rPr>
          <w:rFonts w:ascii="Arial" w:hAnsi="Arial" w:cs="Arial"/>
        </w:rPr>
        <w:t>Ethnic minority communities may encounter cultural and structural barriers within healthcare systems, including limited access to services that are culturally appropriate, which can influence overall wellbeing and diabetes management (WHO, 2023). For families, living with diabetes can involve increased caring responsibilities, potential constraints on participation in work and leisure activities, and possible long-term financial pressures.</w:t>
      </w:r>
    </w:p>
    <w:p w14:paraId="759D0788" w14:textId="2F9429EF" w:rsidR="00702A7F" w:rsidRDefault="00AD3436" w:rsidP="00147E00">
      <w:pPr>
        <w:spacing w:line="360" w:lineRule="auto"/>
        <w:rPr>
          <w:rFonts w:ascii="Arial" w:hAnsi="Arial" w:cs="Arial"/>
          <w:b/>
          <w:bCs/>
        </w:rPr>
      </w:pPr>
      <w:r w:rsidRPr="00702A7F">
        <w:rPr>
          <w:rFonts w:ascii="Arial" w:hAnsi="Arial" w:cs="Arial"/>
          <w:b/>
          <w:bCs/>
        </w:rPr>
        <w:t>C</w:t>
      </w:r>
      <w:r w:rsidR="00702A7F" w:rsidRPr="00702A7F">
        <w:rPr>
          <w:rFonts w:ascii="Arial" w:hAnsi="Arial" w:cs="Arial"/>
          <w:b/>
          <w:bCs/>
        </w:rPr>
        <w:t>onclusion</w:t>
      </w:r>
    </w:p>
    <w:p w14:paraId="585FB4B5" w14:textId="77777777" w:rsidR="00AD3436" w:rsidRPr="00AD3436" w:rsidRDefault="00AD3436" w:rsidP="00AD3436">
      <w:pPr>
        <w:spacing w:line="360" w:lineRule="auto"/>
        <w:rPr>
          <w:rFonts w:ascii="Arial" w:hAnsi="Arial" w:cs="Arial"/>
        </w:rPr>
      </w:pPr>
      <w:r w:rsidRPr="00AD3436">
        <w:rPr>
          <w:rFonts w:ascii="Arial" w:hAnsi="Arial" w:cs="Arial"/>
        </w:rPr>
        <w:t>Type 2 diabetes is a complex and increasingly common condition that presents important challenges for individuals, communities, and healthcare services. The condition arises from a combination of insulin resistance and decreased insulin secretion, which can lead to long-term health complications if not managed effectively. The impact extends beyond the individual, affecting family dynamics, social support networks, and community well-being, while also placing considerable demand on the NHS through ongoing treatment and management requirements.</w:t>
      </w:r>
    </w:p>
    <w:p w14:paraId="6AA45952" w14:textId="77777777" w:rsidR="00AD3436" w:rsidRPr="00AD3436" w:rsidRDefault="00AD3436" w:rsidP="00AD3436">
      <w:pPr>
        <w:spacing w:line="360" w:lineRule="auto"/>
        <w:rPr>
          <w:rFonts w:ascii="Arial" w:hAnsi="Arial" w:cs="Arial"/>
        </w:rPr>
      </w:pPr>
    </w:p>
    <w:p w14:paraId="1C0B2F9D" w14:textId="0CFC8EB9" w:rsidR="00AD3436" w:rsidRPr="00AD3436" w:rsidRDefault="00AD3436" w:rsidP="00AD3436">
      <w:pPr>
        <w:spacing w:line="360" w:lineRule="auto"/>
        <w:rPr>
          <w:rFonts w:ascii="Arial" w:hAnsi="Arial" w:cs="Arial"/>
        </w:rPr>
      </w:pPr>
      <w:r w:rsidRPr="00AD3436">
        <w:rPr>
          <w:rFonts w:ascii="Arial" w:hAnsi="Arial" w:cs="Arial"/>
        </w:rPr>
        <w:t>Achieving good control involves a comprehensive approach that includes prevention, early detection, lifestyle adjustments, medical treatment, and regular monitoring. It is also important to consider psychological, social, and economic factors to support those living with the condition and to help reduce health inequalities. Overall, a sustained public health effort combined with personalised care strategies are vital in enhancing outcomes and enabling individuals to manage their condition effectively while maintaining a decent quality of life.</w:t>
      </w:r>
    </w:p>
    <w:p w14:paraId="05B37635" w14:textId="77777777" w:rsidR="00442A84" w:rsidRDefault="00442A84" w:rsidP="00EE50E5">
      <w:pPr>
        <w:spacing w:line="360" w:lineRule="auto"/>
        <w:rPr>
          <w:rFonts w:ascii="Arial" w:hAnsi="Arial" w:cs="Arial"/>
        </w:rPr>
      </w:pPr>
    </w:p>
    <w:p w14:paraId="1CC30E52" w14:textId="77777777" w:rsidR="00442A84" w:rsidRDefault="00442A84" w:rsidP="00EE50E5">
      <w:pPr>
        <w:spacing w:line="360" w:lineRule="auto"/>
        <w:rPr>
          <w:rFonts w:ascii="Arial" w:hAnsi="Arial" w:cs="Arial"/>
        </w:rPr>
      </w:pPr>
    </w:p>
    <w:p w14:paraId="332BF2BE" w14:textId="77777777" w:rsidR="00442A84" w:rsidRPr="00442A84" w:rsidRDefault="00442A84" w:rsidP="00EE50E5">
      <w:pPr>
        <w:spacing w:line="360" w:lineRule="auto"/>
        <w:rPr>
          <w:rFonts w:ascii="Arial" w:hAnsi="Arial" w:cs="Arial"/>
        </w:rPr>
      </w:pPr>
    </w:p>
    <w:p w14:paraId="232414E0" w14:textId="77777777" w:rsidR="00EE50E5" w:rsidRDefault="00EE50E5" w:rsidP="00EE50E5">
      <w:pPr>
        <w:spacing w:line="360" w:lineRule="auto"/>
        <w:rPr>
          <w:rFonts w:ascii="Arial" w:hAnsi="Arial" w:cs="Arial"/>
        </w:rPr>
      </w:pPr>
    </w:p>
    <w:p w14:paraId="0487072F" w14:textId="77777777" w:rsidR="00EE50E5" w:rsidRPr="00EE50E5" w:rsidRDefault="00EE50E5" w:rsidP="00EE50E5">
      <w:pPr>
        <w:spacing w:line="360" w:lineRule="auto"/>
        <w:rPr>
          <w:rFonts w:ascii="Arial" w:hAnsi="Arial" w:cs="Arial"/>
        </w:rPr>
      </w:pPr>
    </w:p>
    <w:sectPr w:rsidR="00EE50E5" w:rsidRPr="00EE50E5">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Cambria Math">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E50E5"/>
    <w:rsid w:val="000232F1"/>
    <w:rsid w:val="000C07C9"/>
    <w:rsid w:val="00123EAD"/>
    <w:rsid w:val="00142ED2"/>
    <w:rsid w:val="00147E00"/>
    <w:rsid w:val="0029415F"/>
    <w:rsid w:val="002A5C91"/>
    <w:rsid w:val="002E4DB7"/>
    <w:rsid w:val="002F2CF9"/>
    <w:rsid w:val="002F6E92"/>
    <w:rsid w:val="00306B06"/>
    <w:rsid w:val="00367338"/>
    <w:rsid w:val="004159FD"/>
    <w:rsid w:val="00442A84"/>
    <w:rsid w:val="00446E2B"/>
    <w:rsid w:val="00455131"/>
    <w:rsid w:val="004F0BC1"/>
    <w:rsid w:val="004F5E1E"/>
    <w:rsid w:val="006D1621"/>
    <w:rsid w:val="00702A7F"/>
    <w:rsid w:val="00751FEC"/>
    <w:rsid w:val="007B1F81"/>
    <w:rsid w:val="007D3775"/>
    <w:rsid w:val="0087102C"/>
    <w:rsid w:val="008A6EC2"/>
    <w:rsid w:val="008C4402"/>
    <w:rsid w:val="00907852"/>
    <w:rsid w:val="00926A60"/>
    <w:rsid w:val="00992404"/>
    <w:rsid w:val="009B747A"/>
    <w:rsid w:val="00A452C3"/>
    <w:rsid w:val="00A738A6"/>
    <w:rsid w:val="00AD3436"/>
    <w:rsid w:val="00B23BAA"/>
    <w:rsid w:val="00BF66BB"/>
    <w:rsid w:val="00C0304D"/>
    <w:rsid w:val="00C44426"/>
    <w:rsid w:val="00C44F15"/>
    <w:rsid w:val="00C7446B"/>
    <w:rsid w:val="00C93066"/>
    <w:rsid w:val="00CD5E94"/>
    <w:rsid w:val="00D353F9"/>
    <w:rsid w:val="00D967C0"/>
    <w:rsid w:val="00DA720C"/>
    <w:rsid w:val="00E15D84"/>
    <w:rsid w:val="00E36AE6"/>
    <w:rsid w:val="00E653DF"/>
    <w:rsid w:val="00EE50E5"/>
    <w:rsid w:val="00F65736"/>
    <w:rsid w:val="00FC6ED6"/>
  </w:rsids>
  <m:mathPr>
    <m:mathFont m:val="Cambria Math"/>
    <m:brkBin m:val="before"/>
    <m:brkBinSub m:val="--"/>
    <m:smallFrac m:val="0"/>
    <m:dispDef/>
    <m:lMargin m:val="0"/>
    <m:rMargin m:val="0"/>
    <m:defJc m:val="centerGroup"/>
    <m:wrapIndent m:val="1440"/>
    <m:intLim m:val="subSup"/>
    <m:naryLim m:val="undOvr"/>
  </m:mathPr>
  <w:themeFontLang/>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0B12BBA"/>
  <w15:chartTrackingRefBased/>
  <w15:docId w15:val="{C99EE594-1D92-4725-A597-820AD9DF8B3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EE50E5"/>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EE50E5"/>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EE50E5"/>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EE50E5"/>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EE50E5"/>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EE50E5"/>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EE50E5"/>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EE50E5"/>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EE50E5"/>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EE50E5"/>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EE50E5"/>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EE50E5"/>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EE50E5"/>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EE50E5"/>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EE50E5"/>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EE50E5"/>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EE50E5"/>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EE50E5"/>
    <w:rPr>
      <w:rFonts w:eastAsiaTheme="majorEastAsia" w:cstheme="majorBidi"/>
      <w:color w:val="272727" w:themeColor="text1" w:themeTint="D8"/>
    </w:rPr>
  </w:style>
  <w:style w:type="paragraph" w:styleId="Title">
    <w:name w:val="Title"/>
    <w:basedOn w:val="Normal"/>
    <w:next w:val="Normal"/>
    <w:link w:val="TitleChar"/>
    <w:uiPriority w:val="10"/>
    <w:qFormat/>
    <w:rsid w:val="00EE50E5"/>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EE50E5"/>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EE50E5"/>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EE50E5"/>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EE50E5"/>
    <w:pPr>
      <w:spacing w:before="160"/>
      <w:jc w:val="center"/>
    </w:pPr>
    <w:rPr>
      <w:i/>
      <w:iCs/>
      <w:color w:val="404040" w:themeColor="text1" w:themeTint="BF"/>
    </w:rPr>
  </w:style>
  <w:style w:type="character" w:customStyle="1" w:styleId="QuoteChar">
    <w:name w:val="Quote Char"/>
    <w:basedOn w:val="DefaultParagraphFont"/>
    <w:link w:val="Quote"/>
    <w:uiPriority w:val="29"/>
    <w:rsid w:val="00EE50E5"/>
    <w:rPr>
      <w:i/>
      <w:iCs/>
      <w:color w:val="404040" w:themeColor="text1" w:themeTint="BF"/>
    </w:rPr>
  </w:style>
  <w:style w:type="paragraph" w:styleId="ListParagraph">
    <w:name w:val="List Paragraph"/>
    <w:basedOn w:val="Normal"/>
    <w:uiPriority w:val="34"/>
    <w:qFormat/>
    <w:rsid w:val="00EE50E5"/>
    <w:pPr>
      <w:ind w:left="720"/>
      <w:contextualSpacing/>
    </w:pPr>
  </w:style>
  <w:style w:type="character" w:styleId="IntenseEmphasis">
    <w:name w:val="Intense Emphasis"/>
    <w:basedOn w:val="DefaultParagraphFont"/>
    <w:uiPriority w:val="21"/>
    <w:qFormat/>
    <w:rsid w:val="00EE50E5"/>
    <w:rPr>
      <w:i/>
      <w:iCs/>
      <w:color w:val="0F4761" w:themeColor="accent1" w:themeShade="BF"/>
    </w:rPr>
  </w:style>
  <w:style w:type="paragraph" w:styleId="IntenseQuote">
    <w:name w:val="Intense Quote"/>
    <w:basedOn w:val="Normal"/>
    <w:next w:val="Normal"/>
    <w:link w:val="IntenseQuoteChar"/>
    <w:uiPriority w:val="30"/>
    <w:qFormat/>
    <w:rsid w:val="00EE50E5"/>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EE50E5"/>
    <w:rPr>
      <w:i/>
      <w:iCs/>
      <w:color w:val="0F4761" w:themeColor="accent1" w:themeShade="BF"/>
    </w:rPr>
  </w:style>
  <w:style w:type="character" w:styleId="IntenseReference">
    <w:name w:val="Intense Reference"/>
    <w:basedOn w:val="DefaultParagraphFont"/>
    <w:uiPriority w:val="32"/>
    <w:qFormat/>
    <w:rsid w:val="00EE50E5"/>
    <w:rPr>
      <w:b/>
      <w:bCs/>
      <w:smallCaps/>
      <w:color w:val="0F4761" w:themeColor="accent1" w:themeShade="BF"/>
      <w:spacing w:val="5"/>
    </w:rPr>
  </w:style>
  <w:style w:type="character" w:styleId="Strong">
    <w:name w:val="Strong"/>
    <w:basedOn w:val="DefaultParagraphFont"/>
    <w:uiPriority w:val="22"/>
    <w:qFormat/>
    <w:rsid w:val="00442A84"/>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5</Pages>
  <Words>1751</Words>
  <Characters>9985</Characters>
  <Application>Microsoft Office Word</Application>
  <DocSecurity>0</DocSecurity>
  <Lines>83</Lines>
  <Paragraphs>23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11713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asfia akhtar</dc:creator>
  <cp:keywords/>
  <dc:description/>
  <cp:lastModifiedBy>asfia akhtar</cp:lastModifiedBy>
  <cp:revision>2</cp:revision>
  <dcterms:created xsi:type="dcterms:W3CDTF">2025-11-16T23:21:00Z</dcterms:created>
  <dcterms:modified xsi:type="dcterms:W3CDTF">2025-11-16T23:21:00Z</dcterms:modified>
</cp:coreProperties>
</file>