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DBA2E" w14:textId="47633696" w:rsidR="000752EF" w:rsidRDefault="00B044C9">
      <w:pPr>
        <w:rPr>
          <w:b/>
          <w:bCs/>
          <w:u w:val="single"/>
        </w:rPr>
      </w:pPr>
      <w:r>
        <w:rPr>
          <w:noProof/>
        </w:rPr>
        <w:drawing>
          <wp:anchor distT="0" distB="0" distL="114300" distR="114300" simplePos="0" relativeHeight="251662336" behindDoc="1" locked="0" layoutInCell="1" allowOverlap="1" wp14:anchorId="7F594E57" wp14:editId="30CB0E93">
            <wp:simplePos x="0" y="0"/>
            <wp:positionH relativeFrom="margin">
              <wp:align>left</wp:align>
            </wp:positionH>
            <wp:positionV relativeFrom="paragraph">
              <wp:posOffset>3621653</wp:posOffset>
            </wp:positionV>
            <wp:extent cx="3951605" cy="2223770"/>
            <wp:effectExtent l="0" t="0" r="0" b="5080"/>
            <wp:wrapTight wrapText="bothSides">
              <wp:wrapPolygon edited="0">
                <wp:start x="0" y="0"/>
                <wp:lineTo x="0" y="21464"/>
                <wp:lineTo x="21451" y="21464"/>
                <wp:lineTo x="21451" y="0"/>
                <wp:lineTo x="0" y="0"/>
              </wp:wrapPolygon>
            </wp:wrapTight>
            <wp:docPr id="10" name="Picture 10" descr="University of Wales Trinity Saint David faces 'financial uncertaintie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faces 'financial uncertainties' -  BBC New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73343" cy="2236477"/>
                    </a:xfrm>
                    <a:prstGeom prst="rect">
                      <a:avLst/>
                    </a:prstGeom>
                    <a:noFill/>
                    <a:ln>
                      <a:noFill/>
                    </a:ln>
                  </pic:spPr>
                </pic:pic>
              </a:graphicData>
            </a:graphic>
            <wp14:sizeRelH relativeFrom="page">
              <wp14:pctWidth>0</wp14:pctWidth>
            </wp14:sizeRelH>
            <wp14:sizeRelV relativeFrom="page">
              <wp14:pctHeight>0</wp14:pctHeight>
            </wp14:sizeRelV>
          </wp:anchor>
        </w:drawing>
      </w:r>
      <w:r w:rsidR="008A1BC7">
        <w:rPr>
          <w:noProof/>
        </w:rPr>
        <w:drawing>
          <wp:anchor distT="0" distB="0" distL="114300" distR="114300" simplePos="0" relativeHeight="251661312" behindDoc="1" locked="0" layoutInCell="1" allowOverlap="1" wp14:anchorId="7B2384A2" wp14:editId="542237AD">
            <wp:simplePos x="0" y="0"/>
            <wp:positionH relativeFrom="margin">
              <wp:align>right</wp:align>
            </wp:positionH>
            <wp:positionV relativeFrom="paragraph">
              <wp:posOffset>5903568</wp:posOffset>
            </wp:positionV>
            <wp:extent cx="4293235" cy="2415540"/>
            <wp:effectExtent l="0" t="0" r="0" b="3810"/>
            <wp:wrapTight wrapText="bothSides">
              <wp:wrapPolygon edited="0">
                <wp:start x="0" y="0"/>
                <wp:lineTo x="0" y="21464"/>
                <wp:lineTo x="21469" y="21464"/>
                <wp:lineTo x="21469" y="0"/>
                <wp:lineTo x="0" y="0"/>
              </wp:wrapPolygon>
            </wp:wrapTight>
            <wp:docPr id="9" name="Picture 9" descr="Inside the stunning new university campus in Swansea's SA1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ide the stunning new university campus in Swansea's SA1 - Wales Onlin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93235" cy="2415540"/>
                    </a:xfrm>
                    <a:prstGeom prst="rect">
                      <a:avLst/>
                    </a:prstGeom>
                    <a:noFill/>
                    <a:ln>
                      <a:noFill/>
                    </a:ln>
                  </pic:spPr>
                </pic:pic>
              </a:graphicData>
            </a:graphic>
            <wp14:sizeRelH relativeFrom="page">
              <wp14:pctWidth>0</wp14:pctWidth>
            </wp14:sizeRelH>
            <wp14:sizeRelV relativeFrom="page">
              <wp14:pctHeight>0</wp14:pctHeight>
            </wp14:sizeRelV>
          </wp:anchor>
        </w:drawing>
      </w:r>
      <w:r w:rsidR="002A7F50">
        <w:rPr>
          <w:b/>
          <w:bCs/>
          <w:noProof/>
          <w:u w:val="single"/>
        </w:rPr>
        <mc:AlternateContent>
          <mc:Choice Requires="wps">
            <w:drawing>
              <wp:anchor distT="0" distB="0" distL="114300" distR="114300" simplePos="0" relativeHeight="251660288" behindDoc="0" locked="0" layoutInCell="1" allowOverlap="1" wp14:anchorId="3E41025E" wp14:editId="59B4D416">
                <wp:simplePos x="0" y="0"/>
                <wp:positionH relativeFrom="column">
                  <wp:posOffset>63661</wp:posOffset>
                </wp:positionH>
                <wp:positionV relativeFrom="paragraph">
                  <wp:posOffset>8414795</wp:posOffset>
                </wp:positionV>
                <wp:extent cx="3113590" cy="1035934"/>
                <wp:effectExtent l="0" t="0" r="10795" b="12065"/>
                <wp:wrapNone/>
                <wp:docPr id="8" name="Rectangle: Rounded Corners 8"/>
                <wp:cNvGraphicFramePr/>
                <a:graphic xmlns:a="http://schemas.openxmlformats.org/drawingml/2006/main">
                  <a:graphicData uri="http://schemas.microsoft.com/office/word/2010/wordprocessingShape">
                    <wps:wsp>
                      <wps:cNvSpPr/>
                      <wps:spPr>
                        <a:xfrm>
                          <a:off x="0" y="0"/>
                          <a:ext cx="3113590" cy="1035934"/>
                        </a:xfrm>
                        <a:prstGeom prst="roundRect">
                          <a:avLst/>
                        </a:prstGeom>
                      </wps:spPr>
                      <wps:style>
                        <a:lnRef idx="1">
                          <a:schemeClr val="accent2"/>
                        </a:lnRef>
                        <a:fillRef idx="3">
                          <a:schemeClr val="accent2"/>
                        </a:fillRef>
                        <a:effectRef idx="2">
                          <a:schemeClr val="accent2"/>
                        </a:effectRef>
                        <a:fontRef idx="minor">
                          <a:schemeClr val="lt1"/>
                        </a:fontRef>
                      </wps:style>
                      <wps:txbx>
                        <w:txbxContent>
                          <w:p w14:paraId="16CE4AAB" w14:textId="58618397" w:rsidR="002A7F50" w:rsidRPr="002A7F50" w:rsidRDefault="002A7F50" w:rsidP="002A7F50">
                            <w:pPr>
                              <w:jc w:val="center"/>
                              <w:rPr>
                                <w:sz w:val="28"/>
                                <w:szCs w:val="28"/>
                              </w:rPr>
                            </w:pPr>
                            <w:r w:rsidRPr="002A7F50">
                              <w:rPr>
                                <w:sz w:val="28"/>
                                <w:szCs w:val="28"/>
                              </w:rPr>
                              <w:t>Eleanor Black</w:t>
                            </w:r>
                          </w:p>
                          <w:p w14:paraId="5AACE87D" w14:textId="47280C0D" w:rsidR="002A7F50" w:rsidRPr="002A7F50" w:rsidRDefault="002A7F50" w:rsidP="002A7F50">
                            <w:pPr>
                              <w:jc w:val="center"/>
                              <w:rPr>
                                <w:sz w:val="28"/>
                                <w:szCs w:val="28"/>
                              </w:rPr>
                            </w:pPr>
                            <w:r w:rsidRPr="002A7F50">
                              <w:rPr>
                                <w:sz w:val="28"/>
                                <w:szCs w:val="28"/>
                              </w:rPr>
                              <w:t>23 November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41025E" id="Rectangle: Rounded Corners 8" o:spid="_x0000_s1026" style="position:absolute;margin-left:5pt;margin-top:662.6pt;width:245.15pt;height:81.5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" fillcolor="#ee853d [3029]" strokecolor="#ed7d31 [3205]" strokeweight=".5pt">
                <v:fill color2="#ec7a2d [3173]" rotate="t" colors="0 #f18c55;.5 #f67b28;1 #e56b17" focus="100%" type="gradient">
                  <o:fill v:ext="view" type="gradientUnscaled"/>
                </v:fill>
                <v:stroke joinstyle="miter"/>
                <v:textbox>
                  <w:txbxContent>
                    <w:p w14:paraId="16CE4AAB" w14:textId="58618397" w:rsidR="002A7F50" w:rsidRPr="002A7F50" w:rsidRDefault="002A7F50" w:rsidP="002A7F50">
                      <w:pPr>
                        <w:jc w:val="center"/>
                        <w:rPr>
                          <w:sz w:val="28"/>
                          <w:szCs w:val="28"/>
                        </w:rPr>
                      </w:pPr>
                      <w:r w:rsidRPr="002A7F50">
                        <w:rPr>
                          <w:sz w:val="28"/>
                          <w:szCs w:val="28"/>
                        </w:rPr>
                        <w:t>Eleanor Black</w:t>
                      </w:r>
                    </w:p>
                    <w:p w14:paraId="5AACE87D" w14:textId="47280C0D" w:rsidR="002A7F50" w:rsidRPr="002A7F50" w:rsidRDefault="002A7F50" w:rsidP="002A7F50">
                      <w:pPr>
                        <w:jc w:val="center"/>
                        <w:rPr>
                          <w:sz w:val="28"/>
                          <w:szCs w:val="28"/>
                        </w:rPr>
                      </w:pPr>
                      <w:r w:rsidRPr="002A7F50">
                        <w:rPr>
                          <w:sz w:val="28"/>
                          <w:szCs w:val="28"/>
                        </w:rPr>
                        <w:t>23 November</w:t>
                      </w:r>
                    </w:p>
                  </w:txbxContent>
                </v:textbox>
              </v:roundrect>
            </w:pict>
          </mc:Fallback>
        </mc:AlternateContent>
      </w:r>
      <w:r w:rsidR="00C90A21">
        <w:rPr>
          <w:b/>
          <w:bCs/>
          <w:noProof/>
          <w:u w:val="single"/>
        </w:rPr>
        <mc:AlternateContent>
          <mc:Choice Requires="wps">
            <w:drawing>
              <wp:anchor distT="0" distB="0" distL="114300" distR="114300" simplePos="0" relativeHeight="251659264" behindDoc="0" locked="0" layoutInCell="1" allowOverlap="1" wp14:anchorId="64FA8C36" wp14:editId="0BB4051B">
                <wp:simplePos x="0" y="0"/>
                <wp:positionH relativeFrom="column">
                  <wp:posOffset>1088020</wp:posOffset>
                </wp:positionH>
                <wp:positionV relativeFrom="paragraph">
                  <wp:posOffset>127322</wp:posOffset>
                </wp:positionV>
                <wp:extent cx="5376441" cy="3356658"/>
                <wp:effectExtent l="0" t="0" r="15240" b="15240"/>
                <wp:wrapNone/>
                <wp:docPr id="7" name="Teardrop 7"/>
                <wp:cNvGraphicFramePr/>
                <a:graphic xmlns:a="http://schemas.openxmlformats.org/drawingml/2006/main">
                  <a:graphicData uri="http://schemas.microsoft.com/office/word/2010/wordprocessingShape">
                    <wps:wsp>
                      <wps:cNvSpPr/>
                      <wps:spPr>
                        <a:xfrm>
                          <a:off x="0" y="0"/>
                          <a:ext cx="5376441" cy="3356658"/>
                        </a:xfrm>
                        <a:prstGeom prst="teardrop">
                          <a:avLst/>
                        </a:prstGeom>
                      </wps:spPr>
                      <wps:style>
                        <a:lnRef idx="1">
                          <a:schemeClr val="accent3"/>
                        </a:lnRef>
                        <a:fillRef idx="3">
                          <a:schemeClr val="accent3"/>
                        </a:fillRef>
                        <a:effectRef idx="2">
                          <a:schemeClr val="accent3"/>
                        </a:effectRef>
                        <a:fontRef idx="minor">
                          <a:schemeClr val="lt1"/>
                        </a:fontRef>
                      </wps:style>
                      <wps:txbx>
                        <w:txbxContent>
                          <w:p w14:paraId="3D52777E" w14:textId="64ADB5E6" w:rsidR="00C90A21" w:rsidRDefault="0077023E" w:rsidP="00C90A21">
                            <w:pPr>
                              <w:jc w:val="center"/>
                              <w:rPr>
                                <w:sz w:val="52"/>
                                <w:szCs w:val="52"/>
                              </w:rPr>
                            </w:pPr>
                            <w:r w:rsidRPr="0077023E">
                              <w:rPr>
                                <w:sz w:val="52"/>
                                <w:szCs w:val="52"/>
                              </w:rPr>
                              <w:t>UWTSD Proposed Dockland Site</w:t>
                            </w:r>
                          </w:p>
                          <w:p w14:paraId="589B4FC0" w14:textId="69300B09" w:rsidR="0077023E" w:rsidRPr="0077023E" w:rsidRDefault="0077023E" w:rsidP="00C90A21">
                            <w:pPr>
                              <w:jc w:val="center"/>
                              <w:rPr>
                                <w:sz w:val="40"/>
                                <w:szCs w:val="40"/>
                              </w:rPr>
                            </w:pPr>
                            <w:r>
                              <w:rPr>
                                <w:sz w:val="40"/>
                                <w:szCs w:val="40"/>
                              </w:rPr>
                              <w:t>Desktop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FA8C36" id="Teardrop 7" o:spid="_x0000_s1027" style="position:absolute;margin-left:85.65pt;margin-top:10.05pt;width:423.35pt;height:264.3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5376441,335665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" adj="-11796480,,5400" path="m,1678329c,751413,1203558,,2688221,l5376441,r,1678329c5376441,2605245,4172883,3356658,2688220,3356658,1203557,3356658,-1,2605245,-1,1678329r1,xe" fillcolor="#aaa [3030]" strokecolor="#a5a5a5 [3206]" strokeweight=".5pt">
                <v:fill color2="#a3a3a3 [3174]" rotate="t" colors="0 #afafaf;.5 #a5a5a5;1 #929292" focus="100%" type="gradient">
                  <o:fill v:ext="view" type="gradientUnscaled"/>
                </v:fill>
                <v:stroke joinstyle="miter"/>
                <v:formulas/>
                <v:path arrowok="t" o:connecttype="custom" o:connectlocs="0,1678329;2688221,0;5376441,0;5376441,1678329;2688220,3356658;-1,1678329;0,1678329" o:connectangles="0,0,0,0,0,0,0" textboxrect="0,0,5376441,3356658"/>
                <v:textbox>
                  <w:txbxContent>
                    <w:p w14:paraId="3D52777E" w14:textId="64ADB5E6" w:rsidR="00C90A21" w:rsidRDefault="0077023E" w:rsidP="00C90A21">
                      <w:pPr>
                        <w:jc w:val="center"/>
                        <w:rPr>
                          <w:sz w:val="52"/>
                          <w:szCs w:val="52"/>
                        </w:rPr>
                      </w:pPr>
                      <w:r w:rsidRPr="0077023E">
                        <w:rPr>
                          <w:sz w:val="52"/>
                          <w:szCs w:val="52"/>
                        </w:rPr>
                        <w:t>UWTSD Proposed Dockland Site</w:t>
                      </w:r>
                    </w:p>
                    <w:p w14:paraId="589B4FC0" w14:textId="69300B09" w:rsidR="0077023E" w:rsidRPr="0077023E" w:rsidRDefault="0077023E" w:rsidP="00C90A21">
                      <w:pPr>
                        <w:jc w:val="center"/>
                        <w:rPr>
                          <w:sz w:val="40"/>
                          <w:szCs w:val="40"/>
                        </w:rPr>
                      </w:pPr>
                      <w:r>
                        <w:rPr>
                          <w:sz w:val="40"/>
                          <w:szCs w:val="40"/>
                        </w:rPr>
                        <w:t>Desktop Study</w:t>
                      </w:r>
                    </w:p>
                  </w:txbxContent>
                </v:textbox>
              </v:shape>
            </w:pict>
          </mc:Fallback>
        </mc:AlternateContent>
      </w:r>
      <w:r w:rsidR="000752EF">
        <w:rPr>
          <w:b/>
          <w:bCs/>
          <w:u w:val="single"/>
        </w:rPr>
        <w:br w:type="page"/>
      </w:r>
    </w:p>
    <w:p w14:paraId="4961829C" w14:textId="77777777" w:rsidR="006806D5" w:rsidRDefault="009D29F0" w:rsidP="009D29F0">
      <w:pPr>
        <w:jc w:val="both"/>
        <w:rPr>
          <w:b/>
          <w:bCs/>
          <w:sz w:val="32"/>
          <w:szCs w:val="32"/>
        </w:rPr>
      </w:pPr>
      <w:r>
        <w:rPr>
          <w:b/>
          <w:bCs/>
        </w:rPr>
        <w:lastRenderedPageBreak/>
        <w:tab/>
      </w:r>
      <w:r>
        <w:rPr>
          <w:b/>
          <w:bCs/>
        </w:rPr>
        <w:tab/>
      </w:r>
      <w:r>
        <w:rPr>
          <w:b/>
          <w:bCs/>
        </w:rPr>
        <w:tab/>
      </w:r>
      <w:r>
        <w:rPr>
          <w:b/>
          <w:bCs/>
        </w:rPr>
        <w:tab/>
      </w:r>
      <w:r w:rsidR="006806D5">
        <w:rPr>
          <w:b/>
          <w:bCs/>
        </w:rPr>
        <w:tab/>
      </w:r>
      <w:r w:rsidRPr="009D29F0">
        <w:rPr>
          <w:b/>
          <w:bCs/>
          <w:sz w:val="32"/>
          <w:szCs w:val="32"/>
        </w:rPr>
        <w:t>Contents Page</w:t>
      </w:r>
    </w:p>
    <w:p w14:paraId="727C9F98" w14:textId="77777777" w:rsidR="006806D5" w:rsidRDefault="006806D5" w:rsidP="009D29F0">
      <w:pPr>
        <w:jc w:val="both"/>
        <w:rPr>
          <w:b/>
          <w:bCs/>
          <w:sz w:val="32"/>
          <w:szCs w:val="32"/>
        </w:rPr>
      </w:pPr>
    </w:p>
    <w:p w14:paraId="49082F44" w14:textId="77777777" w:rsidR="006806D5" w:rsidRDefault="006806D5" w:rsidP="009D29F0">
      <w:pPr>
        <w:jc w:val="both"/>
        <w:rPr>
          <w:b/>
          <w:bCs/>
          <w:sz w:val="32"/>
          <w:szCs w:val="32"/>
        </w:rPr>
      </w:pPr>
    </w:p>
    <w:p w14:paraId="00851FF5" w14:textId="477C0D23" w:rsidR="00187781" w:rsidRDefault="006806D5" w:rsidP="009D29F0">
      <w:pPr>
        <w:jc w:val="both"/>
        <w:rPr>
          <w:sz w:val="24"/>
          <w:szCs w:val="24"/>
        </w:rPr>
      </w:pPr>
      <w:r>
        <w:rPr>
          <w:b/>
          <w:bCs/>
          <w:sz w:val="32"/>
          <w:szCs w:val="32"/>
        </w:rPr>
        <w:tab/>
      </w:r>
      <w:r>
        <w:rPr>
          <w:b/>
          <w:bCs/>
          <w:sz w:val="32"/>
          <w:szCs w:val="32"/>
        </w:rPr>
        <w:tab/>
      </w:r>
      <w:r>
        <w:rPr>
          <w:b/>
          <w:bCs/>
          <w:sz w:val="32"/>
          <w:szCs w:val="32"/>
        </w:rPr>
        <w:tab/>
      </w:r>
      <w:r>
        <w:rPr>
          <w:b/>
          <w:bCs/>
          <w:sz w:val="32"/>
          <w:szCs w:val="32"/>
        </w:rPr>
        <w:tab/>
      </w:r>
      <w:r>
        <w:rPr>
          <w:sz w:val="24"/>
          <w:szCs w:val="24"/>
        </w:rPr>
        <w:t xml:space="preserve">2.0 </w:t>
      </w:r>
      <w:r w:rsidR="00187781">
        <w:rPr>
          <w:sz w:val="24"/>
          <w:szCs w:val="24"/>
        </w:rPr>
        <w:t>Executive Summary</w:t>
      </w:r>
      <w:r w:rsidR="00D01A5D">
        <w:rPr>
          <w:sz w:val="24"/>
          <w:szCs w:val="24"/>
        </w:rPr>
        <w:tab/>
      </w:r>
      <w:r w:rsidR="00D01A5D">
        <w:rPr>
          <w:sz w:val="24"/>
          <w:szCs w:val="24"/>
        </w:rPr>
        <w:tab/>
        <w:t>Page 2</w:t>
      </w:r>
    </w:p>
    <w:p w14:paraId="2711F010" w14:textId="42AD7DB5" w:rsidR="00694F91" w:rsidRDefault="00694F91" w:rsidP="009D29F0">
      <w:pPr>
        <w:jc w:val="both"/>
        <w:rPr>
          <w:sz w:val="24"/>
          <w:szCs w:val="24"/>
        </w:rPr>
      </w:pPr>
      <w:r>
        <w:rPr>
          <w:sz w:val="24"/>
          <w:szCs w:val="24"/>
        </w:rPr>
        <w:tab/>
      </w:r>
      <w:r>
        <w:rPr>
          <w:sz w:val="24"/>
          <w:szCs w:val="24"/>
        </w:rPr>
        <w:tab/>
      </w:r>
      <w:r>
        <w:rPr>
          <w:sz w:val="24"/>
          <w:szCs w:val="24"/>
        </w:rPr>
        <w:tab/>
      </w:r>
      <w:r>
        <w:rPr>
          <w:sz w:val="24"/>
          <w:szCs w:val="24"/>
        </w:rPr>
        <w:tab/>
        <w:t>3.0 Terms of Reference</w:t>
      </w:r>
      <w:r w:rsidR="00D01A5D">
        <w:rPr>
          <w:sz w:val="24"/>
          <w:szCs w:val="24"/>
        </w:rPr>
        <w:tab/>
      </w:r>
      <w:r w:rsidR="00D01A5D">
        <w:rPr>
          <w:sz w:val="24"/>
          <w:szCs w:val="24"/>
        </w:rPr>
        <w:tab/>
        <w:t xml:space="preserve">Page </w:t>
      </w:r>
      <w:r w:rsidR="00596BC2">
        <w:rPr>
          <w:sz w:val="24"/>
          <w:szCs w:val="24"/>
        </w:rPr>
        <w:t>2</w:t>
      </w:r>
    </w:p>
    <w:p w14:paraId="40D92C3A" w14:textId="79642A3F" w:rsidR="00694F91" w:rsidRDefault="00187781" w:rsidP="009D29F0">
      <w:pPr>
        <w:jc w:val="both"/>
        <w:rPr>
          <w:sz w:val="24"/>
          <w:szCs w:val="24"/>
        </w:rPr>
      </w:pPr>
      <w:r>
        <w:rPr>
          <w:sz w:val="24"/>
          <w:szCs w:val="24"/>
        </w:rPr>
        <w:tab/>
      </w:r>
      <w:r>
        <w:rPr>
          <w:sz w:val="24"/>
          <w:szCs w:val="24"/>
        </w:rPr>
        <w:tab/>
      </w:r>
      <w:r>
        <w:rPr>
          <w:sz w:val="24"/>
          <w:szCs w:val="24"/>
        </w:rPr>
        <w:tab/>
      </w:r>
      <w:r>
        <w:rPr>
          <w:sz w:val="24"/>
          <w:szCs w:val="24"/>
        </w:rPr>
        <w:tab/>
      </w:r>
      <w:r w:rsidR="00694F91">
        <w:rPr>
          <w:sz w:val="24"/>
          <w:szCs w:val="24"/>
        </w:rPr>
        <w:t>4</w:t>
      </w:r>
      <w:r>
        <w:rPr>
          <w:sz w:val="24"/>
          <w:szCs w:val="24"/>
        </w:rPr>
        <w:t xml:space="preserve">.0 </w:t>
      </w:r>
      <w:r w:rsidR="00694F91">
        <w:rPr>
          <w:sz w:val="24"/>
          <w:szCs w:val="24"/>
        </w:rPr>
        <w:t>Main Body</w:t>
      </w:r>
      <w:r w:rsidR="00596BC2">
        <w:rPr>
          <w:sz w:val="24"/>
          <w:szCs w:val="24"/>
        </w:rPr>
        <w:tab/>
      </w:r>
      <w:r w:rsidR="00596BC2">
        <w:rPr>
          <w:sz w:val="24"/>
          <w:szCs w:val="24"/>
        </w:rPr>
        <w:tab/>
      </w:r>
      <w:r w:rsidR="00596BC2">
        <w:rPr>
          <w:sz w:val="24"/>
          <w:szCs w:val="24"/>
        </w:rPr>
        <w:tab/>
      </w:r>
      <w:r w:rsidR="00596BC2">
        <w:rPr>
          <w:sz w:val="24"/>
          <w:szCs w:val="24"/>
        </w:rPr>
        <w:tab/>
        <w:t>Page 3, 4 &amp; 5</w:t>
      </w:r>
    </w:p>
    <w:p w14:paraId="003C2EE4" w14:textId="407F7B5D" w:rsidR="00B83F5C" w:rsidRDefault="00B83F5C" w:rsidP="009D29F0">
      <w:pPr>
        <w:jc w:val="both"/>
        <w:rPr>
          <w:sz w:val="24"/>
          <w:szCs w:val="24"/>
        </w:rPr>
      </w:pPr>
      <w:r>
        <w:rPr>
          <w:sz w:val="24"/>
          <w:szCs w:val="24"/>
        </w:rPr>
        <w:tab/>
      </w:r>
      <w:r>
        <w:rPr>
          <w:sz w:val="24"/>
          <w:szCs w:val="24"/>
        </w:rPr>
        <w:tab/>
      </w:r>
      <w:r>
        <w:rPr>
          <w:sz w:val="24"/>
          <w:szCs w:val="24"/>
        </w:rPr>
        <w:tab/>
      </w:r>
      <w:r>
        <w:rPr>
          <w:sz w:val="24"/>
          <w:szCs w:val="24"/>
        </w:rPr>
        <w:tab/>
        <w:t>5.0 Conclusion</w:t>
      </w:r>
      <w:r>
        <w:rPr>
          <w:sz w:val="24"/>
          <w:szCs w:val="24"/>
        </w:rPr>
        <w:tab/>
      </w:r>
      <w:r>
        <w:rPr>
          <w:sz w:val="24"/>
          <w:szCs w:val="24"/>
        </w:rPr>
        <w:tab/>
      </w:r>
      <w:r>
        <w:rPr>
          <w:sz w:val="24"/>
          <w:szCs w:val="24"/>
        </w:rPr>
        <w:tab/>
      </w:r>
      <w:r>
        <w:rPr>
          <w:sz w:val="24"/>
          <w:szCs w:val="24"/>
        </w:rPr>
        <w:tab/>
        <w:t>Page 5</w:t>
      </w:r>
    </w:p>
    <w:p w14:paraId="63651A07" w14:textId="5BF36987" w:rsidR="00D01A5D" w:rsidRDefault="00D01A5D" w:rsidP="009D29F0">
      <w:pPr>
        <w:jc w:val="both"/>
        <w:rPr>
          <w:sz w:val="24"/>
          <w:szCs w:val="24"/>
        </w:rPr>
      </w:pPr>
      <w:r>
        <w:rPr>
          <w:sz w:val="24"/>
          <w:szCs w:val="24"/>
        </w:rPr>
        <w:tab/>
      </w:r>
      <w:r>
        <w:rPr>
          <w:sz w:val="24"/>
          <w:szCs w:val="24"/>
        </w:rPr>
        <w:tab/>
      </w:r>
      <w:r>
        <w:rPr>
          <w:sz w:val="24"/>
          <w:szCs w:val="24"/>
        </w:rPr>
        <w:tab/>
      </w:r>
      <w:r>
        <w:rPr>
          <w:sz w:val="24"/>
          <w:szCs w:val="24"/>
        </w:rPr>
        <w:tab/>
      </w:r>
      <w:r w:rsidR="00B84F40">
        <w:rPr>
          <w:sz w:val="24"/>
          <w:szCs w:val="24"/>
        </w:rPr>
        <w:t>5</w:t>
      </w:r>
      <w:r>
        <w:rPr>
          <w:sz w:val="24"/>
          <w:szCs w:val="24"/>
        </w:rPr>
        <w:t>.0 Appendices</w:t>
      </w:r>
      <w:r w:rsidR="00596BC2">
        <w:rPr>
          <w:sz w:val="24"/>
          <w:szCs w:val="24"/>
        </w:rPr>
        <w:tab/>
      </w:r>
      <w:r w:rsidR="00596BC2">
        <w:rPr>
          <w:sz w:val="24"/>
          <w:szCs w:val="24"/>
        </w:rPr>
        <w:tab/>
      </w:r>
      <w:r w:rsidR="00596BC2">
        <w:rPr>
          <w:sz w:val="24"/>
          <w:szCs w:val="24"/>
        </w:rPr>
        <w:tab/>
        <w:t xml:space="preserve">Page </w:t>
      </w:r>
      <w:r w:rsidR="00B83F5C">
        <w:rPr>
          <w:sz w:val="24"/>
          <w:szCs w:val="24"/>
        </w:rPr>
        <w:t>6</w:t>
      </w:r>
      <w:r w:rsidR="003A152D">
        <w:rPr>
          <w:sz w:val="24"/>
          <w:szCs w:val="24"/>
        </w:rPr>
        <w:t xml:space="preserve">, </w:t>
      </w:r>
      <w:r w:rsidR="00B83F5C">
        <w:rPr>
          <w:sz w:val="24"/>
          <w:szCs w:val="24"/>
        </w:rPr>
        <w:t>7</w:t>
      </w:r>
      <w:r w:rsidR="000D62ED">
        <w:rPr>
          <w:sz w:val="24"/>
          <w:szCs w:val="24"/>
        </w:rPr>
        <w:t xml:space="preserve"> </w:t>
      </w:r>
      <w:r w:rsidR="005B3B8A">
        <w:rPr>
          <w:sz w:val="24"/>
          <w:szCs w:val="24"/>
        </w:rPr>
        <w:t xml:space="preserve">&amp; </w:t>
      </w:r>
      <w:r w:rsidR="00B83F5C">
        <w:rPr>
          <w:sz w:val="24"/>
          <w:szCs w:val="24"/>
        </w:rPr>
        <w:t>8</w:t>
      </w:r>
    </w:p>
    <w:p w14:paraId="624FAFE3" w14:textId="5875C6BB" w:rsidR="00D01A5D" w:rsidRDefault="00D01A5D" w:rsidP="009D29F0">
      <w:pPr>
        <w:jc w:val="both"/>
        <w:rPr>
          <w:sz w:val="24"/>
          <w:szCs w:val="24"/>
        </w:rPr>
      </w:pPr>
      <w:r>
        <w:rPr>
          <w:sz w:val="24"/>
          <w:szCs w:val="24"/>
        </w:rPr>
        <w:tab/>
      </w:r>
      <w:r>
        <w:rPr>
          <w:sz w:val="24"/>
          <w:szCs w:val="24"/>
        </w:rPr>
        <w:tab/>
      </w:r>
      <w:r>
        <w:rPr>
          <w:sz w:val="24"/>
          <w:szCs w:val="24"/>
        </w:rPr>
        <w:tab/>
      </w:r>
      <w:r>
        <w:rPr>
          <w:sz w:val="24"/>
          <w:szCs w:val="24"/>
        </w:rPr>
        <w:tab/>
        <w:t>7.0 Reference List</w:t>
      </w:r>
      <w:r w:rsidR="00596BC2">
        <w:rPr>
          <w:sz w:val="24"/>
          <w:szCs w:val="24"/>
        </w:rPr>
        <w:tab/>
      </w:r>
      <w:r w:rsidR="00596BC2">
        <w:rPr>
          <w:sz w:val="24"/>
          <w:szCs w:val="24"/>
        </w:rPr>
        <w:tab/>
      </w:r>
      <w:r w:rsidR="00596BC2">
        <w:rPr>
          <w:sz w:val="24"/>
          <w:szCs w:val="24"/>
        </w:rPr>
        <w:tab/>
        <w:t xml:space="preserve">Page </w:t>
      </w:r>
      <w:r w:rsidR="004813F9">
        <w:rPr>
          <w:sz w:val="24"/>
          <w:szCs w:val="24"/>
        </w:rPr>
        <w:t>9</w:t>
      </w:r>
    </w:p>
    <w:p w14:paraId="1F8C1AC4" w14:textId="46C7EA64" w:rsidR="00D01A5D" w:rsidRDefault="00D01A5D" w:rsidP="009D29F0">
      <w:pPr>
        <w:jc w:val="both"/>
        <w:rPr>
          <w:sz w:val="24"/>
          <w:szCs w:val="24"/>
        </w:rPr>
      </w:pPr>
      <w:r>
        <w:rPr>
          <w:sz w:val="24"/>
          <w:szCs w:val="24"/>
        </w:rPr>
        <w:tab/>
      </w:r>
      <w:r>
        <w:rPr>
          <w:sz w:val="24"/>
          <w:szCs w:val="24"/>
        </w:rPr>
        <w:tab/>
      </w:r>
      <w:r>
        <w:rPr>
          <w:sz w:val="24"/>
          <w:szCs w:val="24"/>
        </w:rPr>
        <w:tab/>
      </w:r>
      <w:r>
        <w:rPr>
          <w:sz w:val="24"/>
          <w:szCs w:val="24"/>
        </w:rPr>
        <w:tab/>
        <w:t>8.0 Bibliography</w:t>
      </w:r>
      <w:r w:rsidR="00596BC2">
        <w:rPr>
          <w:sz w:val="24"/>
          <w:szCs w:val="24"/>
        </w:rPr>
        <w:tab/>
      </w:r>
      <w:r w:rsidR="00596BC2">
        <w:rPr>
          <w:sz w:val="24"/>
          <w:szCs w:val="24"/>
        </w:rPr>
        <w:tab/>
      </w:r>
      <w:r w:rsidR="00596BC2">
        <w:rPr>
          <w:sz w:val="24"/>
          <w:szCs w:val="24"/>
        </w:rPr>
        <w:tab/>
        <w:t xml:space="preserve">Page </w:t>
      </w:r>
      <w:r w:rsidR="004813F9">
        <w:rPr>
          <w:sz w:val="24"/>
          <w:szCs w:val="24"/>
        </w:rPr>
        <w:t>10</w:t>
      </w:r>
    </w:p>
    <w:p w14:paraId="0B3F7CD9" w14:textId="77777777" w:rsidR="003A152D" w:rsidRDefault="00694F91" w:rsidP="009D29F0">
      <w:pPr>
        <w:jc w:val="both"/>
        <w:rPr>
          <w:sz w:val="24"/>
          <w:szCs w:val="24"/>
        </w:rPr>
      </w:pPr>
      <w:r>
        <w:rPr>
          <w:sz w:val="24"/>
          <w:szCs w:val="24"/>
        </w:rPr>
        <w:tab/>
      </w:r>
      <w:r>
        <w:rPr>
          <w:sz w:val="24"/>
          <w:szCs w:val="24"/>
        </w:rPr>
        <w:tab/>
      </w:r>
      <w:r>
        <w:rPr>
          <w:sz w:val="24"/>
          <w:szCs w:val="24"/>
        </w:rPr>
        <w:tab/>
      </w:r>
      <w:r>
        <w:rPr>
          <w:sz w:val="24"/>
          <w:szCs w:val="24"/>
        </w:rPr>
        <w:tab/>
      </w:r>
    </w:p>
    <w:p w14:paraId="6606F5B8" w14:textId="77777777" w:rsidR="003A152D" w:rsidRDefault="003A152D" w:rsidP="009D29F0">
      <w:pPr>
        <w:jc w:val="both"/>
        <w:rPr>
          <w:sz w:val="24"/>
          <w:szCs w:val="24"/>
        </w:rPr>
      </w:pPr>
    </w:p>
    <w:p w14:paraId="0CD9ACFA" w14:textId="77777777" w:rsidR="000A47A7" w:rsidRDefault="000A47A7" w:rsidP="000A47A7">
      <w:pPr>
        <w:jc w:val="both"/>
      </w:pPr>
    </w:p>
    <w:p w14:paraId="15CDB1FD" w14:textId="70285975" w:rsidR="000A47A7" w:rsidRDefault="005B3B8A" w:rsidP="000A47A7">
      <w:pPr>
        <w:jc w:val="both"/>
        <w:rPr>
          <w:b/>
          <w:bCs/>
          <w:sz w:val="24"/>
          <w:szCs w:val="24"/>
        </w:rPr>
      </w:pPr>
      <w:r>
        <w:rPr>
          <w:b/>
          <w:bCs/>
          <w:sz w:val="24"/>
          <w:szCs w:val="24"/>
        </w:rPr>
        <w:t>2</w:t>
      </w:r>
      <w:r w:rsidR="000A47A7" w:rsidRPr="00537A6C">
        <w:rPr>
          <w:b/>
          <w:bCs/>
          <w:sz w:val="24"/>
          <w:szCs w:val="24"/>
        </w:rPr>
        <w:t xml:space="preserve">.0 </w:t>
      </w:r>
      <w:r w:rsidR="000A47A7" w:rsidRPr="00537A6C">
        <w:rPr>
          <w:b/>
          <w:bCs/>
          <w:sz w:val="24"/>
          <w:szCs w:val="24"/>
          <w:u w:val="single"/>
        </w:rPr>
        <w:t>Executive Summary</w:t>
      </w:r>
    </w:p>
    <w:p w14:paraId="0274E168" w14:textId="0F31EF1C" w:rsidR="003A152D" w:rsidRDefault="000A47A7" w:rsidP="000A47A7">
      <w:pPr>
        <w:jc w:val="both"/>
        <w:rPr>
          <w:b/>
          <w:bCs/>
          <w:sz w:val="24"/>
          <w:szCs w:val="24"/>
        </w:rPr>
      </w:pPr>
      <w:r>
        <w:t>UWTSD has proposed for a new building to be built on the adjacent carpark of their IQ university building. In order to establish the feasibility of the project, I have outlined the history and possible risks associated with the site. These include the industrial history of the site and possibility of unexploded ordinance and undiscovered outbuildings beneath the ground, flood risk, and the substrata at the site. From this the specialist contractors will be enabled to properly investigate the site with heavy emphasis on the key elements highlighted within this report.</w:t>
      </w:r>
    </w:p>
    <w:p w14:paraId="7242EF0D" w14:textId="77777777" w:rsidR="000A47A7" w:rsidRDefault="000A47A7" w:rsidP="009D29F0">
      <w:pPr>
        <w:jc w:val="both"/>
        <w:rPr>
          <w:b/>
          <w:bCs/>
          <w:sz w:val="24"/>
          <w:szCs w:val="24"/>
        </w:rPr>
      </w:pPr>
    </w:p>
    <w:p w14:paraId="1AEE0218" w14:textId="77777777" w:rsidR="000A47A7" w:rsidRPr="003A152D" w:rsidRDefault="000A47A7" w:rsidP="009D29F0">
      <w:pPr>
        <w:jc w:val="both"/>
        <w:rPr>
          <w:b/>
          <w:bCs/>
          <w:sz w:val="24"/>
          <w:szCs w:val="24"/>
        </w:rPr>
      </w:pPr>
    </w:p>
    <w:p w14:paraId="152E00CA" w14:textId="748FEEE4" w:rsidR="0079380F" w:rsidRDefault="005B3B8A" w:rsidP="009D29F0">
      <w:pPr>
        <w:jc w:val="both"/>
        <w:rPr>
          <w:b/>
          <w:bCs/>
          <w:sz w:val="24"/>
          <w:szCs w:val="24"/>
          <w:u w:val="single"/>
        </w:rPr>
      </w:pPr>
      <w:r>
        <w:rPr>
          <w:b/>
          <w:bCs/>
          <w:sz w:val="24"/>
          <w:szCs w:val="24"/>
        </w:rPr>
        <w:t>3</w:t>
      </w:r>
      <w:r w:rsidR="000A47A7">
        <w:rPr>
          <w:b/>
          <w:bCs/>
          <w:sz w:val="24"/>
          <w:szCs w:val="24"/>
        </w:rPr>
        <w:t>.0</w:t>
      </w:r>
      <w:r w:rsidR="003A152D" w:rsidRPr="003A152D">
        <w:rPr>
          <w:b/>
          <w:bCs/>
          <w:sz w:val="24"/>
          <w:szCs w:val="24"/>
        </w:rPr>
        <w:t xml:space="preserve"> </w:t>
      </w:r>
      <w:r w:rsidR="003A152D" w:rsidRPr="003A152D">
        <w:rPr>
          <w:b/>
          <w:bCs/>
          <w:sz w:val="24"/>
          <w:szCs w:val="24"/>
          <w:u w:val="single"/>
        </w:rPr>
        <w:t>Terms of Reference</w:t>
      </w:r>
    </w:p>
    <w:p w14:paraId="7244BB41" w14:textId="77777777" w:rsidR="0079380F" w:rsidRDefault="0079380F" w:rsidP="009D29F0">
      <w:pPr>
        <w:jc w:val="both"/>
        <w:rPr>
          <w:b/>
          <w:bCs/>
          <w:sz w:val="24"/>
          <w:szCs w:val="24"/>
          <w:u w:val="single"/>
        </w:rPr>
      </w:pPr>
    </w:p>
    <w:p w14:paraId="07794921" w14:textId="5125D173" w:rsidR="0079380F" w:rsidRDefault="0079380F" w:rsidP="009D29F0">
      <w:pPr>
        <w:jc w:val="both"/>
      </w:pPr>
      <w:r>
        <w:tab/>
      </w:r>
      <w:r w:rsidR="005B3B8A">
        <w:t>3</w:t>
      </w:r>
      <w:r>
        <w:t>.1 Port of Swansea Dock</w:t>
      </w:r>
    </w:p>
    <w:p w14:paraId="5667BD49" w14:textId="7D1FD9B7" w:rsidR="00424A06" w:rsidRDefault="0079380F" w:rsidP="009D29F0">
      <w:pPr>
        <w:jc w:val="both"/>
      </w:pPr>
      <w:r>
        <w:tab/>
      </w:r>
      <w:r>
        <w:tab/>
      </w:r>
      <w:r w:rsidR="005B3B8A">
        <w:t>3</w:t>
      </w:r>
      <w:r>
        <w:t>.1.1 History and construction of the Prince of Wales Dock, King’s Dock and Queen’s Dock.</w:t>
      </w:r>
    </w:p>
    <w:p w14:paraId="237545BE" w14:textId="1E5A27AD" w:rsidR="005D566C" w:rsidRDefault="005B3B8A" w:rsidP="005D566C">
      <w:pPr>
        <w:ind w:left="1440"/>
        <w:jc w:val="both"/>
      </w:pPr>
      <w:r>
        <w:t>3</w:t>
      </w:r>
      <w:r w:rsidR="00424A06">
        <w:t xml:space="preserve">.1.2 Redevelopment of the Prince of Wales Dock from </w:t>
      </w:r>
      <w:r w:rsidR="005D566C">
        <w:t>industrial use to residential and commercial use.</w:t>
      </w:r>
    </w:p>
    <w:p w14:paraId="076AB25C" w14:textId="30FC1ABF" w:rsidR="00E8657E" w:rsidRDefault="00E8657E" w:rsidP="00E8657E">
      <w:pPr>
        <w:jc w:val="both"/>
      </w:pPr>
      <w:r>
        <w:tab/>
      </w:r>
      <w:r w:rsidR="005B3B8A">
        <w:t>3</w:t>
      </w:r>
      <w:r>
        <w:t>.2 Possible Stratification of the proposed site</w:t>
      </w:r>
    </w:p>
    <w:p w14:paraId="0F31E1D7" w14:textId="1BE5C5C1" w:rsidR="00756800" w:rsidRDefault="00E8657E" w:rsidP="00E8657E">
      <w:pPr>
        <w:jc w:val="both"/>
      </w:pPr>
      <w:r>
        <w:tab/>
      </w:r>
      <w:r w:rsidR="00980BF9">
        <w:tab/>
      </w:r>
      <w:r w:rsidR="005B3B8A">
        <w:t>3</w:t>
      </w:r>
      <w:r w:rsidR="00980BF9">
        <w:t xml:space="preserve">.2.1 Contamination risk of the site due to the heavy industrial use </w:t>
      </w:r>
      <w:r w:rsidR="00756800">
        <w:t>in the site’s history.</w:t>
      </w:r>
    </w:p>
    <w:p w14:paraId="5214BC57" w14:textId="2D896D73" w:rsidR="009C3CA1" w:rsidRDefault="00756800" w:rsidP="00E8657E">
      <w:pPr>
        <w:jc w:val="both"/>
      </w:pPr>
      <w:r>
        <w:tab/>
      </w:r>
      <w:r>
        <w:tab/>
      </w:r>
      <w:r w:rsidR="005B3B8A">
        <w:t>3</w:t>
      </w:r>
      <w:r>
        <w:t xml:space="preserve">.2.2 Possibility of archaeological remains </w:t>
      </w:r>
      <w:r w:rsidR="0002589D">
        <w:t>at the site</w:t>
      </w:r>
      <w:r w:rsidR="003B09F3">
        <w:t>,</w:t>
      </w:r>
    </w:p>
    <w:p w14:paraId="6047730A" w14:textId="72903799" w:rsidR="00F77CAD" w:rsidRDefault="009C3CA1" w:rsidP="00E8657E">
      <w:pPr>
        <w:jc w:val="both"/>
      </w:pPr>
      <w:r>
        <w:tab/>
      </w:r>
      <w:r>
        <w:tab/>
      </w:r>
      <w:r w:rsidR="005B3B8A">
        <w:t>3</w:t>
      </w:r>
      <w:r>
        <w:t>.2.3 Alluvial deposits at the site</w:t>
      </w:r>
      <w:r w:rsidR="00F77CAD">
        <w:t xml:space="preserve"> and the suggested foundation type due to this.</w:t>
      </w:r>
    </w:p>
    <w:p w14:paraId="26A37FE5" w14:textId="3F566EB3" w:rsidR="00CA3CFB" w:rsidRDefault="00F77CAD" w:rsidP="00E8657E">
      <w:pPr>
        <w:jc w:val="both"/>
      </w:pPr>
      <w:r>
        <w:tab/>
      </w:r>
      <w:r w:rsidR="005B3B8A">
        <w:t>3</w:t>
      </w:r>
      <w:r>
        <w:t xml:space="preserve">.3 Risk of Flooding and </w:t>
      </w:r>
      <w:r w:rsidR="00CA3CFB">
        <w:t>permeability of soil type</w:t>
      </w:r>
    </w:p>
    <w:p w14:paraId="3F133256" w14:textId="755AB109" w:rsidR="000752EF" w:rsidRPr="000A47A7" w:rsidRDefault="00CA3CFB" w:rsidP="00E8657E">
      <w:pPr>
        <w:jc w:val="both"/>
      </w:pPr>
      <w:r>
        <w:tab/>
      </w:r>
      <w:r w:rsidR="005B3B8A">
        <w:t>3</w:t>
      </w:r>
      <w:r>
        <w:t xml:space="preserve">.4 Disturbed </w:t>
      </w:r>
      <w:r w:rsidR="00537A6C">
        <w:t>soil sample</w:t>
      </w:r>
    </w:p>
    <w:p w14:paraId="2CD9EA27" w14:textId="77777777" w:rsidR="001137AD" w:rsidRDefault="001137AD">
      <w:pPr>
        <w:rPr>
          <w:b/>
          <w:bCs/>
          <w:sz w:val="24"/>
          <w:szCs w:val="24"/>
        </w:rPr>
      </w:pPr>
    </w:p>
    <w:p w14:paraId="1467B10D" w14:textId="34EE164A" w:rsidR="00702496" w:rsidRPr="003A152D" w:rsidRDefault="00D01A5D">
      <w:pPr>
        <w:rPr>
          <w:b/>
          <w:bCs/>
          <w:sz w:val="24"/>
          <w:szCs w:val="24"/>
          <w:u w:val="single"/>
        </w:rPr>
      </w:pPr>
      <w:r w:rsidRPr="003A152D">
        <w:rPr>
          <w:b/>
          <w:bCs/>
          <w:sz w:val="24"/>
          <w:szCs w:val="24"/>
        </w:rPr>
        <w:t>4</w:t>
      </w:r>
      <w:r w:rsidR="00C90A21" w:rsidRPr="003A152D">
        <w:rPr>
          <w:b/>
          <w:bCs/>
          <w:sz w:val="24"/>
          <w:szCs w:val="24"/>
        </w:rPr>
        <w:t xml:space="preserve">.0 </w:t>
      </w:r>
      <w:r w:rsidR="00C90A21" w:rsidRPr="003A152D">
        <w:rPr>
          <w:b/>
          <w:bCs/>
          <w:sz w:val="24"/>
          <w:szCs w:val="24"/>
          <w:u w:val="single"/>
        </w:rPr>
        <w:t>Main Body</w:t>
      </w:r>
    </w:p>
    <w:p w14:paraId="61D56B57" w14:textId="39647695" w:rsidR="004C57DA" w:rsidRDefault="005B3B8A">
      <w:r>
        <w:rPr>
          <w:i/>
          <w:iCs/>
        </w:rPr>
        <w:t>3</w:t>
      </w:r>
      <w:r w:rsidR="000A47A7" w:rsidRPr="00D23487">
        <w:rPr>
          <w:i/>
          <w:iCs/>
        </w:rPr>
        <w:t>.1</w:t>
      </w:r>
      <w:r w:rsidR="000A47A7">
        <w:t xml:space="preserve"> </w:t>
      </w:r>
      <w:r w:rsidR="00D23487">
        <w:tab/>
      </w:r>
      <w:r w:rsidR="00232C23">
        <w:t>Due to an increase in industrial trade and export of copper, zinc, and iron, Swansea harbour was in dire need of expansion. The Swansea harbour trust commissioned the construction of the Prince of Wales Dock, the first on the east side of the river. The dock was opened on 18</w:t>
      </w:r>
      <w:r w:rsidR="00232C23" w:rsidRPr="00232C23">
        <w:rPr>
          <w:vertAlign w:val="superscript"/>
        </w:rPr>
        <w:t>th</w:t>
      </w:r>
      <w:r w:rsidR="00232C23">
        <w:t xml:space="preserve"> October 1881 by the Prince and Princess of Wales at the time, Edward VII and Alexandra. After officially naming the dock, the Prince of Wales </w:t>
      </w:r>
      <w:r w:rsidR="00EB1070">
        <w:t xml:space="preserve">flooded the dock by pulling a lever which opened the sluices (People’s Collection Wales, n.d). Even though the docks were opened in 1881, construction still continued until 1882 when it was actually finished. </w:t>
      </w:r>
      <w:r w:rsidR="00D957DB">
        <w:t>An extension was put on to the Prince of Wales dock in 18</w:t>
      </w:r>
      <w:r w:rsidR="00821304">
        <w:t xml:space="preserve">98. </w:t>
      </w:r>
    </w:p>
    <w:p w14:paraId="4FFA957F" w14:textId="74415F4A" w:rsidR="006E0074" w:rsidRPr="00D23487" w:rsidRDefault="005B3B8A">
      <w:r>
        <w:rPr>
          <w:i/>
          <w:iCs/>
        </w:rPr>
        <w:t>3</w:t>
      </w:r>
      <w:r w:rsidR="000A47A7" w:rsidRPr="00D23487">
        <w:rPr>
          <w:i/>
          <w:iCs/>
        </w:rPr>
        <w:t>.1.1</w:t>
      </w:r>
      <w:r w:rsidR="000A47A7">
        <w:t xml:space="preserve"> </w:t>
      </w:r>
      <w:r w:rsidR="00D23487">
        <w:tab/>
      </w:r>
      <w:r w:rsidR="006E0074">
        <w:t xml:space="preserve">In </w:t>
      </w:r>
      <w:r w:rsidR="008B01E7">
        <w:t>1905 a new dock was planned to cope with the growing demand for the</w:t>
      </w:r>
      <w:r w:rsidR="004C57DA">
        <w:t xml:space="preserve"> manufacture and</w:t>
      </w:r>
      <w:r w:rsidR="008B01E7">
        <w:t xml:space="preserve"> export of tin</w:t>
      </w:r>
      <w:r w:rsidR="004C57DA">
        <w:t>plate</w:t>
      </w:r>
      <w:r w:rsidR="008B01E7">
        <w:t xml:space="preserve"> </w:t>
      </w:r>
      <w:r w:rsidR="0015190F">
        <w:t>and thus the King’s dock was constructed. It was to be much larger than the Prince of Wales dock</w:t>
      </w:r>
      <w:r w:rsidR="0055210F">
        <w:t xml:space="preserve"> at 72 acres</w:t>
      </w:r>
      <w:r w:rsidR="00E24DFF">
        <w:t>. Construction was completed in 1909</w:t>
      </w:r>
      <w:r w:rsidR="008F1FA3">
        <w:t xml:space="preserve">, along with </w:t>
      </w:r>
      <w:r w:rsidR="00A12A8C">
        <w:t xml:space="preserve">a long sea wall </w:t>
      </w:r>
      <w:r w:rsidR="007C54F7">
        <w:t>enclosing an additional body of water which later became Queen’s dock.</w:t>
      </w:r>
      <w:r w:rsidR="00E24DFF">
        <w:t xml:space="preserve"> </w:t>
      </w:r>
      <w:r w:rsidR="007C54F7">
        <w:t>King’s dock</w:t>
      </w:r>
      <w:r w:rsidR="00E24DFF">
        <w:t xml:space="preserve"> was the </w:t>
      </w:r>
      <w:r w:rsidR="00DB0C0D">
        <w:t>principal</w:t>
      </w:r>
      <w:r w:rsidR="00E24DFF">
        <w:t xml:space="preserve"> port </w:t>
      </w:r>
      <w:r w:rsidR="00AF19C6">
        <w:t>in the port of Swansea.</w:t>
      </w:r>
      <w:r w:rsidR="000C7829">
        <w:t xml:space="preserve"> </w:t>
      </w:r>
      <w:r w:rsidR="005302D2">
        <w:t xml:space="preserve">With the King’s dock in operation the exportation of coal, coke </w:t>
      </w:r>
      <w:r w:rsidR="00DB0C0D">
        <w:t xml:space="preserve">and fuel rapidly grew, reaching record levels of 5.5 million tonnes in 1913. </w:t>
      </w:r>
      <w:r w:rsidR="00522040">
        <w:t>Tinplate exports peaked in 1924 with 621,000 tonnes being shipped through the port</w:t>
      </w:r>
      <w:r w:rsidR="00FD06BE">
        <w:t>, according to</w:t>
      </w:r>
      <w:r w:rsidR="00F41029">
        <w:t xml:space="preserve"> </w:t>
      </w:r>
      <w:r w:rsidR="00F41029" w:rsidRPr="00A73118">
        <w:rPr>
          <w:rFonts w:cstheme="minorHAnsi"/>
          <w:shd w:val="clear" w:color="auto" w:fill="FFFFFF"/>
        </w:rPr>
        <w:t>www.swanseadocks.co.uk, (n.d).</w:t>
      </w:r>
      <w:r w:rsidR="00A73118">
        <w:rPr>
          <w:rFonts w:cstheme="minorHAnsi"/>
          <w:shd w:val="clear" w:color="auto" w:fill="FFFFFF"/>
        </w:rPr>
        <w:t xml:space="preserve"> </w:t>
      </w:r>
      <w:r w:rsidR="00777AE7">
        <w:rPr>
          <w:rFonts w:cstheme="minorHAnsi"/>
          <w:shd w:val="clear" w:color="auto" w:fill="FFFFFF"/>
        </w:rPr>
        <w:t xml:space="preserve">However, </w:t>
      </w:r>
      <w:r w:rsidR="00827E5A">
        <w:rPr>
          <w:rFonts w:cstheme="minorHAnsi"/>
          <w:shd w:val="clear" w:color="auto" w:fill="FFFFFF"/>
        </w:rPr>
        <w:t xml:space="preserve">the early twentieth century saw a change in industrial </w:t>
      </w:r>
      <w:r w:rsidR="00DF7AAE">
        <w:rPr>
          <w:rFonts w:cstheme="minorHAnsi"/>
          <w:shd w:val="clear" w:color="auto" w:fill="FFFFFF"/>
        </w:rPr>
        <w:t>fuel resources from coal to oil</w:t>
      </w:r>
      <w:r w:rsidR="00F26E4A">
        <w:rPr>
          <w:rFonts w:cstheme="minorHAnsi"/>
          <w:shd w:val="clear" w:color="auto" w:fill="FFFFFF"/>
        </w:rPr>
        <w:t xml:space="preserve"> with the UK’s first oil refinery being LLandarcy’s refinery</w:t>
      </w:r>
      <w:r w:rsidR="00712799">
        <w:rPr>
          <w:rFonts w:cstheme="minorHAnsi"/>
          <w:shd w:val="clear" w:color="auto" w:fill="FFFFFF"/>
        </w:rPr>
        <w:t xml:space="preserve"> in 1918. Five new oil jetties </w:t>
      </w:r>
      <w:r w:rsidR="005A2499">
        <w:rPr>
          <w:rFonts w:cstheme="minorHAnsi"/>
          <w:shd w:val="clear" w:color="auto" w:fill="FFFFFF"/>
        </w:rPr>
        <w:t xml:space="preserve">were built </w:t>
      </w:r>
      <w:r w:rsidR="00C462AB">
        <w:rPr>
          <w:rFonts w:cstheme="minorHAnsi"/>
          <w:shd w:val="clear" w:color="auto" w:fill="FFFFFF"/>
        </w:rPr>
        <w:t xml:space="preserve">within the Queen’s dock </w:t>
      </w:r>
      <w:r w:rsidR="005A2499">
        <w:rPr>
          <w:rFonts w:cstheme="minorHAnsi"/>
          <w:shd w:val="clear" w:color="auto" w:fill="FFFFFF"/>
        </w:rPr>
        <w:t>to cope with the new oil tanker traffic through the port</w:t>
      </w:r>
      <w:r w:rsidR="00C462AB">
        <w:rPr>
          <w:rFonts w:cstheme="minorHAnsi"/>
          <w:shd w:val="clear" w:color="auto" w:fill="FFFFFF"/>
        </w:rPr>
        <w:t xml:space="preserve"> along with holding tanks for the oil.</w:t>
      </w:r>
      <w:r w:rsidR="00D5475A">
        <w:rPr>
          <w:rFonts w:cstheme="minorHAnsi"/>
          <w:shd w:val="clear" w:color="auto" w:fill="FFFFFF"/>
        </w:rPr>
        <w:t xml:space="preserve"> 8 million tonnes of oil</w:t>
      </w:r>
      <w:r w:rsidR="00156C01">
        <w:rPr>
          <w:rFonts w:cstheme="minorHAnsi"/>
          <w:shd w:val="clear" w:color="auto" w:fill="FFFFFF"/>
        </w:rPr>
        <w:t xml:space="preserve"> per year</w:t>
      </w:r>
      <w:r w:rsidR="00D5475A">
        <w:rPr>
          <w:rFonts w:cstheme="minorHAnsi"/>
          <w:shd w:val="clear" w:color="auto" w:fill="FFFFFF"/>
        </w:rPr>
        <w:t xml:space="preserve"> were exported during the height </w:t>
      </w:r>
      <w:r w:rsidR="00156C01">
        <w:rPr>
          <w:rFonts w:cstheme="minorHAnsi"/>
          <w:shd w:val="clear" w:color="auto" w:fill="FFFFFF"/>
        </w:rPr>
        <w:t xml:space="preserve">of the trade in the 1950’s. </w:t>
      </w:r>
      <w:r w:rsidR="00AD7216">
        <w:rPr>
          <w:rFonts w:cstheme="minorHAnsi"/>
          <w:shd w:val="clear" w:color="auto" w:fill="FFFFFF"/>
        </w:rPr>
        <w:t xml:space="preserve">The docks on the west side of the river Tawe became mostly obsolete due to the use of oil over coal </w:t>
      </w:r>
      <w:r w:rsidR="00F73ADF">
        <w:rPr>
          <w:rFonts w:cstheme="minorHAnsi"/>
          <w:shd w:val="clear" w:color="auto" w:fill="FFFFFF"/>
        </w:rPr>
        <w:t>and the new development on the west side were occupying the majority of the traffic.</w:t>
      </w:r>
      <w:r w:rsidR="000D33F2">
        <w:rPr>
          <w:rFonts w:cstheme="minorHAnsi"/>
          <w:shd w:val="clear" w:color="auto" w:fill="FFFFFF"/>
        </w:rPr>
        <w:t xml:space="preserve"> The North dock closed in 1930 and the South dock closed later in 1971. </w:t>
      </w:r>
      <w:r w:rsidR="000378A9">
        <w:rPr>
          <w:rFonts w:cstheme="minorHAnsi"/>
          <w:shd w:val="clear" w:color="auto" w:fill="FFFFFF"/>
        </w:rPr>
        <w:t xml:space="preserve">The Queen’s dock became redundant after the closure of the </w:t>
      </w:r>
      <w:r w:rsidR="00BC0D74">
        <w:rPr>
          <w:rFonts w:cstheme="minorHAnsi"/>
          <w:shd w:val="clear" w:color="auto" w:fill="FFFFFF"/>
        </w:rPr>
        <w:t>LLandarcy</w:t>
      </w:r>
      <w:r w:rsidR="000378A9">
        <w:rPr>
          <w:rFonts w:cstheme="minorHAnsi"/>
          <w:shd w:val="clear" w:color="auto" w:fill="FFFFFF"/>
        </w:rPr>
        <w:t xml:space="preserve"> oil refinery in </w:t>
      </w:r>
      <w:r w:rsidR="00BC0D74">
        <w:rPr>
          <w:rFonts w:cstheme="minorHAnsi"/>
          <w:shd w:val="clear" w:color="auto" w:fill="FFFFFF"/>
        </w:rPr>
        <w:t>1998</w:t>
      </w:r>
      <w:r w:rsidR="00B33F24">
        <w:rPr>
          <w:rFonts w:cstheme="minorHAnsi"/>
          <w:shd w:val="clear" w:color="auto" w:fill="FFFFFF"/>
        </w:rPr>
        <w:t xml:space="preserve"> with the Prince of Wales dock being the heart of the SA1 redevelopment</w:t>
      </w:r>
      <w:r w:rsidR="00E14AD7">
        <w:rPr>
          <w:rFonts w:cstheme="minorHAnsi"/>
          <w:shd w:val="clear" w:color="auto" w:fill="FFFFFF"/>
        </w:rPr>
        <w:t>. Thus, leaving just the King’s dock to handle any remaining commercial traffic passing through the Port of Swansea.</w:t>
      </w:r>
      <w:r w:rsidR="00A93771">
        <w:rPr>
          <w:rFonts w:cstheme="minorHAnsi"/>
          <w:shd w:val="clear" w:color="auto" w:fill="FFFFFF"/>
        </w:rPr>
        <w:t xml:space="preserve"> </w:t>
      </w:r>
    </w:p>
    <w:p w14:paraId="01F9F324" w14:textId="703E407F" w:rsidR="00D13D40" w:rsidRDefault="005B3B8A">
      <w:pPr>
        <w:rPr>
          <w:rFonts w:cstheme="minorHAnsi"/>
          <w:shd w:val="clear" w:color="auto" w:fill="FFFFFF"/>
        </w:rPr>
      </w:pPr>
      <w:r>
        <w:rPr>
          <w:rFonts w:cstheme="minorHAnsi"/>
          <w:i/>
          <w:iCs/>
          <w:shd w:val="clear" w:color="auto" w:fill="FFFFFF"/>
        </w:rPr>
        <w:t>3</w:t>
      </w:r>
      <w:r w:rsidR="000A47A7" w:rsidRPr="00D23487">
        <w:rPr>
          <w:rFonts w:cstheme="minorHAnsi"/>
          <w:i/>
          <w:iCs/>
          <w:shd w:val="clear" w:color="auto" w:fill="FFFFFF"/>
        </w:rPr>
        <w:t>.1.2</w:t>
      </w:r>
      <w:r w:rsidR="000A47A7">
        <w:rPr>
          <w:rFonts w:cstheme="minorHAnsi"/>
          <w:shd w:val="clear" w:color="auto" w:fill="FFFFFF"/>
        </w:rPr>
        <w:t xml:space="preserve"> </w:t>
      </w:r>
      <w:r w:rsidR="00D23487">
        <w:rPr>
          <w:rFonts w:cstheme="minorHAnsi"/>
          <w:shd w:val="clear" w:color="auto" w:fill="FFFFFF"/>
        </w:rPr>
        <w:tab/>
      </w:r>
      <w:r w:rsidR="00AF3816">
        <w:rPr>
          <w:rFonts w:cstheme="minorHAnsi"/>
          <w:shd w:val="clear" w:color="auto" w:fill="FFFFFF"/>
        </w:rPr>
        <w:t>The redevelopment of the Prince of Wales dock</w:t>
      </w:r>
      <w:r w:rsidR="003A03F5">
        <w:rPr>
          <w:rFonts w:cstheme="minorHAnsi"/>
          <w:shd w:val="clear" w:color="auto" w:fill="FFFFFF"/>
        </w:rPr>
        <w:t>,</w:t>
      </w:r>
      <w:r w:rsidR="00AF3816">
        <w:rPr>
          <w:rFonts w:cstheme="minorHAnsi"/>
          <w:shd w:val="clear" w:color="auto" w:fill="FFFFFF"/>
        </w:rPr>
        <w:t xml:space="preserve"> or the SA1 redevelopment as it is also known</w:t>
      </w:r>
      <w:r w:rsidR="003A03F5">
        <w:rPr>
          <w:rFonts w:cstheme="minorHAnsi"/>
          <w:shd w:val="clear" w:color="auto" w:fill="FFFFFF"/>
        </w:rPr>
        <w:t>, aims to b</w:t>
      </w:r>
      <w:r w:rsidR="00431E93">
        <w:rPr>
          <w:rFonts w:cstheme="minorHAnsi"/>
          <w:shd w:val="clear" w:color="auto" w:fill="FFFFFF"/>
        </w:rPr>
        <w:t xml:space="preserve">e a residential and commercial mix. To date, there </w:t>
      </w:r>
      <w:r w:rsidR="007151B3">
        <w:rPr>
          <w:rFonts w:cstheme="minorHAnsi"/>
          <w:shd w:val="clear" w:color="auto" w:fill="FFFFFF"/>
        </w:rPr>
        <w:t xml:space="preserve">have been 22 projects completed, including UWTSD’s </w:t>
      </w:r>
      <w:r w:rsidR="00D179D7">
        <w:rPr>
          <w:rFonts w:cstheme="minorHAnsi"/>
          <w:shd w:val="clear" w:color="auto" w:fill="FFFFFF"/>
        </w:rPr>
        <w:t>IQ and forum buildings</w:t>
      </w:r>
      <w:r w:rsidR="00BA049C">
        <w:rPr>
          <w:rFonts w:cstheme="minorHAnsi"/>
          <w:shd w:val="clear" w:color="auto" w:fill="FFFFFF"/>
        </w:rPr>
        <w:t xml:space="preserve">, </w:t>
      </w:r>
      <w:r w:rsidR="0023198E">
        <w:rPr>
          <w:rFonts w:cstheme="minorHAnsi"/>
          <w:shd w:val="clear" w:color="auto" w:fill="FFFFFF"/>
        </w:rPr>
        <w:t xml:space="preserve">Altamar’s 158 residential apartments and </w:t>
      </w:r>
      <w:r w:rsidR="00EC63D1">
        <w:rPr>
          <w:rFonts w:cstheme="minorHAnsi"/>
          <w:shd w:val="clear" w:color="auto" w:fill="FFFFFF"/>
        </w:rPr>
        <w:t xml:space="preserve">Ellipse’s 55,000 square feet of grade A office space. The development is </w:t>
      </w:r>
      <w:r w:rsidR="00B229D4">
        <w:rPr>
          <w:rFonts w:cstheme="minorHAnsi"/>
          <w:shd w:val="clear" w:color="auto" w:fill="FFFFFF"/>
        </w:rPr>
        <w:t>continuing</w:t>
      </w:r>
      <w:r w:rsidR="00EC63D1">
        <w:rPr>
          <w:rFonts w:cstheme="minorHAnsi"/>
          <w:shd w:val="clear" w:color="auto" w:fill="FFFFFF"/>
        </w:rPr>
        <w:t xml:space="preserve"> today </w:t>
      </w:r>
      <w:r w:rsidR="005F3F3D">
        <w:rPr>
          <w:rFonts w:cstheme="minorHAnsi"/>
          <w:shd w:val="clear" w:color="auto" w:fill="FFFFFF"/>
        </w:rPr>
        <w:t xml:space="preserve">with UWTSD’s third site </w:t>
      </w:r>
      <w:r w:rsidR="00B35450">
        <w:rPr>
          <w:rFonts w:cstheme="minorHAnsi"/>
          <w:shd w:val="clear" w:color="auto" w:fill="FFFFFF"/>
        </w:rPr>
        <w:t xml:space="preserve">being built adjacent to the IQ building. </w:t>
      </w:r>
      <w:r w:rsidR="00F7573F">
        <w:rPr>
          <w:rFonts w:cstheme="minorHAnsi"/>
          <w:shd w:val="clear" w:color="auto" w:fill="FFFFFF"/>
        </w:rPr>
        <w:t>The proposed site can be seen in figure 1, highlighted in red. The site is currently being utilised as a temporary car park whilst all site and ground checks are being made to assess the feasibility of the project.</w:t>
      </w:r>
      <w:r w:rsidR="00C73921">
        <w:rPr>
          <w:rFonts w:cstheme="minorHAnsi"/>
          <w:shd w:val="clear" w:color="auto" w:fill="FFFFFF"/>
        </w:rPr>
        <w:t xml:space="preserve"> </w:t>
      </w:r>
      <w:r w:rsidR="00D13D40">
        <w:rPr>
          <w:rFonts w:cstheme="minorHAnsi"/>
          <w:shd w:val="clear" w:color="auto" w:fill="FFFFFF"/>
        </w:rPr>
        <w:t xml:space="preserve">The site has no </w:t>
      </w:r>
      <w:r w:rsidR="00FB00E0">
        <w:rPr>
          <w:rFonts w:cstheme="minorHAnsi"/>
          <w:shd w:val="clear" w:color="auto" w:fill="FFFFFF"/>
        </w:rPr>
        <w:t>surrounding areas of conservational concern (according to Cadw</w:t>
      </w:r>
      <w:r w:rsidR="0030257D">
        <w:rPr>
          <w:rFonts w:cstheme="minorHAnsi"/>
          <w:shd w:val="clear" w:color="auto" w:fill="FFFFFF"/>
        </w:rPr>
        <w:t xml:space="preserve"> and seen in figure 4) and therefore has no additional imposed </w:t>
      </w:r>
      <w:r w:rsidR="00487FE7">
        <w:rPr>
          <w:rFonts w:cstheme="minorHAnsi"/>
          <w:shd w:val="clear" w:color="auto" w:fill="FFFFFF"/>
        </w:rPr>
        <w:t xml:space="preserve">obligations. </w:t>
      </w:r>
    </w:p>
    <w:p w14:paraId="1405A439" w14:textId="0880D7CF" w:rsidR="00C74C4F" w:rsidRDefault="005B3B8A">
      <w:r>
        <w:rPr>
          <w:rFonts w:cstheme="minorHAnsi"/>
          <w:i/>
          <w:iCs/>
          <w:shd w:val="clear" w:color="auto" w:fill="FFFFFF"/>
        </w:rPr>
        <w:t>3</w:t>
      </w:r>
      <w:r w:rsidR="000A47A7" w:rsidRPr="00D23487">
        <w:rPr>
          <w:rFonts w:cstheme="minorHAnsi"/>
          <w:i/>
          <w:iCs/>
          <w:shd w:val="clear" w:color="auto" w:fill="FFFFFF"/>
        </w:rPr>
        <w:t>.2.1</w:t>
      </w:r>
      <w:r w:rsidR="000A47A7">
        <w:rPr>
          <w:rFonts w:cstheme="minorHAnsi"/>
          <w:shd w:val="clear" w:color="auto" w:fill="FFFFFF"/>
        </w:rPr>
        <w:t xml:space="preserve"> </w:t>
      </w:r>
      <w:r w:rsidR="00D23487">
        <w:rPr>
          <w:rFonts w:cstheme="minorHAnsi"/>
          <w:shd w:val="clear" w:color="auto" w:fill="FFFFFF"/>
        </w:rPr>
        <w:tab/>
      </w:r>
      <w:r w:rsidR="00FA05A2">
        <w:rPr>
          <w:rFonts w:cstheme="minorHAnsi"/>
          <w:shd w:val="clear" w:color="auto" w:fill="FFFFFF"/>
        </w:rPr>
        <w:t xml:space="preserve">These dock areas were massively concerned with industrial use with many outbuildings and storage tanks being built along with the construction of railways to transport goods to and from the port. </w:t>
      </w:r>
      <w:r w:rsidR="00C74C4F">
        <w:rPr>
          <w:rFonts w:cstheme="minorHAnsi"/>
          <w:shd w:val="clear" w:color="auto" w:fill="FFFFFF"/>
        </w:rPr>
        <w:t>Due to its history of heavy industrial use including railways and oil exportation</w:t>
      </w:r>
      <w:r w:rsidR="00627F7F">
        <w:rPr>
          <w:rFonts w:cstheme="minorHAnsi"/>
          <w:shd w:val="clear" w:color="auto" w:fill="FFFFFF"/>
        </w:rPr>
        <w:t xml:space="preserve"> the site today has the possibilities of containing </w:t>
      </w:r>
      <w:r w:rsidR="005F3F3D">
        <w:rPr>
          <w:rFonts w:cstheme="minorHAnsi"/>
          <w:shd w:val="clear" w:color="auto" w:fill="FFFFFF"/>
        </w:rPr>
        <w:t xml:space="preserve">unidentified and potentially hazardous structures and items. </w:t>
      </w:r>
      <w:r w:rsidR="00C408EA">
        <w:rPr>
          <w:rFonts w:cstheme="minorHAnsi"/>
          <w:shd w:val="clear" w:color="auto" w:fill="FFFFFF"/>
        </w:rPr>
        <w:t xml:space="preserve">Figures 2 and 3, taken </w:t>
      </w:r>
      <w:r w:rsidR="00680347">
        <w:rPr>
          <w:rFonts w:cstheme="minorHAnsi"/>
          <w:shd w:val="clear" w:color="auto" w:fill="FFFFFF"/>
        </w:rPr>
        <w:t xml:space="preserve">in 1948, show that there are various buildings on and around the proposed site including </w:t>
      </w:r>
      <w:r w:rsidR="009307EA">
        <w:rPr>
          <w:rFonts w:cstheme="minorHAnsi"/>
          <w:shd w:val="clear" w:color="auto" w:fill="FFFFFF"/>
        </w:rPr>
        <w:t>a set of tinplate sheds and a hydraulic power station.</w:t>
      </w:r>
      <w:r w:rsidR="00C408EA">
        <w:rPr>
          <w:rFonts w:cstheme="minorHAnsi"/>
          <w:shd w:val="clear" w:color="auto" w:fill="FFFFFF"/>
        </w:rPr>
        <w:t xml:space="preserve"> </w:t>
      </w:r>
      <w:r w:rsidR="00426BBE">
        <w:rPr>
          <w:rFonts w:cstheme="minorHAnsi"/>
          <w:shd w:val="clear" w:color="auto" w:fill="FFFFFF"/>
        </w:rPr>
        <w:t xml:space="preserve">These pose an increased risk for potential </w:t>
      </w:r>
      <w:r w:rsidR="00E36567">
        <w:rPr>
          <w:rFonts w:cstheme="minorHAnsi"/>
          <w:shd w:val="clear" w:color="auto" w:fill="FFFFFF"/>
        </w:rPr>
        <w:t xml:space="preserve">contamination to the ground below and </w:t>
      </w:r>
      <w:r w:rsidR="00BA687C">
        <w:rPr>
          <w:rFonts w:cstheme="minorHAnsi"/>
          <w:shd w:val="clear" w:color="auto" w:fill="FFFFFF"/>
        </w:rPr>
        <w:t xml:space="preserve">during excavation due to their unidentified location and lack of recorded history. </w:t>
      </w:r>
      <w:r w:rsidR="00BD0F7B">
        <w:rPr>
          <w:rFonts w:cstheme="minorHAnsi"/>
          <w:shd w:val="clear" w:color="auto" w:fill="FFFFFF"/>
        </w:rPr>
        <w:t xml:space="preserve">Subsequently, I strongly suggest a </w:t>
      </w:r>
      <w:r w:rsidR="00B76B1B">
        <w:rPr>
          <w:rFonts w:cstheme="minorHAnsi"/>
          <w:shd w:val="clear" w:color="auto" w:fill="FFFFFF"/>
        </w:rPr>
        <w:t xml:space="preserve">detailed site investigation take place to assess </w:t>
      </w:r>
      <w:r w:rsidR="00C12978">
        <w:rPr>
          <w:rFonts w:cstheme="minorHAnsi"/>
          <w:shd w:val="clear" w:color="auto" w:fill="FFFFFF"/>
        </w:rPr>
        <w:t xml:space="preserve">the risk of contamination and to analyse the risk to </w:t>
      </w:r>
      <w:r w:rsidR="00073ADB">
        <w:rPr>
          <w:rFonts w:cstheme="minorHAnsi"/>
          <w:shd w:val="clear" w:color="auto" w:fill="FFFFFF"/>
        </w:rPr>
        <w:t xml:space="preserve">public health and the environmental impact. The </w:t>
      </w:r>
      <w:r w:rsidR="003341BA">
        <w:rPr>
          <w:rFonts w:cstheme="minorHAnsi"/>
          <w:shd w:val="clear" w:color="auto" w:fill="FFFFFF"/>
        </w:rPr>
        <w:t>Contaminated Land Statutory Guidance</w:t>
      </w:r>
      <w:r w:rsidR="00073ADB">
        <w:rPr>
          <w:rFonts w:cstheme="minorHAnsi"/>
          <w:shd w:val="clear" w:color="auto" w:fill="FFFFFF"/>
        </w:rPr>
        <w:t xml:space="preserve"> of 201</w:t>
      </w:r>
      <w:r w:rsidR="003341BA">
        <w:rPr>
          <w:rFonts w:cstheme="minorHAnsi"/>
          <w:shd w:val="clear" w:color="auto" w:fill="FFFFFF"/>
        </w:rPr>
        <w:t>2</w:t>
      </w:r>
      <w:r w:rsidR="00073ADB">
        <w:rPr>
          <w:rFonts w:cstheme="minorHAnsi"/>
          <w:shd w:val="clear" w:color="auto" w:fill="FFFFFF"/>
        </w:rPr>
        <w:t xml:space="preserve"> </w:t>
      </w:r>
      <w:r w:rsidR="00443A33">
        <w:rPr>
          <w:rFonts w:cstheme="minorHAnsi"/>
          <w:shd w:val="clear" w:color="auto" w:fill="FFFFFF"/>
        </w:rPr>
        <w:t>outlines the rules on site contamination to minimise the impact it has</w:t>
      </w:r>
      <w:r w:rsidR="0067409F">
        <w:rPr>
          <w:rFonts w:cstheme="minorHAnsi"/>
          <w:shd w:val="clear" w:color="auto" w:fill="FFFFFF"/>
        </w:rPr>
        <w:t xml:space="preserve"> and sets out legal framework for dealing with contaminated land</w:t>
      </w:r>
      <w:r w:rsidR="007C0524">
        <w:rPr>
          <w:rFonts w:cstheme="minorHAnsi"/>
          <w:shd w:val="clear" w:color="auto" w:fill="FFFFFF"/>
        </w:rPr>
        <w:t xml:space="preserve">. Firstly, we must establish </w:t>
      </w:r>
      <w:r w:rsidR="00173F86">
        <w:rPr>
          <w:rFonts w:cstheme="minorHAnsi"/>
          <w:shd w:val="clear" w:color="auto" w:fill="FFFFFF"/>
        </w:rPr>
        <w:t xml:space="preserve">which areas or sites count as “contaminated land”. Under </w:t>
      </w:r>
      <w:r w:rsidR="004C26B5">
        <w:rPr>
          <w:rFonts w:cstheme="minorHAnsi"/>
          <w:shd w:val="clear" w:color="auto" w:fill="FFFFFF"/>
        </w:rPr>
        <w:t xml:space="preserve">part 2A of the Environmental Protection Act 1990, </w:t>
      </w:r>
      <w:r w:rsidR="0017128A">
        <w:rPr>
          <w:rFonts w:cstheme="minorHAnsi"/>
          <w:shd w:val="clear" w:color="auto" w:fill="FFFFFF"/>
        </w:rPr>
        <w:t xml:space="preserve">“contaminated land” is a “regime </w:t>
      </w:r>
      <w:r w:rsidR="002F3DD2">
        <w:t>which is in, on or under the land and which has the potential to cause significant harm to a relevant receptor, or to cause significant pollution of controlled waters”. Contaminant can be either a substance, pollutant</w:t>
      </w:r>
      <w:r w:rsidR="00E5390F">
        <w:t>, or associated terms which in effect, mean the same thing.</w:t>
      </w:r>
      <w:r w:rsidR="00F15770">
        <w:t xml:space="preserve"> </w:t>
      </w:r>
      <w:r w:rsidR="00BD63E2">
        <w:t xml:space="preserve"> BS 10175</w:t>
      </w:r>
      <w:r w:rsidR="006562F3">
        <w:t xml:space="preserve">, set out by the UK Government, also </w:t>
      </w:r>
      <w:r w:rsidR="00B843F4">
        <w:t>provides recommendations and guidance for contaminated land.</w:t>
      </w:r>
    </w:p>
    <w:p w14:paraId="06422C97" w14:textId="2B6A8EF6" w:rsidR="00A93423" w:rsidRPr="00D337DD" w:rsidRDefault="005B3B8A">
      <w:pPr>
        <w:rPr>
          <w:rFonts w:cstheme="minorHAnsi"/>
          <w:shd w:val="clear" w:color="auto" w:fill="FFFFFF"/>
        </w:rPr>
      </w:pPr>
      <w:r>
        <w:rPr>
          <w:i/>
          <w:iCs/>
        </w:rPr>
        <w:lastRenderedPageBreak/>
        <w:t>3</w:t>
      </w:r>
      <w:r w:rsidR="000A47A7" w:rsidRPr="00D23487">
        <w:rPr>
          <w:i/>
          <w:iCs/>
        </w:rPr>
        <w:t>.2.2</w:t>
      </w:r>
      <w:r w:rsidR="000A47A7">
        <w:t xml:space="preserve"> </w:t>
      </w:r>
      <w:r w:rsidR="00D23487">
        <w:tab/>
      </w:r>
      <w:r w:rsidR="00A93423">
        <w:t xml:space="preserve">There is also the possibility of archaeological remains to be found, as was in the case of the HS2 development. </w:t>
      </w:r>
      <w:r w:rsidR="00DE1D7B">
        <w:t>425 bodies were excavated, including 40 or so beheaded bodies</w:t>
      </w:r>
      <w:r w:rsidR="00D50FA1">
        <w:t>, from the late roman period.</w:t>
      </w:r>
      <w:r w:rsidR="00F06759">
        <w:t xml:space="preserve"> Over </w:t>
      </w:r>
      <w:r w:rsidR="006F1D38">
        <w:t>100 archaeological sites have been found due to the HS2 railway excavations.</w:t>
      </w:r>
      <w:r w:rsidR="00F06759">
        <w:t xml:space="preserve"> </w:t>
      </w:r>
      <w:r w:rsidR="00D50FA1">
        <w:t xml:space="preserve"> When a body is found </w:t>
      </w:r>
      <w:r w:rsidR="00F13803">
        <w:t xml:space="preserve">during site investigation or at any point of construction, then everything must be stopped </w:t>
      </w:r>
      <w:r w:rsidR="006F1D38">
        <w:t>for</w:t>
      </w:r>
      <w:r w:rsidR="00F13803">
        <w:t xml:space="preserve"> investigations to be completed</w:t>
      </w:r>
      <w:r w:rsidR="00295E09">
        <w:t xml:space="preserve">. Under the </w:t>
      </w:r>
      <w:r w:rsidR="00FF20F7">
        <w:t>Planning Policy Wales Chapter 6: The Historic Environment</w:t>
      </w:r>
      <w:r w:rsidR="00FF20F7">
        <w:t xml:space="preserve">, </w:t>
      </w:r>
      <w:r w:rsidR="00294807">
        <w:t xml:space="preserve">it </w:t>
      </w:r>
      <w:r w:rsidR="00634B41">
        <w:t xml:space="preserve">notes that local planning authorities may </w:t>
      </w:r>
      <w:r w:rsidR="009705A2">
        <w:t xml:space="preserve">develop planning guidance to respond to local </w:t>
      </w:r>
      <w:r w:rsidR="00734DCC">
        <w:t xml:space="preserve">circumstances where </w:t>
      </w:r>
      <w:r w:rsidR="005C62DB">
        <w:t xml:space="preserve">remains have been found. They also identify other areas where remains are significantly likely to be and </w:t>
      </w:r>
      <w:r w:rsidR="000F19DE">
        <w:t>will be damaged or disturbed if development takes place</w:t>
      </w:r>
      <w:r w:rsidR="00924AC0">
        <w:t xml:space="preserve"> (UNESCO World Heritage Centre, 2019)</w:t>
      </w:r>
    </w:p>
    <w:p w14:paraId="65F2B95C" w14:textId="0FD3A72E" w:rsidR="00E43950" w:rsidRDefault="005B3B8A">
      <w:r>
        <w:rPr>
          <w:i/>
          <w:iCs/>
        </w:rPr>
        <w:t>3</w:t>
      </w:r>
      <w:r w:rsidR="00D23487" w:rsidRPr="00D23487">
        <w:rPr>
          <w:i/>
          <w:iCs/>
        </w:rPr>
        <w:t>.2.3</w:t>
      </w:r>
      <w:r w:rsidR="00D23487">
        <w:rPr>
          <w:i/>
          <w:iCs/>
        </w:rPr>
        <w:tab/>
      </w:r>
      <w:r w:rsidR="00D23487">
        <w:t xml:space="preserve"> </w:t>
      </w:r>
      <w:r w:rsidR="00E43950">
        <w:t xml:space="preserve">The site investigation will help determine </w:t>
      </w:r>
      <w:r w:rsidR="00F53DC7">
        <w:t xml:space="preserve">the stratification and engineering properties of the underlying </w:t>
      </w:r>
      <w:r w:rsidR="00C07009">
        <w:t>geology</w:t>
      </w:r>
      <w:r w:rsidR="00F53DC7">
        <w:t>.</w:t>
      </w:r>
      <w:r w:rsidR="00C07009">
        <w:t xml:space="preserve"> An exploratory bore hole will allow for a visual </w:t>
      </w:r>
      <w:r w:rsidR="00C93C03">
        <w:t xml:space="preserve">examination and </w:t>
      </w:r>
      <w:r w:rsidR="003A6D90">
        <w:t>take soil samples for testing.</w:t>
      </w:r>
      <w:r w:rsidR="00F53DC7">
        <w:t xml:space="preserve"> </w:t>
      </w:r>
      <w:r w:rsidR="000C678E">
        <w:t xml:space="preserve">Each site </w:t>
      </w:r>
      <w:r w:rsidR="007F4212">
        <w:t>i</w:t>
      </w:r>
      <w:r w:rsidR="000C678E">
        <w:t xml:space="preserve">s different and </w:t>
      </w:r>
      <w:r w:rsidR="007F4212">
        <w:t>the</w:t>
      </w:r>
      <w:r w:rsidR="00475321">
        <w:t>refore the</w:t>
      </w:r>
      <w:r w:rsidR="007F4212">
        <w:t xml:space="preserve"> final design, costing and construction method will heavily rely on the </w:t>
      </w:r>
      <w:r w:rsidR="007C1056">
        <w:t xml:space="preserve">ground </w:t>
      </w:r>
      <w:r w:rsidR="009438DC">
        <w:t>investigation</w:t>
      </w:r>
      <w:r w:rsidR="00475321">
        <w:t xml:space="preserve">. A borehole </w:t>
      </w:r>
      <w:r w:rsidR="00C916AB">
        <w:t xml:space="preserve">sample taken from Paxton Street, Swansea and drilled </w:t>
      </w:r>
      <w:r w:rsidR="004D2AF2">
        <w:t xml:space="preserve">-12.82 OD </w:t>
      </w:r>
      <w:r w:rsidR="00507546">
        <w:t xml:space="preserve">and showed that the majority of the top surface was “made ground” composing of </w:t>
      </w:r>
      <w:r w:rsidR="003E3B25">
        <w:t>ash, sand, clay, and brick</w:t>
      </w:r>
      <w:r w:rsidR="0075672B">
        <w:t xml:space="preserve">. Made ground refers to </w:t>
      </w:r>
      <w:r w:rsidR="00181174">
        <w:t xml:space="preserve">anthropogenic ground </w:t>
      </w:r>
      <w:r w:rsidR="0072228A">
        <w:t>in which material has been placed without engineering</w:t>
      </w:r>
      <w:r w:rsidR="00591592">
        <w:t xml:space="preserve"> control and made by man either through crushing or industrial processes.</w:t>
      </w:r>
      <w:r w:rsidR="00B816CD">
        <w:t xml:space="preserve"> Made ground can pose struct</w:t>
      </w:r>
      <w:r w:rsidR="005956EC">
        <w:t>ural problems if built upon, and also contamination risks.</w:t>
      </w:r>
      <w:r w:rsidR="00264435">
        <w:t xml:space="preserve"> Made ground has an endless list of </w:t>
      </w:r>
      <w:r w:rsidR="0053564F">
        <w:t xml:space="preserve">what is </w:t>
      </w:r>
      <w:r w:rsidR="00001FCF">
        <w:t>contained,</w:t>
      </w:r>
      <w:r w:rsidR="0053564F">
        <w:t xml:space="preserve"> </w:t>
      </w:r>
      <w:r w:rsidR="00845EB8">
        <w:t xml:space="preserve">and this can include asbestos or unexploded ordnance. </w:t>
      </w:r>
      <w:r w:rsidR="00001FCF">
        <w:t>Therefore, thorough investigations should be undertaken to ascertain the exact materials underneath and the possible risks each material carries. As Paxton Street is not too far from our proposed site</w:t>
      </w:r>
      <w:r w:rsidR="00804116">
        <w:t>,</w:t>
      </w:r>
      <w:r w:rsidR="00001FCF">
        <w:t xml:space="preserve"> and is more likely to contain </w:t>
      </w:r>
      <w:r w:rsidR="00F1669E">
        <w:t xml:space="preserve">made ground </w:t>
      </w:r>
      <w:r w:rsidR="00A97919">
        <w:t>with a higher probability of hazards due to the industrial use the site has been used for</w:t>
      </w:r>
      <w:r w:rsidR="00804116">
        <w:t>, then site investigations will be of utmost importance</w:t>
      </w:r>
      <w:r w:rsidR="00903D82">
        <w:t xml:space="preserve"> to </w:t>
      </w:r>
      <w:r w:rsidR="007829F5">
        <w:t>find potential issues</w:t>
      </w:r>
      <w:r w:rsidR="00804116">
        <w:t xml:space="preserve"> </w:t>
      </w:r>
      <w:r w:rsidR="00903D82">
        <w:t xml:space="preserve">and remediation plans can be put in place </w:t>
      </w:r>
      <w:r w:rsidR="009F21C9">
        <w:t>(Emily, 2021).</w:t>
      </w:r>
    </w:p>
    <w:p w14:paraId="5AB0DE9D" w14:textId="779658FD" w:rsidR="00A42325" w:rsidRDefault="00FD49B7">
      <w:r>
        <w:t xml:space="preserve">Ground investigations roughly </w:t>
      </w:r>
      <w:r w:rsidR="00864EB8">
        <w:t>&gt;1 km away from our proposed site show that the ground composes of made ground (</w:t>
      </w:r>
      <w:r w:rsidR="00A9433C">
        <w:t>brick, rubble, clay and wood)</w:t>
      </w:r>
      <w:r w:rsidR="00B43767">
        <w:t>, alluvium (</w:t>
      </w:r>
      <w:r w:rsidR="007E1D8C">
        <w:t>roughly 2m density), dense clay-bound sand and gravel</w:t>
      </w:r>
      <w:r w:rsidR="00591B6F">
        <w:t xml:space="preserve"> with bedrock laying </w:t>
      </w:r>
      <w:r w:rsidR="00BA6825">
        <w:t xml:space="preserve">below this. </w:t>
      </w:r>
      <w:r w:rsidR="0023451F">
        <w:t xml:space="preserve">Alluvium is the general term to describe </w:t>
      </w:r>
      <w:r w:rsidR="000900D6">
        <w:t xml:space="preserve">clay, silt, sand and/or gravel that is deposited as a result of </w:t>
      </w:r>
      <w:r w:rsidR="00CB49B1">
        <w:t xml:space="preserve">a body of running water such as a river or stream. </w:t>
      </w:r>
      <w:r w:rsidR="00E516D4">
        <w:t>Alluvium generally has a high p</w:t>
      </w:r>
      <w:r w:rsidR="008D6DA8">
        <w:t xml:space="preserve">orosity </w:t>
      </w:r>
      <w:r w:rsidR="006E680F">
        <w:t>but also have a low bearing capacity</w:t>
      </w:r>
      <w:r w:rsidR="009275D0">
        <w:t xml:space="preserve">. </w:t>
      </w:r>
      <w:r w:rsidR="003A6BE3">
        <w:t>(RPS Group, 2021)</w:t>
      </w:r>
    </w:p>
    <w:p w14:paraId="33A824EE" w14:textId="0DC28C64" w:rsidR="00FD49B7" w:rsidRDefault="009275D0">
      <w:r>
        <w:t xml:space="preserve">The presence of alluvial deposits mean that </w:t>
      </w:r>
      <w:r w:rsidR="002E1065">
        <w:t xml:space="preserve">strip or pad foundations are unsuitable due to </w:t>
      </w:r>
      <w:r w:rsidR="00A65D59">
        <w:t xml:space="preserve">the </w:t>
      </w:r>
      <w:r w:rsidR="002E1065">
        <w:t>need</w:t>
      </w:r>
      <w:r w:rsidR="00A65D59">
        <w:t xml:space="preserve"> for</w:t>
      </w:r>
      <w:r w:rsidR="002E1065">
        <w:t xml:space="preserve"> significant excavations</w:t>
      </w:r>
      <w:r w:rsidR="00A42325">
        <w:t>. Therefore, raft or deep pile foundations would be most suitable due to the ground type</w:t>
      </w:r>
      <w:r w:rsidR="00BB035F">
        <w:t xml:space="preserve"> and poor conditions of it.</w:t>
      </w:r>
      <w:r w:rsidR="0060371D">
        <w:t xml:space="preserve"> Deep pile foundations enable heavy commercial buildings to </w:t>
      </w:r>
      <w:r w:rsidR="00F219B2">
        <w:t>transfer heavy loads from the building itself to the ground below (often bedrock)</w:t>
      </w:r>
      <w:r w:rsidR="00D61012">
        <w:t xml:space="preserve">. However, these types of foundations are susceptible to </w:t>
      </w:r>
      <w:r w:rsidR="005C6B8A">
        <w:t>lateral spread or differential settlement</w:t>
      </w:r>
      <w:r w:rsidR="00450DAF">
        <w:t xml:space="preserve">, which could have the potential to happen with the made ground </w:t>
      </w:r>
      <w:r w:rsidR="00724346">
        <w:t xml:space="preserve">underneath our potential site. </w:t>
      </w:r>
      <w:r w:rsidR="005166C9">
        <w:t xml:space="preserve">A raft foundation is a reinforced concrete slab </w:t>
      </w:r>
      <w:r w:rsidR="00D86941">
        <w:t xml:space="preserve">under the building, it gives the effect of “floating” on the ground. This type of foundation </w:t>
      </w:r>
      <w:r w:rsidR="003D7A6C">
        <w:t xml:space="preserve">spreads the load over a larger surface area than other types of foundations, lowering the pressure on the ground beneath it. </w:t>
      </w:r>
      <w:r w:rsidR="00716654">
        <w:t>Less pressure on the ground means that it is more stable and less likely to shift</w:t>
      </w:r>
      <w:r w:rsidR="008C6344">
        <w:t xml:space="preserve">, however, if it does shift the foundation </w:t>
      </w:r>
      <w:r w:rsidR="00064684">
        <w:t>can accommodate this whilst maintaining structural integrity.</w:t>
      </w:r>
      <w:r w:rsidR="00511153">
        <w:t xml:space="preserve"> I </w:t>
      </w:r>
      <w:r w:rsidR="000C4F3B">
        <w:t xml:space="preserve">would recommend a raft foundation system for the Innovation Matrix building because </w:t>
      </w:r>
      <w:r w:rsidR="006E5DC2">
        <w:t xml:space="preserve">of the type of sub-soil (made ground and alluvium) </w:t>
      </w:r>
      <w:r w:rsidR="00566B14">
        <w:t>and the size of the structure</w:t>
      </w:r>
      <w:r w:rsidR="009C6ED5">
        <w:t xml:space="preserve">. </w:t>
      </w:r>
    </w:p>
    <w:p w14:paraId="12684618" w14:textId="6E39915D" w:rsidR="00DA0374" w:rsidRDefault="005006F6">
      <w:r>
        <w:rPr>
          <w:i/>
          <w:iCs/>
        </w:rPr>
        <w:t>3</w:t>
      </w:r>
      <w:r w:rsidR="00FF38CC">
        <w:rPr>
          <w:i/>
          <w:iCs/>
        </w:rPr>
        <w:t xml:space="preserve">.3 </w:t>
      </w:r>
      <w:r w:rsidR="00FF38CC">
        <w:rPr>
          <w:i/>
          <w:iCs/>
        </w:rPr>
        <w:tab/>
      </w:r>
      <w:r w:rsidR="00DA0374">
        <w:t xml:space="preserve">Another concern for the potential site is the risk of flooding. </w:t>
      </w:r>
      <w:r w:rsidR="00007A9A">
        <w:t xml:space="preserve">The site lies on a </w:t>
      </w:r>
      <w:r w:rsidR="00131E09">
        <w:t>high-risk</w:t>
      </w:r>
      <w:r w:rsidR="00007A9A">
        <w:t xml:space="preserve"> area for </w:t>
      </w:r>
      <w:r w:rsidR="003B3F9F">
        <w:t xml:space="preserve">flooding from the sea and is considerably close to </w:t>
      </w:r>
      <w:r w:rsidR="00854ACE">
        <w:t xml:space="preserve">areas of high risk of flooding from the river Tawe. </w:t>
      </w:r>
      <w:r w:rsidR="00D81D41">
        <w:t>Due to this, I would also recommend a flood report to completely assess the site</w:t>
      </w:r>
      <w:r w:rsidR="00074CA0">
        <w:t xml:space="preserve">s suitability and thus the design can be adapted to accommodate this. </w:t>
      </w:r>
      <w:r w:rsidR="002A0BD0">
        <w:t xml:space="preserve">For example, additional drainage can be incorporated or </w:t>
      </w:r>
      <w:r w:rsidR="007B26EA">
        <w:t>raising ground level as much as possible (</w:t>
      </w:r>
      <w:r w:rsidR="00B13D43">
        <w:t>according to advice given from the Environment Agency</w:t>
      </w:r>
      <w:r w:rsidR="00562E4C">
        <w:t xml:space="preserve">, 2022). </w:t>
      </w:r>
      <w:r w:rsidR="00256B69">
        <w:t xml:space="preserve">The site is </w:t>
      </w:r>
      <w:r w:rsidR="00622AD1">
        <w:t>not at risk for surface water or small watercourse flooding.</w:t>
      </w:r>
      <w:r w:rsidR="00853CB7">
        <w:t xml:space="preserve"> On the other hand it is wise to measure the water</w:t>
      </w:r>
      <w:r w:rsidR="003205B2">
        <w:t xml:space="preserve"> conditions</w:t>
      </w:r>
      <w:r w:rsidR="00853CB7">
        <w:t xml:space="preserve"> of the site</w:t>
      </w:r>
      <w:r w:rsidR="003205B2">
        <w:t xml:space="preserve"> through the use of a piezometer which gives accurate readings </w:t>
      </w:r>
      <w:r w:rsidR="000B2807">
        <w:t xml:space="preserve">of water surface levels by inserting a </w:t>
      </w:r>
      <w:r w:rsidR="00652714">
        <w:t>tube</w:t>
      </w:r>
      <w:r w:rsidR="000B2807">
        <w:t xml:space="preserve"> into the ground </w:t>
      </w:r>
      <w:r w:rsidR="00652714">
        <w:t xml:space="preserve">then inserting an electrical probe inside the tube. </w:t>
      </w:r>
      <w:r w:rsidR="00C0414D">
        <w:t xml:space="preserve">An indication is given when </w:t>
      </w:r>
      <w:r w:rsidR="00630E74">
        <w:t>the probe touches the water.</w:t>
      </w:r>
      <w:r w:rsidR="00C00A5C">
        <w:t xml:space="preserve"> The permeability of the soil </w:t>
      </w:r>
      <w:r w:rsidR="00FF1780">
        <w:t xml:space="preserve">type will also affect the water levels in the ground, for example, clean gravels are much more permeable compared to </w:t>
      </w:r>
      <w:r w:rsidR="0063181A">
        <w:t xml:space="preserve">clay. Other factors affecting </w:t>
      </w:r>
      <w:r w:rsidR="00C93B8A">
        <w:t xml:space="preserve">the ecoefficiency of permeability include pore size, </w:t>
      </w:r>
      <w:r w:rsidR="003869D3">
        <w:t>grain size, and viscosity of the fluid.</w:t>
      </w:r>
    </w:p>
    <w:p w14:paraId="014414BE" w14:textId="24049570" w:rsidR="00867DAF" w:rsidRDefault="005006F6">
      <w:r>
        <w:rPr>
          <w:i/>
          <w:iCs/>
        </w:rPr>
        <w:lastRenderedPageBreak/>
        <w:t>3</w:t>
      </w:r>
      <w:r w:rsidR="00FF38CC" w:rsidRPr="00FF38CC">
        <w:rPr>
          <w:i/>
          <w:iCs/>
        </w:rPr>
        <w:t>.4</w:t>
      </w:r>
      <w:r w:rsidR="00FF38CC">
        <w:tab/>
      </w:r>
      <w:r w:rsidR="00D32177">
        <w:t>An undisturbed soil sample should be taken</w:t>
      </w:r>
      <w:r w:rsidR="008514BB">
        <w:t xml:space="preserve">, which means, “a sample where some precautions have been taken to minimise </w:t>
      </w:r>
      <w:r w:rsidR="007F3F5B">
        <w:t xml:space="preserve">disturbance or remoulding”. </w:t>
      </w:r>
      <w:r w:rsidR="009F2E7E">
        <w:t xml:space="preserve">This class of sampling is usually achieved with </w:t>
      </w:r>
      <w:r w:rsidR="004B3B91">
        <w:t>tube samplers or rotary coring</w:t>
      </w:r>
      <w:r w:rsidR="00BC7BC0">
        <w:t xml:space="preserve">. The samples should be </w:t>
      </w:r>
      <w:r w:rsidR="00EE568D">
        <w:t>assessed at certain times such as immediately after taking the samples, often onsite</w:t>
      </w:r>
      <w:r w:rsidR="003C0E72">
        <w:t xml:space="preserve">, at the time of field testing, and lastly, </w:t>
      </w:r>
      <w:r w:rsidR="009C4D71">
        <w:t xml:space="preserve">during preparation of the sample in the laboratory. </w:t>
      </w:r>
      <w:r w:rsidR="00510048">
        <w:t xml:space="preserve">An undisturbed soil sample allows </w:t>
      </w:r>
      <w:r w:rsidR="003456C9">
        <w:t>us to view the substrata as accurately as possible</w:t>
      </w:r>
      <w:r w:rsidR="00591FFE">
        <w:t xml:space="preserve"> as it was in the ground without the effects of remoulding</w:t>
      </w:r>
      <w:r w:rsidR="008B6B91">
        <w:t xml:space="preserve">. Remoulded soil is </w:t>
      </w:r>
      <w:r w:rsidR="000770BF">
        <w:t xml:space="preserve">where the soil has been modified or manipulated so that the samples shear strength or </w:t>
      </w:r>
      <w:r w:rsidR="00846943">
        <w:t>compressibility is inaccurate.</w:t>
      </w:r>
      <w:r w:rsidR="003D66C2">
        <w:t xml:space="preserve"> </w:t>
      </w:r>
      <w:r w:rsidR="00826A53">
        <w:t xml:space="preserve">Knowing what the substrata is can help avoid implications such as subsidence which can occur to clay </w:t>
      </w:r>
      <w:r w:rsidR="00AA550E">
        <w:t>when the water table drops or from prolonged dry spells.</w:t>
      </w:r>
      <w:r w:rsidR="002C1508">
        <w:t xml:space="preserve"> This can severely damage foundations and in turn affect the safety and </w:t>
      </w:r>
      <w:r w:rsidR="00A576A0">
        <w:t>stability of the building.</w:t>
      </w:r>
      <w:r w:rsidR="009C55DE">
        <w:t xml:space="preserve"> </w:t>
      </w:r>
    </w:p>
    <w:p w14:paraId="41764DD9" w14:textId="77777777" w:rsidR="00444F78" w:rsidRDefault="00444F78"/>
    <w:p w14:paraId="676526BD" w14:textId="77777777" w:rsidR="00444F78" w:rsidRDefault="00444F78"/>
    <w:p w14:paraId="4EFE252A" w14:textId="77777777" w:rsidR="00444F78" w:rsidRDefault="00444F78"/>
    <w:p w14:paraId="0DDA26AB" w14:textId="77777777" w:rsidR="00444F78" w:rsidRDefault="00444F78"/>
    <w:p w14:paraId="2FE484AA" w14:textId="77777777" w:rsidR="005B3B8A" w:rsidRDefault="005B3B8A"/>
    <w:p w14:paraId="6EEBD0F2" w14:textId="68FFC4EB" w:rsidR="00444F78" w:rsidRPr="00B83F5C" w:rsidRDefault="00B83F5C">
      <w:pPr>
        <w:rPr>
          <w:b/>
          <w:bCs/>
          <w:sz w:val="24"/>
          <w:szCs w:val="24"/>
        </w:rPr>
      </w:pPr>
      <w:r w:rsidRPr="00B83F5C">
        <w:rPr>
          <w:b/>
          <w:bCs/>
          <w:sz w:val="24"/>
          <w:szCs w:val="24"/>
        </w:rPr>
        <w:t xml:space="preserve">5.0 </w:t>
      </w:r>
      <w:r w:rsidRPr="00B83F5C">
        <w:rPr>
          <w:b/>
          <w:bCs/>
          <w:sz w:val="24"/>
          <w:szCs w:val="24"/>
          <w:u w:val="single"/>
        </w:rPr>
        <w:t>Conclusion</w:t>
      </w:r>
    </w:p>
    <w:p w14:paraId="27084B39" w14:textId="2AEC8B96" w:rsidR="00444F78" w:rsidRDefault="00674451">
      <w:r>
        <w:t xml:space="preserve">In Conclusion, the proposed site is </w:t>
      </w:r>
      <w:r w:rsidR="000105B5">
        <w:t>a</w:t>
      </w:r>
      <w:r w:rsidR="00AA6955">
        <w:t>n exemplary opportunity for further redevelopment of previous industrial use to commercial</w:t>
      </w:r>
      <w:r w:rsidR="00674CA8">
        <w:t xml:space="preserve">, expanding on UWTSD’s current portfolio of campus buildings. </w:t>
      </w:r>
      <w:r w:rsidR="00DF39B5">
        <w:t xml:space="preserve">Whilst there may be proposed issues as highlighted above, with </w:t>
      </w:r>
      <w:r w:rsidR="00405992">
        <w:t xml:space="preserve">further investigation these can be mitigated and any </w:t>
      </w:r>
      <w:r w:rsidR="00C97AD8">
        <w:t xml:space="preserve">remediation to the design or construction methods can be made prior to </w:t>
      </w:r>
      <w:r w:rsidR="003C32FD">
        <w:t>the start of the development</w:t>
      </w:r>
    </w:p>
    <w:p w14:paraId="55C40482" w14:textId="77777777" w:rsidR="00444F78" w:rsidRDefault="00444F78"/>
    <w:p w14:paraId="0730390C" w14:textId="77777777" w:rsidR="005718B9" w:rsidRDefault="005718B9" w:rsidP="00444F78"/>
    <w:p w14:paraId="680BEC4C" w14:textId="77777777" w:rsidR="00B84F40" w:rsidRDefault="00B84F40" w:rsidP="00444F78"/>
    <w:p w14:paraId="23160E76" w14:textId="77777777" w:rsidR="00B84F40" w:rsidRDefault="00B84F40" w:rsidP="00444F78"/>
    <w:p w14:paraId="42F6E45C" w14:textId="77777777" w:rsidR="00B84F40" w:rsidRDefault="00B84F40" w:rsidP="00444F78"/>
    <w:p w14:paraId="5C9668DB" w14:textId="77777777" w:rsidR="00B84F40" w:rsidRDefault="00B84F40" w:rsidP="00444F78">
      <w:pPr>
        <w:rPr>
          <w:rFonts w:cstheme="minorHAnsi"/>
          <w:b/>
          <w:bCs/>
        </w:rPr>
      </w:pPr>
    </w:p>
    <w:p w14:paraId="625D73EB" w14:textId="77777777" w:rsidR="000D62ED" w:rsidRDefault="000D62ED" w:rsidP="00444F78">
      <w:pPr>
        <w:rPr>
          <w:rFonts w:cstheme="minorHAnsi"/>
          <w:b/>
          <w:bCs/>
          <w:sz w:val="24"/>
          <w:szCs w:val="24"/>
        </w:rPr>
      </w:pPr>
    </w:p>
    <w:p w14:paraId="2642EB2D" w14:textId="77777777" w:rsidR="000D62ED" w:rsidRDefault="000D62ED" w:rsidP="00444F78">
      <w:pPr>
        <w:rPr>
          <w:rFonts w:cstheme="minorHAnsi"/>
          <w:b/>
          <w:bCs/>
          <w:sz w:val="24"/>
          <w:szCs w:val="24"/>
        </w:rPr>
      </w:pPr>
    </w:p>
    <w:p w14:paraId="1E9B3755" w14:textId="77777777" w:rsidR="000D62ED" w:rsidRDefault="000D62ED" w:rsidP="00444F78">
      <w:pPr>
        <w:rPr>
          <w:rFonts w:cstheme="minorHAnsi"/>
          <w:b/>
          <w:bCs/>
          <w:sz w:val="24"/>
          <w:szCs w:val="24"/>
        </w:rPr>
      </w:pPr>
    </w:p>
    <w:p w14:paraId="621557DE" w14:textId="77777777" w:rsidR="000D62ED" w:rsidRDefault="000D62ED" w:rsidP="00444F78">
      <w:pPr>
        <w:rPr>
          <w:rFonts w:cstheme="minorHAnsi"/>
          <w:b/>
          <w:bCs/>
          <w:sz w:val="24"/>
          <w:szCs w:val="24"/>
        </w:rPr>
      </w:pPr>
    </w:p>
    <w:p w14:paraId="02C365E5" w14:textId="77777777" w:rsidR="000D62ED" w:rsidRDefault="000D62ED" w:rsidP="00444F78">
      <w:pPr>
        <w:rPr>
          <w:rFonts w:cstheme="minorHAnsi"/>
          <w:b/>
          <w:bCs/>
          <w:sz w:val="24"/>
          <w:szCs w:val="24"/>
        </w:rPr>
      </w:pPr>
    </w:p>
    <w:p w14:paraId="3B55CF3F" w14:textId="77777777" w:rsidR="000D62ED" w:rsidRDefault="000D62ED" w:rsidP="00444F78">
      <w:pPr>
        <w:rPr>
          <w:rFonts w:cstheme="minorHAnsi"/>
          <w:b/>
          <w:bCs/>
          <w:sz w:val="24"/>
          <w:szCs w:val="24"/>
        </w:rPr>
      </w:pPr>
    </w:p>
    <w:p w14:paraId="23B4EBA1" w14:textId="77777777" w:rsidR="000D62ED" w:rsidRDefault="000D62ED" w:rsidP="00444F78">
      <w:pPr>
        <w:rPr>
          <w:rFonts w:cstheme="minorHAnsi"/>
          <w:b/>
          <w:bCs/>
          <w:sz w:val="24"/>
          <w:szCs w:val="24"/>
        </w:rPr>
      </w:pPr>
    </w:p>
    <w:p w14:paraId="63526725" w14:textId="77777777" w:rsidR="000D62ED" w:rsidRDefault="000D62ED" w:rsidP="00444F78">
      <w:pPr>
        <w:rPr>
          <w:rFonts w:cstheme="minorHAnsi"/>
          <w:b/>
          <w:bCs/>
          <w:sz w:val="24"/>
          <w:szCs w:val="24"/>
        </w:rPr>
      </w:pPr>
    </w:p>
    <w:p w14:paraId="58035A7F" w14:textId="77777777" w:rsidR="000D62ED" w:rsidRDefault="000D62ED" w:rsidP="00444F78">
      <w:pPr>
        <w:rPr>
          <w:rFonts w:cstheme="minorHAnsi"/>
          <w:b/>
          <w:bCs/>
          <w:sz w:val="24"/>
          <w:szCs w:val="24"/>
        </w:rPr>
      </w:pPr>
    </w:p>
    <w:p w14:paraId="6EAA882D" w14:textId="77777777" w:rsidR="000D62ED" w:rsidRDefault="000D62ED" w:rsidP="00444F78">
      <w:pPr>
        <w:rPr>
          <w:rFonts w:cstheme="minorHAnsi"/>
          <w:b/>
          <w:bCs/>
          <w:sz w:val="24"/>
          <w:szCs w:val="24"/>
        </w:rPr>
      </w:pPr>
    </w:p>
    <w:p w14:paraId="1DF7AD34" w14:textId="77777777" w:rsidR="000D62ED" w:rsidRDefault="000D62ED" w:rsidP="00444F78">
      <w:pPr>
        <w:rPr>
          <w:rFonts w:cstheme="minorHAnsi"/>
          <w:b/>
          <w:bCs/>
          <w:sz w:val="24"/>
          <w:szCs w:val="24"/>
        </w:rPr>
      </w:pPr>
    </w:p>
    <w:p w14:paraId="70E968E5" w14:textId="77777777" w:rsidR="000D62ED" w:rsidRDefault="000D62ED" w:rsidP="00444F78">
      <w:pPr>
        <w:rPr>
          <w:rFonts w:cstheme="minorHAnsi"/>
          <w:b/>
          <w:bCs/>
          <w:sz w:val="24"/>
          <w:szCs w:val="24"/>
        </w:rPr>
      </w:pPr>
    </w:p>
    <w:p w14:paraId="1293A70F" w14:textId="77777777" w:rsidR="000D62ED" w:rsidRDefault="000D62ED" w:rsidP="00444F78">
      <w:pPr>
        <w:rPr>
          <w:rFonts w:cstheme="minorHAnsi"/>
          <w:b/>
          <w:bCs/>
          <w:sz w:val="24"/>
          <w:szCs w:val="24"/>
        </w:rPr>
      </w:pPr>
    </w:p>
    <w:p w14:paraId="4B86C582" w14:textId="457CA9D7" w:rsidR="00444F78" w:rsidRPr="003A152D" w:rsidRDefault="003C32FD" w:rsidP="00444F78">
      <w:pPr>
        <w:rPr>
          <w:rFonts w:cstheme="minorHAnsi"/>
          <w:b/>
          <w:bCs/>
          <w:sz w:val="24"/>
          <w:szCs w:val="24"/>
        </w:rPr>
      </w:pPr>
      <w:r>
        <w:rPr>
          <w:rFonts w:cstheme="minorHAnsi"/>
          <w:b/>
          <w:bCs/>
          <w:sz w:val="24"/>
          <w:szCs w:val="24"/>
        </w:rPr>
        <w:t>6</w:t>
      </w:r>
      <w:r w:rsidR="00444F78" w:rsidRPr="003A152D">
        <w:rPr>
          <w:rFonts w:cstheme="minorHAnsi"/>
          <w:b/>
          <w:bCs/>
          <w:sz w:val="24"/>
          <w:szCs w:val="24"/>
        </w:rPr>
        <w:t xml:space="preserve">.0 </w:t>
      </w:r>
      <w:r w:rsidR="00444F78" w:rsidRPr="003A152D">
        <w:rPr>
          <w:rFonts w:cstheme="minorHAnsi"/>
          <w:b/>
          <w:bCs/>
          <w:sz w:val="24"/>
          <w:szCs w:val="24"/>
          <w:u w:val="single"/>
        </w:rPr>
        <w:t>Appendices</w:t>
      </w:r>
    </w:p>
    <w:p w14:paraId="5F1A6849" w14:textId="77777777" w:rsidR="00444F78" w:rsidRPr="00444F78" w:rsidRDefault="00444F78" w:rsidP="00444F78">
      <w:pPr>
        <w:ind w:firstLine="720"/>
        <w:rPr>
          <w:rFonts w:cstheme="minorHAnsi"/>
        </w:rPr>
      </w:pPr>
    </w:p>
    <w:p w14:paraId="677396B2" w14:textId="29F00C02" w:rsidR="003C09E9" w:rsidRDefault="00DD4872">
      <w:pPr>
        <w:rPr>
          <w:rFonts w:cstheme="minorHAnsi"/>
          <w:shd w:val="clear" w:color="auto" w:fill="FFFFFF"/>
        </w:rPr>
      </w:pPr>
      <w:r>
        <w:rPr>
          <w:noProof/>
        </w:rPr>
        <w:drawing>
          <wp:inline distT="0" distB="0" distL="0" distR="0" wp14:anchorId="71FF2B98" wp14:editId="2B5579CD">
            <wp:extent cx="6645910" cy="3683000"/>
            <wp:effectExtent l="0" t="0" r="2540"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3683000"/>
                    </a:xfrm>
                    <a:prstGeom prst="rect">
                      <a:avLst/>
                    </a:prstGeom>
                    <a:noFill/>
                    <a:ln>
                      <a:noFill/>
                    </a:ln>
                  </pic:spPr>
                </pic:pic>
              </a:graphicData>
            </a:graphic>
          </wp:inline>
        </w:drawing>
      </w:r>
    </w:p>
    <w:p w14:paraId="20B4B0ED" w14:textId="61912EBF" w:rsidR="00EB1070" w:rsidRDefault="00040D6D">
      <w:r>
        <w:t>Figure 1</w:t>
      </w:r>
    </w:p>
    <w:p w14:paraId="01AAEF5B" w14:textId="15AD287D" w:rsidR="00EB1070" w:rsidRDefault="00EB1070"/>
    <w:p w14:paraId="2EF70041" w14:textId="7F4B8646" w:rsidR="00EB1070" w:rsidRDefault="00040D6D">
      <w:r>
        <w:t>Figure 2</w:t>
      </w:r>
    </w:p>
    <w:p w14:paraId="083328BD" w14:textId="34D30AD8" w:rsidR="00EB1070" w:rsidRDefault="0092233B">
      <w:r>
        <w:rPr>
          <w:noProof/>
        </w:rPr>
        <w:drawing>
          <wp:inline distT="0" distB="0" distL="0" distR="0" wp14:anchorId="603EA95D" wp14:editId="000D0EEB">
            <wp:extent cx="6645910" cy="27514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2751455"/>
                    </a:xfrm>
                    <a:prstGeom prst="rect">
                      <a:avLst/>
                    </a:prstGeom>
                    <a:noFill/>
                    <a:ln>
                      <a:noFill/>
                    </a:ln>
                  </pic:spPr>
                </pic:pic>
              </a:graphicData>
            </a:graphic>
          </wp:inline>
        </w:drawing>
      </w:r>
    </w:p>
    <w:p w14:paraId="1C368A66" w14:textId="73682ABE" w:rsidR="00EB1070" w:rsidRDefault="00EB1070"/>
    <w:p w14:paraId="7E3CA3FF" w14:textId="776C59E8" w:rsidR="00EB1070" w:rsidRDefault="00EB1070"/>
    <w:p w14:paraId="12C20542" w14:textId="38505EB6" w:rsidR="00EB1070" w:rsidRDefault="00EB1070"/>
    <w:p w14:paraId="7E4E4C9F" w14:textId="5F09D163" w:rsidR="00EB1070" w:rsidRDefault="00C408EA">
      <w:r w:rsidRPr="00C408EA">
        <w:rPr>
          <w:noProof/>
        </w:rPr>
        <w:drawing>
          <wp:inline distT="0" distB="0" distL="0" distR="0" wp14:anchorId="16B29AA2" wp14:editId="15C4CF2E">
            <wp:extent cx="6645910" cy="30245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5910" cy="3024505"/>
                    </a:xfrm>
                    <a:prstGeom prst="rect">
                      <a:avLst/>
                    </a:prstGeom>
                  </pic:spPr>
                </pic:pic>
              </a:graphicData>
            </a:graphic>
          </wp:inline>
        </w:drawing>
      </w:r>
    </w:p>
    <w:p w14:paraId="1C352B95" w14:textId="5DACF5E2" w:rsidR="00EB1070" w:rsidRDefault="00C408EA">
      <w:r>
        <w:t>Figure 3</w:t>
      </w:r>
    </w:p>
    <w:p w14:paraId="29B24873" w14:textId="379237B3" w:rsidR="00EB1070" w:rsidRDefault="00EB1070"/>
    <w:p w14:paraId="7F6F9249" w14:textId="764BE690" w:rsidR="00EB1070" w:rsidRDefault="00EB1070"/>
    <w:p w14:paraId="58D91FD1" w14:textId="1CA6785C" w:rsidR="00EB1070" w:rsidRDefault="00EB1070"/>
    <w:p w14:paraId="39641652" w14:textId="1D388E21" w:rsidR="00EB1070" w:rsidRDefault="0030257D">
      <w:r>
        <w:t>Figure 4</w:t>
      </w:r>
    </w:p>
    <w:p w14:paraId="0DAA9F63" w14:textId="48B99AC8" w:rsidR="00EB1070" w:rsidRDefault="0030257D">
      <w:r w:rsidRPr="0030257D">
        <w:rPr>
          <w:noProof/>
        </w:rPr>
        <w:drawing>
          <wp:inline distT="0" distB="0" distL="0" distR="0" wp14:anchorId="1373C77F" wp14:editId="56687A24">
            <wp:extent cx="6645910" cy="3406775"/>
            <wp:effectExtent l="0" t="0" r="2540" b="3175"/>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11"/>
                    <a:stretch>
                      <a:fillRect/>
                    </a:stretch>
                  </pic:blipFill>
                  <pic:spPr>
                    <a:xfrm>
                      <a:off x="0" y="0"/>
                      <a:ext cx="6645910" cy="3406775"/>
                    </a:xfrm>
                    <a:prstGeom prst="rect">
                      <a:avLst/>
                    </a:prstGeom>
                  </pic:spPr>
                </pic:pic>
              </a:graphicData>
            </a:graphic>
          </wp:inline>
        </w:drawing>
      </w:r>
    </w:p>
    <w:p w14:paraId="5D21E47B" w14:textId="78472D27" w:rsidR="00EB1070" w:rsidRDefault="00EB1070"/>
    <w:p w14:paraId="63E6E4CD" w14:textId="77777777" w:rsidR="00A111E6" w:rsidRDefault="00A111E6"/>
    <w:p w14:paraId="77D09338" w14:textId="57712677" w:rsidR="00A111E6" w:rsidRDefault="00A111E6">
      <w:r w:rsidRPr="00A111E6">
        <w:rPr>
          <w:noProof/>
        </w:rPr>
        <w:lastRenderedPageBreak/>
        <w:drawing>
          <wp:inline distT="0" distB="0" distL="0" distR="0" wp14:anchorId="2ADD8F5B" wp14:editId="6906EE6D">
            <wp:extent cx="6645910" cy="3098165"/>
            <wp:effectExtent l="0" t="0" r="2540" b="6985"/>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pic:nvPicPr>
                  <pic:blipFill>
                    <a:blip r:embed="rId12"/>
                    <a:stretch>
                      <a:fillRect/>
                    </a:stretch>
                  </pic:blipFill>
                  <pic:spPr>
                    <a:xfrm>
                      <a:off x="0" y="0"/>
                      <a:ext cx="6645910" cy="3098165"/>
                    </a:xfrm>
                    <a:prstGeom prst="rect">
                      <a:avLst/>
                    </a:prstGeom>
                  </pic:spPr>
                </pic:pic>
              </a:graphicData>
            </a:graphic>
          </wp:inline>
        </w:drawing>
      </w:r>
    </w:p>
    <w:p w14:paraId="5D9C35A4" w14:textId="77FB094E" w:rsidR="00EB1070" w:rsidRDefault="00A111E6">
      <w:r>
        <w:t>Figure 5</w:t>
      </w:r>
    </w:p>
    <w:p w14:paraId="733404B0" w14:textId="77777777" w:rsidR="00A111E6" w:rsidRDefault="00A111E6"/>
    <w:p w14:paraId="26AAA36B" w14:textId="77777777" w:rsidR="00A111E6" w:rsidRDefault="00A111E6"/>
    <w:p w14:paraId="35F51264" w14:textId="557A3843" w:rsidR="008A2A17" w:rsidRPr="008A2A17" w:rsidRDefault="00A949DE">
      <w:r>
        <w:rPr>
          <w:noProof/>
        </w:rPr>
        <w:drawing>
          <wp:inline distT="0" distB="0" distL="0" distR="0" wp14:anchorId="0446CA78" wp14:editId="1625EE0B">
            <wp:extent cx="6645910" cy="524573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45910" cy="5245735"/>
                    </a:xfrm>
                    <a:prstGeom prst="rect">
                      <a:avLst/>
                    </a:prstGeom>
                    <a:noFill/>
                    <a:ln>
                      <a:noFill/>
                    </a:ln>
                  </pic:spPr>
                </pic:pic>
              </a:graphicData>
            </a:graphic>
          </wp:inline>
        </w:drawing>
      </w:r>
    </w:p>
    <w:p w14:paraId="331C903C" w14:textId="2C4DD2B1" w:rsidR="009F21C9" w:rsidRPr="003C32FD" w:rsidRDefault="00006768" w:rsidP="003C32FD">
      <w:pPr>
        <w:pStyle w:val="NormalWeb"/>
        <w:spacing w:before="0" w:beforeAutospacing="0" w:after="0" w:afterAutospacing="0" w:line="360" w:lineRule="atLeast"/>
        <w:rPr>
          <w:rFonts w:ascii="Calibri" w:hAnsi="Calibri" w:cs="Calibri"/>
          <w:color w:val="000000"/>
          <w:sz w:val="27"/>
          <w:szCs w:val="27"/>
        </w:rPr>
      </w:pPr>
      <w:r w:rsidRPr="001F68E8">
        <w:rPr>
          <w:rFonts w:ascii="Calibri" w:hAnsi="Calibri" w:cs="Calibri"/>
          <w:color w:val="000000"/>
          <w:sz w:val="22"/>
          <w:szCs w:val="22"/>
        </w:rPr>
        <w:lastRenderedPageBreak/>
        <w:t>‌</w:t>
      </w:r>
      <w:r w:rsidR="001F68E8" w:rsidRPr="001F68E8">
        <w:rPr>
          <w:rFonts w:ascii="Calibri" w:hAnsi="Calibri" w:cs="Calibri"/>
          <w:color w:val="000000"/>
          <w:sz w:val="22"/>
          <w:szCs w:val="22"/>
        </w:rPr>
        <w:t xml:space="preserve"> </w:t>
      </w:r>
      <w:r w:rsidR="003C32FD">
        <w:rPr>
          <w:b/>
          <w:bCs/>
        </w:rPr>
        <w:t>7</w:t>
      </w:r>
      <w:r w:rsidR="00EB1070" w:rsidRPr="003A152D">
        <w:rPr>
          <w:b/>
          <w:bCs/>
        </w:rPr>
        <w:t xml:space="preserve">.0 </w:t>
      </w:r>
      <w:r w:rsidR="00EB1070" w:rsidRPr="003A152D">
        <w:rPr>
          <w:b/>
          <w:bCs/>
          <w:u w:val="single"/>
        </w:rPr>
        <w:t>Reference List</w:t>
      </w:r>
    </w:p>
    <w:p w14:paraId="06BFAB67" w14:textId="77777777" w:rsidR="000D62ED" w:rsidRDefault="000D62ED" w:rsidP="009F21C9">
      <w:pPr>
        <w:pStyle w:val="NormalWeb"/>
        <w:spacing w:before="0" w:beforeAutospacing="0" w:after="0" w:afterAutospacing="0" w:line="360" w:lineRule="atLeast"/>
        <w:rPr>
          <w:rFonts w:ascii="Calibri" w:hAnsi="Calibri" w:cs="Calibri"/>
          <w:color w:val="000000"/>
          <w:sz w:val="22"/>
          <w:szCs w:val="22"/>
        </w:rPr>
      </w:pPr>
    </w:p>
    <w:p w14:paraId="55CD0021" w14:textId="603FB2EA" w:rsidR="009F21C9" w:rsidRDefault="009F21C9" w:rsidP="009F21C9">
      <w:pPr>
        <w:pStyle w:val="NormalWeb"/>
        <w:spacing w:before="0" w:beforeAutospacing="0" w:after="0" w:afterAutospacing="0" w:line="360" w:lineRule="atLeast"/>
        <w:rPr>
          <w:rFonts w:ascii="Calibri" w:hAnsi="Calibri" w:cs="Calibri"/>
          <w:color w:val="000000"/>
          <w:sz w:val="22"/>
          <w:szCs w:val="22"/>
        </w:rPr>
      </w:pPr>
      <w:r w:rsidRPr="009F21C9">
        <w:rPr>
          <w:rFonts w:ascii="Calibri" w:hAnsi="Calibri" w:cs="Calibri"/>
          <w:color w:val="000000"/>
          <w:sz w:val="22"/>
          <w:szCs w:val="22"/>
        </w:rPr>
        <w:t>Emily (2021). </w:t>
      </w:r>
      <w:r w:rsidRPr="009F21C9">
        <w:rPr>
          <w:rFonts w:ascii="Calibri" w:hAnsi="Calibri" w:cs="Calibri"/>
          <w:i/>
          <w:iCs/>
          <w:color w:val="000000"/>
          <w:sz w:val="22"/>
          <w:szCs w:val="22"/>
        </w:rPr>
        <w:t>Geotechnical &amp; Geo-Environmental Investigations | What Is ‘Made Ground’?</w:t>
      </w:r>
      <w:r w:rsidRPr="009F21C9">
        <w:rPr>
          <w:rFonts w:ascii="Calibri" w:hAnsi="Calibri" w:cs="Calibri"/>
          <w:color w:val="000000"/>
          <w:sz w:val="22"/>
          <w:szCs w:val="22"/>
        </w:rPr>
        <w:t> [online] Borehole Solutions Ltd. Available at: https://www.boreholesolutions.co.uk/blog/geotechnical-geo-environmental-investigations-what-is-made-ground/#:~:text=Made%20ground%20refers%20to%20locations [Accessed 13 Dec. 2022].</w:t>
      </w:r>
    </w:p>
    <w:p w14:paraId="026FA430" w14:textId="77777777" w:rsidR="009F21C9" w:rsidRPr="009F21C9" w:rsidRDefault="009F21C9" w:rsidP="009F21C9">
      <w:pPr>
        <w:pStyle w:val="NormalWeb"/>
        <w:spacing w:before="0" w:beforeAutospacing="0" w:after="0" w:afterAutospacing="0" w:line="360" w:lineRule="atLeast"/>
        <w:rPr>
          <w:rFonts w:ascii="Calibri" w:hAnsi="Calibri" w:cs="Calibri"/>
          <w:color w:val="000000"/>
          <w:sz w:val="22"/>
          <w:szCs w:val="22"/>
        </w:rPr>
      </w:pPr>
    </w:p>
    <w:p w14:paraId="0B0188CD" w14:textId="0F1CEE46" w:rsidR="00426BBE" w:rsidRDefault="00426BBE" w:rsidP="00426BBE">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Figure 2- </w:t>
      </w:r>
      <w:r w:rsidRPr="00040D6D">
        <w:rPr>
          <w:rFonts w:ascii="Calibri" w:hAnsi="Calibri" w:cs="Calibri"/>
          <w:color w:val="000000"/>
          <w:sz w:val="22"/>
          <w:szCs w:val="22"/>
        </w:rPr>
        <w:t>Wp.com. (2022). [online] Available at: https://i0.wp.com/www.railwayaccidents.port.ac.uk/wp-content/uploads/2020/07/Screenshot_2020-07-19-View-Glamorgan-XXIV-Swansea-Prince-of-Wales-dock-1914.png?ssl=1 [Accessed 13 Dec. 2022].</w:t>
      </w:r>
    </w:p>
    <w:p w14:paraId="2FF21AE7" w14:textId="77777777" w:rsidR="00426BBE" w:rsidRPr="00426BBE" w:rsidRDefault="00426BBE" w:rsidP="00426BBE">
      <w:pPr>
        <w:pStyle w:val="NormalWeb"/>
        <w:spacing w:before="0" w:beforeAutospacing="0" w:after="0" w:afterAutospacing="0" w:line="360" w:lineRule="atLeast"/>
        <w:rPr>
          <w:rFonts w:ascii="Calibri" w:hAnsi="Calibri" w:cs="Calibri"/>
          <w:color w:val="000000"/>
          <w:sz w:val="22"/>
          <w:szCs w:val="22"/>
        </w:rPr>
      </w:pPr>
    </w:p>
    <w:p w14:paraId="197C81B1" w14:textId="77777777" w:rsidR="00426BBE" w:rsidRDefault="00426BBE" w:rsidP="00426BBE">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Figure 3-</w:t>
      </w:r>
      <w:r w:rsidRPr="000A05D7">
        <w:rPr>
          <w:rFonts w:ascii="Calibri" w:hAnsi="Calibri" w:cs="Calibri"/>
          <w:color w:val="000000"/>
          <w:sz w:val="22"/>
          <w:szCs w:val="22"/>
        </w:rPr>
        <w:t>maps.nls.uk. (n.d.). </w:t>
      </w:r>
      <w:r w:rsidRPr="000A05D7">
        <w:rPr>
          <w:rFonts w:ascii="Calibri" w:hAnsi="Calibri" w:cs="Calibri"/>
          <w:i/>
          <w:iCs/>
          <w:color w:val="000000"/>
          <w:sz w:val="22"/>
          <w:szCs w:val="22"/>
        </w:rPr>
        <w:t>View map: Glamorgan XXIV.NW (includes: Swansea.) - Ordnance Survey Six-inch England and Wales, 1842-1952</w:t>
      </w:r>
      <w:r w:rsidRPr="000A05D7">
        <w:rPr>
          <w:rFonts w:ascii="Calibri" w:hAnsi="Calibri" w:cs="Calibri"/>
          <w:color w:val="000000"/>
          <w:sz w:val="22"/>
          <w:szCs w:val="22"/>
        </w:rPr>
        <w:t>. [online] Available at: https://maps.nls.uk/view/102183114 [Accessed 13 Dec. 2022].</w:t>
      </w:r>
    </w:p>
    <w:p w14:paraId="471CB477" w14:textId="77777777" w:rsidR="00C41D8B" w:rsidRPr="00C41D8B" w:rsidRDefault="00C41D8B" w:rsidP="00C41D8B">
      <w:pPr>
        <w:pStyle w:val="NormalWeb"/>
        <w:spacing w:before="0" w:beforeAutospacing="0" w:after="0" w:afterAutospacing="0" w:line="360" w:lineRule="atLeast"/>
        <w:rPr>
          <w:rFonts w:ascii="Calibri" w:hAnsi="Calibri" w:cs="Calibri"/>
          <w:color w:val="000000"/>
          <w:sz w:val="22"/>
          <w:szCs w:val="22"/>
        </w:rPr>
      </w:pPr>
    </w:p>
    <w:p w14:paraId="259F63EA" w14:textId="30CEAD3C" w:rsidR="00EB1070" w:rsidRDefault="00EB1070" w:rsidP="00EB1070">
      <w:pPr>
        <w:pStyle w:val="NormalWeb"/>
        <w:spacing w:before="0" w:beforeAutospacing="0" w:after="0" w:afterAutospacing="0" w:line="360" w:lineRule="atLeast"/>
        <w:rPr>
          <w:rFonts w:ascii="Calibri" w:hAnsi="Calibri" w:cs="Calibri"/>
          <w:color w:val="000000"/>
          <w:sz w:val="22"/>
          <w:szCs w:val="22"/>
        </w:rPr>
      </w:pPr>
      <w:r w:rsidRPr="00EB1070">
        <w:rPr>
          <w:rFonts w:ascii="Calibri" w:hAnsi="Calibri" w:cs="Calibri"/>
          <w:color w:val="000000"/>
          <w:sz w:val="22"/>
          <w:szCs w:val="22"/>
        </w:rPr>
        <w:t>Peoples Collection Wales. (n.d.). </w:t>
      </w:r>
      <w:r w:rsidRPr="00EB1070">
        <w:rPr>
          <w:rFonts w:ascii="Calibri" w:hAnsi="Calibri" w:cs="Calibri"/>
          <w:i/>
          <w:iCs/>
          <w:color w:val="000000"/>
          <w:sz w:val="22"/>
          <w:szCs w:val="22"/>
        </w:rPr>
        <w:t>Prince of Wales Dock, Swansea, 1949</w:t>
      </w:r>
      <w:r w:rsidRPr="00EB1070">
        <w:rPr>
          <w:rFonts w:ascii="Calibri" w:hAnsi="Calibri" w:cs="Calibri"/>
          <w:color w:val="000000"/>
          <w:sz w:val="22"/>
          <w:szCs w:val="22"/>
        </w:rPr>
        <w:t>. [online] Available at: https://www.peoplescollection.wales/items/28596#?xywh=-1142%2C-99%2C6620%2C4863 [Accessed 11 Dec. 2022].</w:t>
      </w:r>
    </w:p>
    <w:p w14:paraId="318F4C4F" w14:textId="77777777" w:rsidR="000A05D7" w:rsidRPr="000A05D7" w:rsidRDefault="000A05D7" w:rsidP="000A05D7">
      <w:pPr>
        <w:pStyle w:val="NormalWeb"/>
        <w:spacing w:before="0" w:beforeAutospacing="0" w:after="0" w:afterAutospacing="0" w:line="360" w:lineRule="atLeast"/>
        <w:rPr>
          <w:rFonts w:ascii="Calibri" w:hAnsi="Calibri" w:cs="Calibri"/>
          <w:color w:val="000000"/>
          <w:sz w:val="22"/>
          <w:szCs w:val="22"/>
        </w:rPr>
      </w:pPr>
    </w:p>
    <w:p w14:paraId="2B18C8FE" w14:textId="77777777" w:rsidR="004D72B0" w:rsidRDefault="004D72B0" w:rsidP="004D72B0">
      <w:pPr>
        <w:pStyle w:val="NormalWeb"/>
        <w:spacing w:before="0" w:beforeAutospacing="0" w:after="0" w:afterAutospacing="0" w:line="360" w:lineRule="atLeast"/>
        <w:rPr>
          <w:rFonts w:ascii="Calibri" w:hAnsi="Calibri" w:cs="Calibri"/>
          <w:color w:val="000000"/>
          <w:sz w:val="22"/>
          <w:szCs w:val="22"/>
        </w:rPr>
      </w:pPr>
      <w:r w:rsidRPr="004D72B0">
        <w:rPr>
          <w:rFonts w:ascii="Calibri" w:hAnsi="Calibri" w:cs="Calibri"/>
          <w:color w:val="000000"/>
          <w:sz w:val="22"/>
          <w:szCs w:val="22"/>
        </w:rPr>
        <w:t>www.neccontract.com. (n.d.). </w:t>
      </w:r>
      <w:r w:rsidRPr="004D72B0">
        <w:rPr>
          <w:rFonts w:ascii="Calibri" w:hAnsi="Calibri" w:cs="Calibri"/>
          <w:i/>
          <w:iCs/>
          <w:color w:val="000000"/>
          <w:sz w:val="22"/>
          <w:szCs w:val="22"/>
        </w:rPr>
        <w:t>SA1 Swansea Waterfront campus, UK | NEC Projects | N</w:t>
      </w:r>
      <w:r w:rsidRPr="004D72B0">
        <w:rPr>
          <w:rFonts w:ascii="Calibri" w:hAnsi="Calibri" w:cs="Calibri"/>
          <w:color w:val="000000"/>
          <w:sz w:val="22"/>
          <w:szCs w:val="22"/>
        </w:rPr>
        <w:t>. [online] Available at: https://www.neccontract.com/projects/sa1-swansea-waterfront-campus-university-of-wales-trinity-saint-david [Accessed 12 Dec. 2022].</w:t>
      </w:r>
    </w:p>
    <w:p w14:paraId="5CC300B4" w14:textId="77777777" w:rsidR="00D1139F" w:rsidRDefault="00D1139F" w:rsidP="004D72B0">
      <w:pPr>
        <w:pStyle w:val="NormalWeb"/>
        <w:spacing w:before="0" w:beforeAutospacing="0" w:after="0" w:afterAutospacing="0" w:line="360" w:lineRule="atLeast"/>
        <w:rPr>
          <w:rFonts w:ascii="Calibri" w:hAnsi="Calibri" w:cs="Calibri"/>
          <w:color w:val="000000"/>
          <w:sz w:val="22"/>
          <w:szCs w:val="22"/>
        </w:rPr>
      </w:pPr>
    </w:p>
    <w:p w14:paraId="58624F0D" w14:textId="12D3B8B7" w:rsidR="00CA48E2" w:rsidRDefault="00D1139F" w:rsidP="00D1139F">
      <w:pPr>
        <w:pStyle w:val="NormalWeb"/>
        <w:spacing w:before="0" w:beforeAutospacing="0" w:after="0" w:afterAutospacing="0" w:line="360" w:lineRule="atLeast"/>
        <w:rPr>
          <w:rFonts w:ascii="Calibri" w:hAnsi="Calibri" w:cs="Calibri"/>
          <w:color w:val="000000"/>
          <w:sz w:val="22"/>
          <w:szCs w:val="22"/>
        </w:rPr>
      </w:pPr>
      <w:r w:rsidRPr="00D1139F">
        <w:rPr>
          <w:rFonts w:ascii="Calibri" w:hAnsi="Calibri" w:cs="Calibri"/>
          <w:color w:val="000000"/>
          <w:sz w:val="22"/>
          <w:szCs w:val="22"/>
        </w:rPr>
        <w:t>RPS Group (2021). </w:t>
      </w:r>
      <w:r w:rsidRPr="00D1139F">
        <w:rPr>
          <w:rFonts w:ascii="Calibri" w:hAnsi="Calibri" w:cs="Calibri"/>
          <w:i/>
          <w:iCs/>
          <w:color w:val="000000"/>
          <w:sz w:val="22"/>
          <w:szCs w:val="22"/>
        </w:rPr>
        <w:t>GROUND CONDITIONS DESK TOP STUDY AND PRELIMINARY RISK ASSESSMENT</w:t>
      </w:r>
      <w:r w:rsidRPr="00D1139F">
        <w:rPr>
          <w:rFonts w:ascii="Calibri" w:hAnsi="Calibri" w:cs="Calibri"/>
          <w:color w:val="000000"/>
          <w:sz w:val="22"/>
          <w:szCs w:val="22"/>
        </w:rPr>
        <w:t>. [online] </w:t>
      </w:r>
      <w:r w:rsidRPr="00D1139F">
        <w:rPr>
          <w:rFonts w:ascii="Calibri" w:hAnsi="Calibri" w:cs="Calibri"/>
          <w:i/>
          <w:iCs/>
          <w:color w:val="000000"/>
          <w:sz w:val="22"/>
          <w:szCs w:val="22"/>
        </w:rPr>
        <w:t>dppukltd</w:t>
      </w:r>
      <w:r w:rsidRPr="00D1139F">
        <w:rPr>
          <w:rFonts w:ascii="Calibri" w:hAnsi="Calibri" w:cs="Calibri"/>
          <w:color w:val="000000"/>
          <w:sz w:val="22"/>
          <w:szCs w:val="22"/>
        </w:rPr>
        <w:t>. Available at: https://dppukltd.com/wp-content/uploads/2021/02/210222-r-jer9021-the-strand-swansea-desk-study.pdf [Accessed 13 Dec. 2022].</w:t>
      </w:r>
    </w:p>
    <w:p w14:paraId="4B640FD5" w14:textId="77777777" w:rsidR="00D1139F" w:rsidRDefault="00D1139F" w:rsidP="00D1139F">
      <w:pPr>
        <w:pStyle w:val="NormalWeb"/>
        <w:spacing w:before="0" w:beforeAutospacing="0" w:after="0" w:afterAutospacing="0" w:line="360" w:lineRule="atLeast"/>
        <w:rPr>
          <w:rFonts w:ascii="Calibri" w:hAnsi="Calibri" w:cs="Calibri"/>
          <w:color w:val="000000"/>
          <w:sz w:val="22"/>
          <w:szCs w:val="22"/>
        </w:rPr>
      </w:pPr>
    </w:p>
    <w:p w14:paraId="33474E45" w14:textId="59172E9D" w:rsidR="005718B9" w:rsidRDefault="005718B9" w:rsidP="00D1139F">
      <w:pPr>
        <w:pStyle w:val="NormalWeb"/>
        <w:spacing w:before="0" w:beforeAutospacing="0" w:after="0" w:afterAutospacing="0" w:line="360" w:lineRule="atLeast"/>
        <w:rPr>
          <w:rFonts w:ascii="Calibri" w:hAnsi="Calibri" w:cs="Calibri"/>
          <w:color w:val="000000"/>
          <w:sz w:val="22"/>
          <w:szCs w:val="22"/>
        </w:rPr>
      </w:pPr>
      <w:r w:rsidRPr="004E7E9B">
        <w:rPr>
          <w:rFonts w:ascii="Calibri" w:hAnsi="Calibri" w:cs="Calibri"/>
          <w:color w:val="000000"/>
          <w:sz w:val="22"/>
          <w:szCs w:val="22"/>
        </w:rPr>
        <w:t>UNESCO World Heritage Centre (2019). </w:t>
      </w:r>
      <w:r w:rsidRPr="004E7E9B">
        <w:rPr>
          <w:rFonts w:ascii="Calibri" w:hAnsi="Calibri" w:cs="Calibri"/>
          <w:i/>
          <w:iCs/>
          <w:color w:val="000000"/>
          <w:sz w:val="22"/>
          <w:szCs w:val="22"/>
        </w:rPr>
        <w:t>Convention Concerning the Protection of the World Cultural and Natural Heritage</w:t>
      </w:r>
      <w:r w:rsidRPr="004E7E9B">
        <w:rPr>
          <w:rFonts w:ascii="Calibri" w:hAnsi="Calibri" w:cs="Calibri"/>
          <w:color w:val="000000"/>
          <w:sz w:val="22"/>
          <w:szCs w:val="22"/>
        </w:rPr>
        <w:t xml:space="preserve">. [online] Unesco.org. Available at: </w:t>
      </w:r>
      <w:hyperlink r:id="rId14" w:history="1">
        <w:r w:rsidRPr="0041689C">
          <w:rPr>
            <w:rStyle w:val="Hyperlink"/>
            <w:rFonts w:ascii="Calibri" w:hAnsi="Calibri" w:cs="Calibri"/>
            <w:sz w:val="22"/>
            <w:szCs w:val="22"/>
          </w:rPr>
          <w:t>https://whc.unesco.org/en/conventiontext/</w:t>
        </w:r>
      </w:hyperlink>
      <w:r w:rsidRPr="004E7E9B">
        <w:rPr>
          <w:rFonts w:ascii="Calibri" w:hAnsi="Calibri" w:cs="Calibri"/>
          <w:color w:val="000000"/>
          <w:sz w:val="22"/>
          <w:szCs w:val="22"/>
        </w:rPr>
        <w:t>.</w:t>
      </w:r>
    </w:p>
    <w:p w14:paraId="7E7376C2" w14:textId="77777777" w:rsidR="005718B9" w:rsidRDefault="005718B9" w:rsidP="00D1139F">
      <w:pPr>
        <w:pStyle w:val="NormalWeb"/>
        <w:spacing w:before="0" w:beforeAutospacing="0" w:after="0" w:afterAutospacing="0" w:line="360" w:lineRule="atLeast"/>
        <w:rPr>
          <w:rFonts w:ascii="Calibri" w:hAnsi="Calibri" w:cs="Calibri"/>
          <w:color w:val="000000"/>
          <w:sz w:val="22"/>
          <w:szCs w:val="22"/>
        </w:rPr>
      </w:pPr>
    </w:p>
    <w:p w14:paraId="31A050F4" w14:textId="0C435E16" w:rsidR="003E3C5E" w:rsidRDefault="003E3C5E" w:rsidP="003E3C5E">
      <w:pPr>
        <w:pStyle w:val="NormalWeb"/>
        <w:spacing w:before="0" w:beforeAutospacing="0" w:after="0" w:afterAutospacing="0" w:line="360" w:lineRule="atLeast"/>
        <w:rPr>
          <w:rFonts w:ascii="Calibri" w:hAnsi="Calibri" w:cs="Calibri"/>
          <w:color w:val="000000"/>
          <w:sz w:val="22"/>
          <w:szCs w:val="22"/>
        </w:rPr>
      </w:pPr>
      <w:r w:rsidRPr="003E3C5E">
        <w:rPr>
          <w:rFonts w:ascii="Calibri" w:hAnsi="Calibri" w:cs="Calibri"/>
          <w:color w:val="000000"/>
          <w:sz w:val="22"/>
          <w:szCs w:val="22"/>
        </w:rPr>
        <w:t>University of Wales Trinity Saint David faces ‘financial uncertainties’. (2019). </w:t>
      </w:r>
      <w:r w:rsidRPr="003E3C5E">
        <w:rPr>
          <w:rFonts w:ascii="Calibri" w:hAnsi="Calibri" w:cs="Calibri"/>
          <w:i/>
          <w:iCs/>
          <w:color w:val="000000"/>
          <w:sz w:val="22"/>
          <w:szCs w:val="22"/>
        </w:rPr>
        <w:t>BBC News</w:t>
      </w:r>
      <w:r w:rsidRPr="003E3C5E">
        <w:rPr>
          <w:rFonts w:ascii="Calibri" w:hAnsi="Calibri" w:cs="Calibri"/>
          <w:color w:val="000000"/>
          <w:sz w:val="22"/>
          <w:szCs w:val="22"/>
        </w:rPr>
        <w:t>. [online] 14 Jun. Available at: https://www.bbc.co.uk/news/uk-wales-48609280 [Accessed 15 Dec. 2022].</w:t>
      </w:r>
    </w:p>
    <w:p w14:paraId="4FF6540C" w14:textId="77777777" w:rsidR="003E3C5E" w:rsidRPr="00D1139F" w:rsidRDefault="003E3C5E" w:rsidP="003E3C5E">
      <w:pPr>
        <w:pStyle w:val="NormalWeb"/>
        <w:spacing w:before="0" w:beforeAutospacing="0" w:after="0" w:afterAutospacing="0" w:line="360" w:lineRule="atLeast"/>
        <w:rPr>
          <w:rFonts w:ascii="Calibri" w:hAnsi="Calibri" w:cs="Calibri"/>
          <w:color w:val="000000"/>
          <w:sz w:val="22"/>
          <w:szCs w:val="22"/>
        </w:rPr>
      </w:pPr>
    </w:p>
    <w:p w14:paraId="149903F1" w14:textId="4D2332C0" w:rsidR="00C41D8B" w:rsidRDefault="00C41D8B" w:rsidP="004D72B0">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Welsh Government</w:t>
      </w:r>
      <w:r w:rsidRPr="00C41D8B">
        <w:rPr>
          <w:rFonts w:ascii="Calibri" w:hAnsi="Calibri" w:cs="Calibri"/>
          <w:color w:val="000000"/>
          <w:sz w:val="22"/>
          <w:szCs w:val="22"/>
        </w:rPr>
        <w:t>. (2012). </w:t>
      </w:r>
      <w:r w:rsidRPr="00C41D8B">
        <w:rPr>
          <w:rFonts w:ascii="Calibri" w:hAnsi="Calibri" w:cs="Calibri"/>
          <w:i/>
          <w:iCs/>
          <w:color w:val="000000"/>
          <w:sz w:val="22"/>
          <w:szCs w:val="22"/>
        </w:rPr>
        <w:t>Contaminated Land Statutory Guidance – 2012</w:t>
      </w:r>
      <w:r w:rsidRPr="00C41D8B">
        <w:rPr>
          <w:rFonts w:ascii="Calibri" w:hAnsi="Calibri" w:cs="Calibri"/>
          <w:color w:val="000000"/>
          <w:sz w:val="22"/>
          <w:szCs w:val="22"/>
        </w:rPr>
        <w:t>. [online] Gov.wales. Available at: https://gov.wales/sites/default/files/publications/2019-08/contaminated-land-statutory-guidance-2012.pdf [Accessed 12 Dec. 2022]. ISBN- 978 1 4734 0004 7.</w:t>
      </w:r>
    </w:p>
    <w:p w14:paraId="1BCB1EFA" w14:textId="77777777" w:rsidR="00C41D8B" w:rsidRPr="004D72B0" w:rsidRDefault="00C41D8B" w:rsidP="004D72B0">
      <w:pPr>
        <w:pStyle w:val="NormalWeb"/>
        <w:spacing w:before="0" w:beforeAutospacing="0" w:after="0" w:afterAutospacing="0" w:line="360" w:lineRule="atLeast"/>
        <w:rPr>
          <w:rFonts w:ascii="Calibri" w:hAnsi="Calibri" w:cs="Calibri"/>
          <w:color w:val="000000"/>
          <w:sz w:val="22"/>
          <w:szCs w:val="22"/>
        </w:rPr>
      </w:pPr>
    </w:p>
    <w:p w14:paraId="7CA14B65" w14:textId="234098DC" w:rsidR="00CA48E2" w:rsidRDefault="004D72B0" w:rsidP="000A05D7">
      <w:pPr>
        <w:pStyle w:val="NormalWeb"/>
        <w:spacing w:before="0" w:beforeAutospacing="0" w:after="0" w:afterAutospacing="0" w:line="360" w:lineRule="atLeast"/>
        <w:rPr>
          <w:rFonts w:ascii="Calibri" w:hAnsi="Calibri" w:cs="Calibri"/>
          <w:color w:val="000000"/>
          <w:sz w:val="22"/>
          <w:szCs w:val="22"/>
        </w:rPr>
      </w:pPr>
      <w:r w:rsidRPr="004D72B0">
        <w:rPr>
          <w:rFonts w:ascii="Calibri" w:hAnsi="Calibri" w:cs="Calibri"/>
          <w:color w:val="000000"/>
          <w:sz w:val="22"/>
          <w:szCs w:val="22"/>
        </w:rPr>
        <w:t>‌</w:t>
      </w:r>
      <w:r w:rsidR="00CA48E2" w:rsidRPr="00CA48E2">
        <w:rPr>
          <w:rFonts w:ascii="Calibri" w:hAnsi="Calibri" w:cs="Calibri"/>
          <w:color w:val="000000"/>
          <w:sz w:val="22"/>
          <w:szCs w:val="22"/>
        </w:rPr>
        <w:t xml:space="preserve"> www.swanseadocks.co.uk. (n.d.). </w:t>
      </w:r>
      <w:r w:rsidR="00CA48E2" w:rsidRPr="00CA48E2">
        <w:rPr>
          <w:rFonts w:ascii="Calibri" w:hAnsi="Calibri" w:cs="Calibri"/>
          <w:i/>
          <w:iCs/>
          <w:color w:val="000000"/>
          <w:sz w:val="22"/>
          <w:szCs w:val="22"/>
        </w:rPr>
        <w:t>Swansea and Port Talbot Docks Website</w:t>
      </w:r>
      <w:r w:rsidR="00CA48E2" w:rsidRPr="00CA48E2">
        <w:rPr>
          <w:rFonts w:ascii="Calibri" w:hAnsi="Calibri" w:cs="Calibri"/>
          <w:color w:val="000000"/>
          <w:sz w:val="22"/>
          <w:szCs w:val="22"/>
        </w:rPr>
        <w:t>. [online] Available at: http://www.swanseadocks.co.uk/docksnewsite/history.html [Accessed 12 Dec. 2022].</w:t>
      </w:r>
      <w:r w:rsidR="00CA48E2">
        <w:rPr>
          <w:rFonts w:ascii="Calibri" w:hAnsi="Calibri" w:cs="Calibri"/>
          <w:color w:val="000000"/>
          <w:sz w:val="22"/>
          <w:szCs w:val="22"/>
        </w:rPr>
        <w:t xml:space="preserve"> </w:t>
      </w:r>
    </w:p>
    <w:p w14:paraId="0B0CAED0" w14:textId="77777777" w:rsidR="000A05D7" w:rsidRDefault="000A05D7" w:rsidP="000A05D7">
      <w:pPr>
        <w:pStyle w:val="NormalWeb"/>
        <w:spacing w:before="0" w:beforeAutospacing="0" w:after="0" w:afterAutospacing="0" w:line="360" w:lineRule="atLeast"/>
        <w:rPr>
          <w:rFonts w:ascii="Calibri" w:hAnsi="Calibri" w:cs="Calibri"/>
          <w:color w:val="000000"/>
          <w:sz w:val="22"/>
          <w:szCs w:val="22"/>
        </w:rPr>
      </w:pPr>
    </w:p>
    <w:p w14:paraId="22DAE2F5" w14:textId="77777777" w:rsidR="004E7E9B" w:rsidRDefault="004E7E9B" w:rsidP="004E7E9B">
      <w:pPr>
        <w:pStyle w:val="NormalWeb"/>
        <w:spacing w:before="0" w:beforeAutospacing="0" w:after="0" w:afterAutospacing="0" w:line="360" w:lineRule="atLeast"/>
        <w:rPr>
          <w:rFonts w:ascii="Calibri" w:hAnsi="Calibri" w:cs="Calibri"/>
          <w:color w:val="000000"/>
          <w:sz w:val="22"/>
          <w:szCs w:val="22"/>
        </w:rPr>
      </w:pPr>
    </w:p>
    <w:p w14:paraId="2D6F02FD" w14:textId="77777777" w:rsidR="003A152D" w:rsidRDefault="003A152D">
      <w:pPr>
        <w:rPr>
          <w:b/>
          <w:bCs/>
          <w:sz w:val="24"/>
          <w:szCs w:val="24"/>
        </w:rPr>
      </w:pPr>
    </w:p>
    <w:p w14:paraId="52C6AFE2" w14:textId="06D62159" w:rsidR="00EB1070" w:rsidRPr="003A152D" w:rsidRDefault="000D62ED">
      <w:pPr>
        <w:rPr>
          <w:rFonts w:ascii="Calibri" w:eastAsia="Times New Roman" w:hAnsi="Calibri" w:cs="Calibri"/>
          <w:color w:val="000000"/>
          <w:sz w:val="24"/>
          <w:szCs w:val="24"/>
          <w:lang w:eastAsia="en-GB"/>
        </w:rPr>
      </w:pPr>
      <w:r>
        <w:rPr>
          <w:b/>
          <w:bCs/>
          <w:sz w:val="24"/>
          <w:szCs w:val="24"/>
        </w:rPr>
        <w:lastRenderedPageBreak/>
        <w:t>8</w:t>
      </w:r>
      <w:r w:rsidR="001F68E8" w:rsidRPr="003A152D">
        <w:rPr>
          <w:b/>
          <w:bCs/>
          <w:sz w:val="24"/>
          <w:szCs w:val="24"/>
        </w:rPr>
        <w:t xml:space="preserve">.0 </w:t>
      </w:r>
      <w:r w:rsidR="001F68E8" w:rsidRPr="003A152D">
        <w:rPr>
          <w:b/>
          <w:bCs/>
          <w:sz w:val="24"/>
          <w:szCs w:val="24"/>
          <w:u w:val="single"/>
        </w:rPr>
        <w:t>Bibliography</w:t>
      </w:r>
      <w:r w:rsidR="001F68E8" w:rsidRPr="003A152D">
        <w:rPr>
          <w:rFonts w:ascii="Calibri" w:eastAsia="Times New Roman" w:hAnsi="Calibri" w:cs="Calibri"/>
          <w:color w:val="000000"/>
          <w:sz w:val="24"/>
          <w:szCs w:val="24"/>
          <w:u w:val="single"/>
          <w:lang w:eastAsia="en-GB"/>
        </w:rPr>
        <w:t xml:space="preserve"> </w:t>
      </w:r>
    </w:p>
    <w:p w14:paraId="4437BB97" w14:textId="77777777" w:rsidR="001F68E8" w:rsidRPr="001F68E8" w:rsidRDefault="001F68E8" w:rsidP="001F68E8">
      <w:pPr>
        <w:pStyle w:val="NormalWeb"/>
        <w:spacing w:before="0" w:beforeAutospacing="0" w:after="0" w:afterAutospacing="0" w:line="360" w:lineRule="atLeast"/>
        <w:rPr>
          <w:rFonts w:ascii="Calibri" w:hAnsi="Calibri" w:cs="Calibri"/>
          <w:color w:val="000000"/>
          <w:sz w:val="22"/>
          <w:szCs w:val="22"/>
        </w:rPr>
      </w:pPr>
      <w:r w:rsidRPr="001F68E8">
        <w:rPr>
          <w:rFonts w:ascii="Calibri" w:hAnsi="Calibri" w:cs="Calibri"/>
          <w:color w:val="000000"/>
          <w:sz w:val="22"/>
          <w:szCs w:val="22"/>
        </w:rPr>
        <w:t>www.labc.co.uk. (n.d.). </w:t>
      </w:r>
      <w:r w:rsidRPr="001F68E8">
        <w:rPr>
          <w:rFonts w:ascii="Calibri" w:hAnsi="Calibri" w:cs="Calibri"/>
          <w:i/>
          <w:iCs/>
          <w:color w:val="000000"/>
          <w:sz w:val="22"/>
          <w:szCs w:val="22"/>
        </w:rPr>
        <w:t>Raft foundation basics | LABC</w:t>
      </w:r>
      <w:r w:rsidRPr="001F68E8">
        <w:rPr>
          <w:rFonts w:ascii="Calibri" w:hAnsi="Calibri" w:cs="Calibri"/>
          <w:color w:val="000000"/>
          <w:sz w:val="22"/>
          <w:szCs w:val="22"/>
        </w:rPr>
        <w:t>. [online] Available at: https://www.labc.co.uk/news/raft-foundation-basics#:~:text=A%20raft%20foundation%20is%20a.</w:t>
      </w:r>
    </w:p>
    <w:p w14:paraId="292463B4" w14:textId="77777777" w:rsidR="001F68E8" w:rsidRDefault="001F68E8" w:rsidP="001F68E8">
      <w:pPr>
        <w:pStyle w:val="NormalWeb"/>
        <w:rPr>
          <w:rFonts w:ascii="Calibri" w:hAnsi="Calibri" w:cs="Calibri"/>
          <w:color w:val="000000"/>
          <w:sz w:val="27"/>
          <w:szCs w:val="27"/>
        </w:rPr>
      </w:pPr>
      <w:r>
        <w:rPr>
          <w:rFonts w:ascii="Calibri" w:hAnsi="Calibri" w:cs="Calibri"/>
          <w:color w:val="000000"/>
          <w:sz w:val="27"/>
          <w:szCs w:val="27"/>
        </w:rPr>
        <w:t>‌</w:t>
      </w:r>
    </w:p>
    <w:p w14:paraId="28460A70" w14:textId="5F118167" w:rsidR="009B357A" w:rsidRPr="009B357A" w:rsidRDefault="009B357A" w:rsidP="009B357A">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Environment Agency</w:t>
      </w:r>
      <w:r w:rsidR="00562E4C">
        <w:rPr>
          <w:rFonts w:ascii="Calibri" w:hAnsi="Calibri" w:cs="Calibri"/>
          <w:color w:val="000000"/>
          <w:sz w:val="22"/>
          <w:szCs w:val="22"/>
        </w:rPr>
        <w:t xml:space="preserve"> (2022). </w:t>
      </w:r>
      <w:r w:rsidRPr="009B357A">
        <w:rPr>
          <w:rFonts w:ascii="Calibri" w:hAnsi="Calibri" w:cs="Calibri"/>
          <w:i/>
          <w:iCs/>
          <w:color w:val="000000"/>
          <w:sz w:val="22"/>
          <w:szCs w:val="22"/>
        </w:rPr>
        <w:t>Preparing a flood risk assessment: standing advice</w:t>
      </w:r>
      <w:r w:rsidRPr="009B357A">
        <w:rPr>
          <w:rFonts w:ascii="Calibri" w:hAnsi="Calibri" w:cs="Calibri"/>
          <w:color w:val="000000"/>
          <w:sz w:val="22"/>
          <w:szCs w:val="22"/>
        </w:rPr>
        <w:t>. [online] GOV.UK. Available at: https://www.gov.uk/guidance/flood-risk-assessment-standing-advice.</w:t>
      </w:r>
    </w:p>
    <w:p w14:paraId="220B291B" w14:textId="77777777" w:rsidR="009B357A" w:rsidRDefault="009B357A" w:rsidP="009B357A">
      <w:pPr>
        <w:pStyle w:val="NormalWeb"/>
        <w:rPr>
          <w:rFonts w:ascii="Calibri" w:hAnsi="Calibri" w:cs="Calibri"/>
          <w:color w:val="000000"/>
          <w:sz w:val="27"/>
          <w:szCs w:val="27"/>
        </w:rPr>
      </w:pPr>
      <w:r>
        <w:rPr>
          <w:rFonts w:ascii="Calibri" w:hAnsi="Calibri" w:cs="Calibri"/>
          <w:color w:val="000000"/>
          <w:sz w:val="27"/>
          <w:szCs w:val="27"/>
        </w:rPr>
        <w:t>‌</w:t>
      </w:r>
    </w:p>
    <w:p w14:paraId="6D4326E3" w14:textId="77777777" w:rsidR="001F68E8" w:rsidRPr="007F7EE4" w:rsidRDefault="001F68E8"/>
    <w:sectPr w:rsidR="001F68E8" w:rsidRPr="007F7EE4" w:rsidSect="007F7EE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5787F" w14:textId="77777777" w:rsidR="009A4D77" w:rsidRDefault="009A4D77" w:rsidP="003A152D">
      <w:pPr>
        <w:spacing w:after="0" w:line="240" w:lineRule="auto"/>
      </w:pPr>
      <w:r>
        <w:separator/>
      </w:r>
    </w:p>
  </w:endnote>
  <w:endnote w:type="continuationSeparator" w:id="0">
    <w:p w14:paraId="11265895" w14:textId="77777777" w:rsidR="009A4D77" w:rsidRDefault="009A4D77" w:rsidP="003A1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1029947"/>
      <w:docPartObj>
        <w:docPartGallery w:val="Page Numbers (Bottom of Page)"/>
        <w:docPartUnique/>
      </w:docPartObj>
    </w:sdtPr>
    <w:sdtContent>
      <w:p w14:paraId="6AC3B66A" w14:textId="548E4D96" w:rsidR="003A152D" w:rsidRDefault="003A152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79766FE" w14:textId="77777777" w:rsidR="003A152D" w:rsidRDefault="003A1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5193D" w14:textId="77777777" w:rsidR="009A4D77" w:rsidRDefault="009A4D77" w:rsidP="003A152D">
      <w:pPr>
        <w:spacing w:after="0" w:line="240" w:lineRule="auto"/>
      </w:pPr>
      <w:r>
        <w:separator/>
      </w:r>
    </w:p>
  </w:footnote>
  <w:footnote w:type="continuationSeparator" w:id="0">
    <w:p w14:paraId="05DAA2D6" w14:textId="77777777" w:rsidR="009A4D77" w:rsidRDefault="009A4D77" w:rsidP="003A15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E4"/>
    <w:rsid w:val="00001FCF"/>
    <w:rsid w:val="00006768"/>
    <w:rsid w:val="00007A9A"/>
    <w:rsid w:val="000105B5"/>
    <w:rsid w:val="00010861"/>
    <w:rsid w:val="0002589D"/>
    <w:rsid w:val="000364C9"/>
    <w:rsid w:val="000378A9"/>
    <w:rsid w:val="00040D6D"/>
    <w:rsid w:val="00064684"/>
    <w:rsid w:val="00073ADB"/>
    <w:rsid w:val="00074CA0"/>
    <w:rsid w:val="000752EF"/>
    <w:rsid w:val="000770BF"/>
    <w:rsid w:val="000900D6"/>
    <w:rsid w:val="000A05D7"/>
    <w:rsid w:val="000A47A7"/>
    <w:rsid w:val="000B2807"/>
    <w:rsid w:val="000C4F3B"/>
    <w:rsid w:val="000C678E"/>
    <w:rsid w:val="000C7829"/>
    <w:rsid w:val="000D33F2"/>
    <w:rsid w:val="000D62ED"/>
    <w:rsid w:val="000F19DE"/>
    <w:rsid w:val="001137AD"/>
    <w:rsid w:val="00131E09"/>
    <w:rsid w:val="0015190F"/>
    <w:rsid w:val="00156C01"/>
    <w:rsid w:val="00162839"/>
    <w:rsid w:val="0017128A"/>
    <w:rsid w:val="00173F86"/>
    <w:rsid w:val="00181174"/>
    <w:rsid w:val="00187781"/>
    <w:rsid w:val="00196F8F"/>
    <w:rsid w:val="001F68E8"/>
    <w:rsid w:val="0023198E"/>
    <w:rsid w:val="00232C23"/>
    <w:rsid w:val="0023451F"/>
    <w:rsid w:val="00256B69"/>
    <w:rsid w:val="00264435"/>
    <w:rsid w:val="00285DC9"/>
    <w:rsid w:val="00294807"/>
    <w:rsid w:val="00295DCB"/>
    <w:rsid w:val="00295E09"/>
    <w:rsid w:val="002A0BD0"/>
    <w:rsid w:val="002A7F50"/>
    <w:rsid w:val="002C1508"/>
    <w:rsid w:val="002E1065"/>
    <w:rsid w:val="002F3DD2"/>
    <w:rsid w:val="0030257D"/>
    <w:rsid w:val="003205B2"/>
    <w:rsid w:val="003341BA"/>
    <w:rsid w:val="003456C9"/>
    <w:rsid w:val="003869D3"/>
    <w:rsid w:val="003A03F5"/>
    <w:rsid w:val="003A152D"/>
    <w:rsid w:val="003A6BE3"/>
    <w:rsid w:val="003A6D90"/>
    <w:rsid w:val="003B09F3"/>
    <w:rsid w:val="003B3F9F"/>
    <w:rsid w:val="003C09E9"/>
    <w:rsid w:val="003C0E72"/>
    <w:rsid w:val="003C32FD"/>
    <w:rsid w:val="003D6263"/>
    <w:rsid w:val="003D66C2"/>
    <w:rsid w:val="003D7A6C"/>
    <w:rsid w:val="003E3B25"/>
    <w:rsid w:val="003E3C5E"/>
    <w:rsid w:val="00405992"/>
    <w:rsid w:val="0041793C"/>
    <w:rsid w:val="00424A06"/>
    <w:rsid w:val="00426BBE"/>
    <w:rsid w:val="00431E93"/>
    <w:rsid w:val="00434A03"/>
    <w:rsid w:val="00435B5A"/>
    <w:rsid w:val="00443A33"/>
    <w:rsid w:val="00444F78"/>
    <w:rsid w:val="00450DAF"/>
    <w:rsid w:val="00475321"/>
    <w:rsid w:val="004813F9"/>
    <w:rsid w:val="00487FE7"/>
    <w:rsid w:val="004B3B91"/>
    <w:rsid w:val="004C26B5"/>
    <w:rsid w:val="004C57DA"/>
    <w:rsid w:val="004D2AF2"/>
    <w:rsid w:val="004D72B0"/>
    <w:rsid w:val="004E7E9B"/>
    <w:rsid w:val="005006F6"/>
    <w:rsid w:val="00507546"/>
    <w:rsid w:val="00510048"/>
    <w:rsid w:val="00511153"/>
    <w:rsid w:val="005166C9"/>
    <w:rsid w:val="00522040"/>
    <w:rsid w:val="005302D2"/>
    <w:rsid w:val="0053564F"/>
    <w:rsid w:val="00537A6C"/>
    <w:rsid w:val="0054059D"/>
    <w:rsid w:val="0055210F"/>
    <w:rsid w:val="00562E4C"/>
    <w:rsid w:val="00566B14"/>
    <w:rsid w:val="005718B9"/>
    <w:rsid w:val="00591592"/>
    <w:rsid w:val="00591B6F"/>
    <w:rsid w:val="00591FFE"/>
    <w:rsid w:val="005956EC"/>
    <w:rsid w:val="00596BC2"/>
    <w:rsid w:val="005A2499"/>
    <w:rsid w:val="005B3B8A"/>
    <w:rsid w:val="005C62DB"/>
    <w:rsid w:val="005C6B8A"/>
    <w:rsid w:val="005D566C"/>
    <w:rsid w:val="005F3F3D"/>
    <w:rsid w:val="0060371D"/>
    <w:rsid w:val="0060776C"/>
    <w:rsid w:val="00622AD1"/>
    <w:rsid w:val="00627F7F"/>
    <w:rsid w:val="00630E74"/>
    <w:rsid w:val="0063181A"/>
    <w:rsid w:val="00634B41"/>
    <w:rsid w:val="00646205"/>
    <w:rsid w:val="00652714"/>
    <w:rsid w:val="006562F3"/>
    <w:rsid w:val="006653AD"/>
    <w:rsid w:val="0067409F"/>
    <w:rsid w:val="00674451"/>
    <w:rsid w:val="00674CA8"/>
    <w:rsid w:val="00680347"/>
    <w:rsid w:val="006806D5"/>
    <w:rsid w:val="00694F91"/>
    <w:rsid w:val="006D3D2F"/>
    <w:rsid w:val="006D4C49"/>
    <w:rsid w:val="006E0074"/>
    <w:rsid w:val="006E5DC2"/>
    <w:rsid w:val="006E680F"/>
    <w:rsid w:val="006F1D38"/>
    <w:rsid w:val="00712799"/>
    <w:rsid w:val="007151B3"/>
    <w:rsid w:val="00716654"/>
    <w:rsid w:val="0072228A"/>
    <w:rsid w:val="00724346"/>
    <w:rsid w:val="00734DCC"/>
    <w:rsid w:val="0075672B"/>
    <w:rsid w:val="00756800"/>
    <w:rsid w:val="0077023E"/>
    <w:rsid w:val="00777AE7"/>
    <w:rsid w:val="007829F5"/>
    <w:rsid w:val="0079380F"/>
    <w:rsid w:val="007B26EA"/>
    <w:rsid w:val="007C0524"/>
    <w:rsid w:val="007C1056"/>
    <w:rsid w:val="007C54F7"/>
    <w:rsid w:val="007E1D8C"/>
    <w:rsid w:val="007F3F5B"/>
    <w:rsid w:val="007F4212"/>
    <w:rsid w:val="007F7EE4"/>
    <w:rsid w:val="00804116"/>
    <w:rsid w:val="00821304"/>
    <w:rsid w:val="00826A53"/>
    <w:rsid w:val="00827E5A"/>
    <w:rsid w:val="00845EB8"/>
    <w:rsid w:val="00846943"/>
    <w:rsid w:val="008514BB"/>
    <w:rsid w:val="00853CB7"/>
    <w:rsid w:val="00854ACE"/>
    <w:rsid w:val="00864EB8"/>
    <w:rsid w:val="00867DAF"/>
    <w:rsid w:val="008A1BC7"/>
    <w:rsid w:val="008A2A17"/>
    <w:rsid w:val="008B01E7"/>
    <w:rsid w:val="008B6B91"/>
    <w:rsid w:val="008C6344"/>
    <w:rsid w:val="008D6DA8"/>
    <w:rsid w:val="008F1FA3"/>
    <w:rsid w:val="00903D82"/>
    <w:rsid w:val="0092233B"/>
    <w:rsid w:val="00924AC0"/>
    <w:rsid w:val="009275D0"/>
    <w:rsid w:val="009307EA"/>
    <w:rsid w:val="009438DC"/>
    <w:rsid w:val="009561E2"/>
    <w:rsid w:val="009705A2"/>
    <w:rsid w:val="00980BF9"/>
    <w:rsid w:val="009A4D77"/>
    <w:rsid w:val="009B357A"/>
    <w:rsid w:val="009C3CA1"/>
    <w:rsid w:val="009C4D71"/>
    <w:rsid w:val="009C55DE"/>
    <w:rsid w:val="009C6ED5"/>
    <w:rsid w:val="009D29F0"/>
    <w:rsid w:val="009F21C9"/>
    <w:rsid w:val="009F2E7E"/>
    <w:rsid w:val="00A111E6"/>
    <w:rsid w:val="00A12A8C"/>
    <w:rsid w:val="00A4215D"/>
    <w:rsid w:val="00A42325"/>
    <w:rsid w:val="00A576A0"/>
    <w:rsid w:val="00A65D59"/>
    <w:rsid w:val="00A73118"/>
    <w:rsid w:val="00A8306A"/>
    <w:rsid w:val="00A93423"/>
    <w:rsid w:val="00A93771"/>
    <w:rsid w:val="00A9433C"/>
    <w:rsid w:val="00A949DE"/>
    <w:rsid w:val="00A97919"/>
    <w:rsid w:val="00AA550E"/>
    <w:rsid w:val="00AA6955"/>
    <w:rsid w:val="00AC2930"/>
    <w:rsid w:val="00AD7216"/>
    <w:rsid w:val="00AF19C6"/>
    <w:rsid w:val="00AF3816"/>
    <w:rsid w:val="00B044C9"/>
    <w:rsid w:val="00B13D43"/>
    <w:rsid w:val="00B229D4"/>
    <w:rsid w:val="00B31673"/>
    <w:rsid w:val="00B33F24"/>
    <w:rsid w:val="00B35450"/>
    <w:rsid w:val="00B43767"/>
    <w:rsid w:val="00B7605F"/>
    <w:rsid w:val="00B76B1B"/>
    <w:rsid w:val="00B816CD"/>
    <w:rsid w:val="00B83F5C"/>
    <w:rsid w:val="00B843F4"/>
    <w:rsid w:val="00B84F40"/>
    <w:rsid w:val="00BA049C"/>
    <w:rsid w:val="00BA56B4"/>
    <w:rsid w:val="00BA6825"/>
    <w:rsid w:val="00BA687C"/>
    <w:rsid w:val="00BB035F"/>
    <w:rsid w:val="00BC0D74"/>
    <w:rsid w:val="00BC7BC0"/>
    <w:rsid w:val="00BD0F7B"/>
    <w:rsid w:val="00BD63E2"/>
    <w:rsid w:val="00C00A5C"/>
    <w:rsid w:val="00C0414D"/>
    <w:rsid w:val="00C07009"/>
    <w:rsid w:val="00C12978"/>
    <w:rsid w:val="00C306F2"/>
    <w:rsid w:val="00C408EA"/>
    <w:rsid w:val="00C41D1B"/>
    <w:rsid w:val="00C41D8B"/>
    <w:rsid w:val="00C462AB"/>
    <w:rsid w:val="00C73921"/>
    <w:rsid w:val="00C74C4F"/>
    <w:rsid w:val="00C90A21"/>
    <w:rsid w:val="00C916AB"/>
    <w:rsid w:val="00C93B8A"/>
    <w:rsid w:val="00C93C03"/>
    <w:rsid w:val="00C97AD8"/>
    <w:rsid w:val="00CA3CFB"/>
    <w:rsid w:val="00CA48E2"/>
    <w:rsid w:val="00CB49B1"/>
    <w:rsid w:val="00D01A5D"/>
    <w:rsid w:val="00D10725"/>
    <w:rsid w:val="00D1139F"/>
    <w:rsid w:val="00D13D40"/>
    <w:rsid w:val="00D179D7"/>
    <w:rsid w:val="00D23487"/>
    <w:rsid w:val="00D32177"/>
    <w:rsid w:val="00D337DD"/>
    <w:rsid w:val="00D50FA1"/>
    <w:rsid w:val="00D52F03"/>
    <w:rsid w:val="00D5475A"/>
    <w:rsid w:val="00D61012"/>
    <w:rsid w:val="00D81D41"/>
    <w:rsid w:val="00D86941"/>
    <w:rsid w:val="00D957DB"/>
    <w:rsid w:val="00DA0374"/>
    <w:rsid w:val="00DB0C0D"/>
    <w:rsid w:val="00DD4872"/>
    <w:rsid w:val="00DE1D7B"/>
    <w:rsid w:val="00DF39B5"/>
    <w:rsid w:val="00DF7AAE"/>
    <w:rsid w:val="00E14AD7"/>
    <w:rsid w:val="00E24DFF"/>
    <w:rsid w:val="00E2679A"/>
    <w:rsid w:val="00E36567"/>
    <w:rsid w:val="00E43950"/>
    <w:rsid w:val="00E516D4"/>
    <w:rsid w:val="00E5390F"/>
    <w:rsid w:val="00E80F33"/>
    <w:rsid w:val="00E8657E"/>
    <w:rsid w:val="00EB1070"/>
    <w:rsid w:val="00EB2F81"/>
    <w:rsid w:val="00EC63D1"/>
    <w:rsid w:val="00EE568D"/>
    <w:rsid w:val="00F06759"/>
    <w:rsid w:val="00F13803"/>
    <w:rsid w:val="00F15770"/>
    <w:rsid w:val="00F1669E"/>
    <w:rsid w:val="00F219B2"/>
    <w:rsid w:val="00F26E4A"/>
    <w:rsid w:val="00F41029"/>
    <w:rsid w:val="00F53DC7"/>
    <w:rsid w:val="00F73ADF"/>
    <w:rsid w:val="00F7573F"/>
    <w:rsid w:val="00F77CAD"/>
    <w:rsid w:val="00FA05A2"/>
    <w:rsid w:val="00FB00E0"/>
    <w:rsid w:val="00FB1CEF"/>
    <w:rsid w:val="00FD06BE"/>
    <w:rsid w:val="00FD49B7"/>
    <w:rsid w:val="00FF1780"/>
    <w:rsid w:val="00FF20F7"/>
    <w:rsid w:val="00FF3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62E62"/>
  <w15:chartTrackingRefBased/>
  <w15:docId w15:val="{1F542D6F-7DE6-4DB9-8931-F5A041632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10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D06BE"/>
    <w:rPr>
      <w:color w:val="0563C1" w:themeColor="hyperlink"/>
      <w:u w:val="single"/>
    </w:rPr>
  </w:style>
  <w:style w:type="character" w:styleId="UnresolvedMention">
    <w:name w:val="Unresolved Mention"/>
    <w:basedOn w:val="DefaultParagraphFont"/>
    <w:uiPriority w:val="99"/>
    <w:semiHidden/>
    <w:unhideWhenUsed/>
    <w:rsid w:val="00FD06BE"/>
    <w:rPr>
      <w:color w:val="605E5C"/>
      <w:shd w:val="clear" w:color="auto" w:fill="E1DFDD"/>
    </w:rPr>
  </w:style>
  <w:style w:type="paragraph" w:styleId="Header">
    <w:name w:val="header"/>
    <w:basedOn w:val="Normal"/>
    <w:link w:val="HeaderChar"/>
    <w:uiPriority w:val="99"/>
    <w:unhideWhenUsed/>
    <w:rsid w:val="003A1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52D"/>
  </w:style>
  <w:style w:type="paragraph" w:styleId="Footer">
    <w:name w:val="footer"/>
    <w:basedOn w:val="Normal"/>
    <w:link w:val="FooterChar"/>
    <w:uiPriority w:val="99"/>
    <w:unhideWhenUsed/>
    <w:rsid w:val="003A1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8237">
      <w:bodyDiv w:val="1"/>
      <w:marLeft w:val="0"/>
      <w:marRight w:val="0"/>
      <w:marTop w:val="0"/>
      <w:marBottom w:val="0"/>
      <w:divBdr>
        <w:top w:val="none" w:sz="0" w:space="0" w:color="auto"/>
        <w:left w:val="none" w:sz="0" w:space="0" w:color="auto"/>
        <w:bottom w:val="none" w:sz="0" w:space="0" w:color="auto"/>
        <w:right w:val="none" w:sz="0" w:space="0" w:color="auto"/>
      </w:divBdr>
    </w:div>
    <w:div w:id="427773071">
      <w:bodyDiv w:val="1"/>
      <w:marLeft w:val="0"/>
      <w:marRight w:val="0"/>
      <w:marTop w:val="0"/>
      <w:marBottom w:val="0"/>
      <w:divBdr>
        <w:top w:val="none" w:sz="0" w:space="0" w:color="auto"/>
        <w:left w:val="none" w:sz="0" w:space="0" w:color="auto"/>
        <w:bottom w:val="none" w:sz="0" w:space="0" w:color="auto"/>
        <w:right w:val="none" w:sz="0" w:space="0" w:color="auto"/>
      </w:divBdr>
    </w:div>
    <w:div w:id="678042700">
      <w:bodyDiv w:val="1"/>
      <w:marLeft w:val="0"/>
      <w:marRight w:val="0"/>
      <w:marTop w:val="0"/>
      <w:marBottom w:val="0"/>
      <w:divBdr>
        <w:top w:val="none" w:sz="0" w:space="0" w:color="auto"/>
        <w:left w:val="none" w:sz="0" w:space="0" w:color="auto"/>
        <w:bottom w:val="none" w:sz="0" w:space="0" w:color="auto"/>
        <w:right w:val="none" w:sz="0" w:space="0" w:color="auto"/>
      </w:divBdr>
    </w:div>
    <w:div w:id="850728237">
      <w:bodyDiv w:val="1"/>
      <w:marLeft w:val="0"/>
      <w:marRight w:val="0"/>
      <w:marTop w:val="0"/>
      <w:marBottom w:val="0"/>
      <w:divBdr>
        <w:top w:val="none" w:sz="0" w:space="0" w:color="auto"/>
        <w:left w:val="none" w:sz="0" w:space="0" w:color="auto"/>
        <w:bottom w:val="none" w:sz="0" w:space="0" w:color="auto"/>
        <w:right w:val="none" w:sz="0" w:space="0" w:color="auto"/>
      </w:divBdr>
    </w:div>
    <w:div w:id="985354557">
      <w:bodyDiv w:val="1"/>
      <w:marLeft w:val="0"/>
      <w:marRight w:val="0"/>
      <w:marTop w:val="0"/>
      <w:marBottom w:val="0"/>
      <w:divBdr>
        <w:top w:val="none" w:sz="0" w:space="0" w:color="auto"/>
        <w:left w:val="none" w:sz="0" w:space="0" w:color="auto"/>
        <w:bottom w:val="none" w:sz="0" w:space="0" w:color="auto"/>
        <w:right w:val="none" w:sz="0" w:space="0" w:color="auto"/>
      </w:divBdr>
    </w:div>
    <w:div w:id="986057152">
      <w:bodyDiv w:val="1"/>
      <w:marLeft w:val="0"/>
      <w:marRight w:val="0"/>
      <w:marTop w:val="0"/>
      <w:marBottom w:val="0"/>
      <w:divBdr>
        <w:top w:val="none" w:sz="0" w:space="0" w:color="auto"/>
        <w:left w:val="none" w:sz="0" w:space="0" w:color="auto"/>
        <w:bottom w:val="none" w:sz="0" w:space="0" w:color="auto"/>
        <w:right w:val="none" w:sz="0" w:space="0" w:color="auto"/>
      </w:divBdr>
    </w:div>
    <w:div w:id="1244292890">
      <w:bodyDiv w:val="1"/>
      <w:marLeft w:val="0"/>
      <w:marRight w:val="0"/>
      <w:marTop w:val="0"/>
      <w:marBottom w:val="0"/>
      <w:divBdr>
        <w:top w:val="none" w:sz="0" w:space="0" w:color="auto"/>
        <w:left w:val="none" w:sz="0" w:space="0" w:color="auto"/>
        <w:bottom w:val="none" w:sz="0" w:space="0" w:color="auto"/>
        <w:right w:val="none" w:sz="0" w:space="0" w:color="auto"/>
      </w:divBdr>
    </w:div>
    <w:div w:id="1273711823">
      <w:bodyDiv w:val="1"/>
      <w:marLeft w:val="0"/>
      <w:marRight w:val="0"/>
      <w:marTop w:val="0"/>
      <w:marBottom w:val="0"/>
      <w:divBdr>
        <w:top w:val="none" w:sz="0" w:space="0" w:color="auto"/>
        <w:left w:val="none" w:sz="0" w:space="0" w:color="auto"/>
        <w:bottom w:val="none" w:sz="0" w:space="0" w:color="auto"/>
        <w:right w:val="none" w:sz="0" w:space="0" w:color="auto"/>
      </w:divBdr>
    </w:div>
    <w:div w:id="1275213015">
      <w:bodyDiv w:val="1"/>
      <w:marLeft w:val="0"/>
      <w:marRight w:val="0"/>
      <w:marTop w:val="0"/>
      <w:marBottom w:val="0"/>
      <w:divBdr>
        <w:top w:val="none" w:sz="0" w:space="0" w:color="auto"/>
        <w:left w:val="none" w:sz="0" w:space="0" w:color="auto"/>
        <w:bottom w:val="none" w:sz="0" w:space="0" w:color="auto"/>
        <w:right w:val="none" w:sz="0" w:space="0" w:color="auto"/>
      </w:divBdr>
    </w:div>
    <w:div w:id="1402020088">
      <w:bodyDiv w:val="1"/>
      <w:marLeft w:val="0"/>
      <w:marRight w:val="0"/>
      <w:marTop w:val="0"/>
      <w:marBottom w:val="0"/>
      <w:divBdr>
        <w:top w:val="none" w:sz="0" w:space="0" w:color="auto"/>
        <w:left w:val="none" w:sz="0" w:space="0" w:color="auto"/>
        <w:bottom w:val="none" w:sz="0" w:space="0" w:color="auto"/>
        <w:right w:val="none" w:sz="0" w:space="0" w:color="auto"/>
      </w:divBdr>
    </w:div>
    <w:div w:id="1898393466">
      <w:bodyDiv w:val="1"/>
      <w:marLeft w:val="0"/>
      <w:marRight w:val="0"/>
      <w:marTop w:val="0"/>
      <w:marBottom w:val="0"/>
      <w:divBdr>
        <w:top w:val="none" w:sz="0" w:space="0" w:color="auto"/>
        <w:left w:val="none" w:sz="0" w:space="0" w:color="auto"/>
        <w:bottom w:val="none" w:sz="0" w:space="0" w:color="auto"/>
        <w:right w:val="none" w:sz="0" w:space="0" w:color="auto"/>
      </w:divBdr>
    </w:div>
    <w:div w:id="1968848230">
      <w:bodyDiv w:val="1"/>
      <w:marLeft w:val="0"/>
      <w:marRight w:val="0"/>
      <w:marTop w:val="0"/>
      <w:marBottom w:val="0"/>
      <w:divBdr>
        <w:top w:val="none" w:sz="0" w:space="0" w:color="auto"/>
        <w:left w:val="none" w:sz="0" w:space="0" w:color="auto"/>
        <w:bottom w:val="none" w:sz="0" w:space="0" w:color="auto"/>
        <w:right w:val="none" w:sz="0" w:space="0" w:color="auto"/>
      </w:divBdr>
    </w:div>
    <w:div w:id="2138600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hc.unesco.org/en/conventio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513</TotalTime>
  <Pages>10</Pages>
  <Words>2318</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Black</dc:creator>
  <cp:keywords/>
  <dc:description/>
  <cp:lastModifiedBy>Eleanor Black</cp:lastModifiedBy>
  <cp:revision>297</cp:revision>
  <dcterms:created xsi:type="dcterms:W3CDTF">2022-12-11T14:29:00Z</dcterms:created>
  <dcterms:modified xsi:type="dcterms:W3CDTF">2022-12-15T16:17:00Z</dcterms:modified>
</cp:coreProperties>
</file>