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A6F3DB" w14:textId="388A5046" w:rsidR="001E3925" w:rsidRPr="008D640F" w:rsidRDefault="008D640F" w:rsidP="00160F00">
      <w:pPr>
        <w:spacing w:line="600" w:lineRule="auto"/>
        <w:jc w:val="center"/>
        <w:rPr>
          <w:rFonts w:ascii="Arial" w:hAnsi="Arial" w:cs="Arial"/>
          <w:b/>
          <w:bCs/>
          <w:sz w:val="36"/>
          <w:szCs w:val="36"/>
        </w:rPr>
      </w:pPr>
      <w:r w:rsidRPr="008D640F">
        <w:rPr>
          <w:rFonts w:ascii="Arial" w:hAnsi="Arial" w:cs="Arial"/>
          <w:b/>
          <w:bCs/>
          <w:sz w:val="36"/>
          <w:szCs w:val="36"/>
        </w:rPr>
        <w:t>Module Title:</w:t>
      </w:r>
      <w:r w:rsidRPr="00F23CA5">
        <w:rPr>
          <w:rFonts w:ascii="Arial" w:hAnsi="Arial" w:cs="Arial"/>
          <w:b/>
          <w:bCs/>
          <w:sz w:val="36"/>
          <w:szCs w:val="36"/>
        </w:rPr>
        <w:t xml:space="preserve"> Introduction to Health and Social Care</w:t>
      </w:r>
      <w:r w:rsidRPr="008D640F">
        <w:rPr>
          <w:rFonts w:ascii="Arial" w:hAnsi="Arial" w:cs="Arial"/>
          <w:b/>
          <w:bCs/>
          <w:sz w:val="36"/>
          <w:szCs w:val="36"/>
        </w:rPr>
        <w:t xml:space="preserve"> </w:t>
      </w:r>
      <w:r w:rsidR="00F23CA5" w:rsidRPr="00F23CA5">
        <w:rPr>
          <w:rFonts w:ascii="Arial" w:hAnsi="Arial" w:cs="Arial"/>
          <w:b/>
          <w:bCs/>
          <w:sz w:val="36"/>
          <w:szCs w:val="36"/>
        </w:rPr>
        <w:t>Module</w:t>
      </w:r>
      <w:r w:rsidR="00E82559" w:rsidRPr="008D640F">
        <w:rPr>
          <w:rFonts w:ascii="Arial" w:hAnsi="Arial" w:cs="Arial"/>
          <w:b/>
          <w:bCs/>
          <w:sz w:val="36"/>
          <w:szCs w:val="36"/>
        </w:rPr>
        <w:t xml:space="preserve"> </w:t>
      </w:r>
      <w:r w:rsidR="001E3925" w:rsidRPr="008D640F">
        <w:rPr>
          <w:rFonts w:ascii="Arial" w:hAnsi="Arial" w:cs="Arial"/>
          <w:b/>
          <w:bCs/>
          <w:sz w:val="36"/>
          <w:szCs w:val="36"/>
        </w:rPr>
        <w:t>Code</w:t>
      </w:r>
      <w:r w:rsidR="00F23CA5" w:rsidRPr="00F23CA5">
        <w:rPr>
          <w:rFonts w:ascii="Arial" w:hAnsi="Arial" w:cs="Arial"/>
          <w:b/>
          <w:bCs/>
          <w:sz w:val="36"/>
          <w:szCs w:val="36"/>
        </w:rPr>
        <w:t>: LCHS4003</w:t>
      </w:r>
    </w:p>
    <w:p w14:paraId="1736EA29" w14:textId="59DB3AAA" w:rsidR="00F23CA5" w:rsidRPr="00F23CA5" w:rsidRDefault="00F23CA5" w:rsidP="00160F00">
      <w:pPr>
        <w:spacing w:line="600" w:lineRule="auto"/>
        <w:jc w:val="center"/>
        <w:rPr>
          <w:rFonts w:ascii="Arial" w:hAnsi="Arial" w:cs="Arial"/>
          <w:b/>
          <w:bCs/>
          <w:sz w:val="36"/>
          <w:szCs w:val="36"/>
        </w:rPr>
      </w:pPr>
      <w:r w:rsidRPr="00F23CA5">
        <w:rPr>
          <w:rFonts w:ascii="Arial" w:hAnsi="Arial" w:cs="Arial"/>
          <w:b/>
          <w:bCs/>
          <w:sz w:val="36"/>
          <w:szCs w:val="36"/>
        </w:rPr>
        <w:t xml:space="preserve">Assignment Title: </w:t>
      </w:r>
      <w:r w:rsidR="008D640F">
        <w:rPr>
          <w:rFonts w:ascii="Arial" w:hAnsi="Arial" w:cs="Arial"/>
          <w:b/>
          <w:bCs/>
          <w:sz w:val="36"/>
          <w:szCs w:val="36"/>
        </w:rPr>
        <w:t xml:space="preserve">Written </w:t>
      </w:r>
      <w:r w:rsidR="00160F00">
        <w:rPr>
          <w:rFonts w:ascii="Arial" w:hAnsi="Arial" w:cs="Arial"/>
          <w:b/>
          <w:bCs/>
          <w:sz w:val="36"/>
          <w:szCs w:val="36"/>
        </w:rPr>
        <w:t>Assignment</w:t>
      </w:r>
      <w:r w:rsidRPr="00F23CA5">
        <w:rPr>
          <w:rFonts w:ascii="Arial" w:hAnsi="Arial" w:cs="Arial"/>
          <w:b/>
          <w:bCs/>
          <w:sz w:val="36"/>
          <w:szCs w:val="36"/>
        </w:rPr>
        <w:br/>
        <w:t xml:space="preserve">Student Name: </w:t>
      </w:r>
      <w:r w:rsidRPr="008D640F">
        <w:rPr>
          <w:rFonts w:ascii="Arial" w:hAnsi="Arial" w:cs="Arial"/>
          <w:b/>
          <w:bCs/>
          <w:sz w:val="36"/>
          <w:szCs w:val="36"/>
        </w:rPr>
        <w:t xml:space="preserve">Maymunah Akhtar </w:t>
      </w:r>
      <w:r w:rsidRPr="00F23CA5">
        <w:rPr>
          <w:rFonts w:ascii="Arial" w:hAnsi="Arial" w:cs="Arial"/>
          <w:b/>
          <w:bCs/>
          <w:sz w:val="36"/>
          <w:szCs w:val="36"/>
        </w:rPr>
        <w:br/>
        <w:t xml:space="preserve">Student Number: </w:t>
      </w:r>
      <w:r w:rsidR="0093595C">
        <w:rPr>
          <w:rFonts w:ascii="Arial" w:hAnsi="Arial" w:cs="Arial"/>
          <w:b/>
          <w:bCs/>
          <w:sz w:val="36"/>
          <w:szCs w:val="36"/>
        </w:rPr>
        <w:t>2433</w:t>
      </w:r>
      <w:r w:rsidR="007657B5">
        <w:rPr>
          <w:rFonts w:ascii="Arial" w:hAnsi="Arial" w:cs="Arial"/>
          <w:b/>
          <w:bCs/>
          <w:sz w:val="36"/>
          <w:szCs w:val="36"/>
        </w:rPr>
        <w:t>756</w:t>
      </w:r>
      <w:r w:rsidRPr="00F23CA5">
        <w:rPr>
          <w:rFonts w:ascii="Arial" w:hAnsi="Arial" w:cs="Arial"/>
          <w:b/>
          <w:bCs/>
          <w:sz w:val="36"/>
          <w:szCs w:val="36"/>
        </w:rPr>
        <w:br/>
      </w:r>
      <w:r w:rsidRPr="00F23CA5">
        <w:rPr>
          <w:rFonts w:ascii="Arial" w:hAnsi="Arial" w:cs="Arial"/>
          <w:b/>
          <w:bCs/>
          <w:sz w:val="36"/>
          <w:szCs w:val="36"/>
        </w:rPr>
        <w:lastRenderedPageBreak/>
        <w:t>Lecturer</w:t>
      </w:r>
      <w:r w:rsidR="00160F00">
        <w:rPr>
          <w:rFonts w:ascii="Arial" w:hAnsi="Arial" w:cs="Arial"/>
          <w:b/>
          <w:bCs/>
          <w:sz w:val="36"/>
          <w:szCs w:val="36"/>
        </w:rPr>
        <w:t>’s Name</w:t>
      </w:r>
      <w:r w:rsidRPr="00F23CA5">
        <w:rPr>
          <w:rFonts w:ascii="Arial" w:hAnsi="Arial" w:cs="Arial"/>
          <w:b/>
          <w:bCs/>
          <w:sz w:val="36"/>
          <w:szCs w:val="36"/>
        </w:rPr>
        <w:t xml:space="preserve">: </w:t>
      </w:r>
      <w:r w:rsidRPr="008D640F">
        <w:rPr>
          <w:rFonts w:ascii="Arial" w:hAnsi="Arial" w:cs="Arial"/>
          <w:b/>
          <w:bCs/>
          <w:sz w:val="36"/>
          <w:szCs w:val="36"/>
        </w:rPr>
        <w:t xml:space="preserve">Mumtaz </w:t>
      </w:r>
      <w:r w:rsidR="006E0437" w:rsidRPr="008D640F">
        <w:rPr>
          <w:rFonts w:ascii="Arial" w:hAnsi="Arial" w:cs="Arial"/>
          <w:b/>
          <w:bCs/>
          <w:sz w:val="36"/>
          <w:szCs w:val="36"/>
        </w:rPr>
        <w:t>Begum</w:t>
      </w:r>
      <w:r w:rsidRPr="00F23CA5">
        <w:rPr>
          <w:rFonts w:ascii="Arial" w:hAnsi="Arial" w:cs="Arial"/>
          <w:b/>
          <w:bCs/>
          <w:sz w:val="36"/>
          <w:szCs w:val="36"/>
        </w:rPr>
        <w:br/>
        <w:t xml:space="preserve">Submission Date: </w:t>
      </w:r>
      <w:r w:rsidR="006E0437" w:rsidRPr="008D640F">
        <w:rPr>
          <w:rFonts w:ascii="Arial" w:hAnsi="Arial" w:cs="Arial"/>
          <w:b/>
          <w:bCs/>
          <w:sz w:val="36"/>
          <w:szCs w:val="36"/>
        </w:rPr>
        <w:t>21/11/25</w:t>
      </w:r>
    </w:p>
    <w:p w14:paraId="30C1D7F9" w14:textId="5E29D890" w:rsidR="00F23CA5" w:rsidRPr="00F23CA5" w:rsidRDefault="00F23CA5" w:rsidP="00B1751F">
      <w:pPr>
        <w:spacing w:line="720" w:lineRule="auto"/>
        <w:jc w:val="center"/>
        <w:rPr>
          <w:rFonts w:ascii="Arial" w:hAnsi="Arial" w:cs="Arial"/>
          <w:b/>
          <w:bCs/>
          <w:sz w:val="36"/>
          <w:szCs w:val="36"/>
        </w:rPr>
      </w:pPr>
    </w:p>
    <w:p w14:paraId="12574882" w14:textId="77777777" w:rsidR="00F23CA5" w:rsidRPr="008D640F" w:rsidRDefault="00F23CA5" w:rsidP="00B1751F">
      <w:pPr>
        <w:spacing w:line="720" w:lineRule="auto"/>
        <w:jc w:val="center"/>
        <w:rPr>
          <w:rFonts w:ascii="Arial" w:hAnsi="Arial" w:cs="Arial"/>
          <w:b/>
          <w:bCs/>
          <w:sz w:val="36"/>
          <w:szCs w:val="36"/>
        </w:rPr>
      </w:pPr>
    </w:p>
    <w:p w14:paraId="4F38DC93" w14:textId="77777777" w:rsidR="00F23CA5" w:rsidRPr="008D640F" w:rsidRDefault="00F23CA5" w:rsidP="00B1751F">
      <w:pPr>
        <w:spacing w:line="720" w:lineRule="auto"/>
        <w:jc w:val="center"/>
        <w:rPr>
          <w:rFonts w:ascii="Arial" w:hAnsi="Arial" w:cs="Arial"/>
          <w:b/>
          <w:bCs/>
          <w:sz w:val="36"/>
          <w:szCs w:val="36"/>
        </w:rPr>
      </w:pPr>
    </w:p>
    <w:p w14:paraId="766C52DD" w14:textId="77777777" w:rsidR="00F23CA5" w:rsidRPr="008D640F" w:rsidRDefault="00F23CA5" w:rsidP="00B1751F">
      <w:pPr>
        <w:spacing w:line="720" w:lineRule="auto"/>
        <w:jc w:val="center"/>
        <w:rPr>
          <w:rFonts w:ascii="Arial" w:hAnsi="Arial" w:cs="Arial"/>
          <w:b/>
          <w:bCs/>
          <w:sz w:val="36"/>
          <w:szCs w:val="36"/>
        </w:rPr>
      </w:pPr>
    </w:p>
    <w:p w14:paraId="3F98308A" w14:textId="77777777" w:rsidR="00182DA0" w:rsidRDefault="00182DA0" w:rsidP="00A25C7B">
      <w:pPr>
        <w:rPr>
          <w:rFonts w:ascii="Arial" w:hAnsi="Arial" w:cs="Arial"/>
          <w:b/>
          <w:bCs/>
          <w:sz w:val="36"/>
          <w:szCs w:val="36"/>
        </w:rPr>
      </w:pPr>
    </w:p>
    <w:p w14:paraId="174E8EFD" w14:textId="77777777" w:rsidR="00160F00" w:rsidRDefault="00160F00" w:rsidP="00160F00">
      <w:pPr>
        <w:spacing w:line="600" w:lineRule="auto"/>
        <w:rPr>
          <w:rFonts w:ascii="Arial" w:hAnsi="Arial" w:cs="Arial"/>
          <w:b/>
          <w:bCs/>
          <w:sz w:val="23"/>
          <w:szCs w:val="23"/>
        </w:rPr>
      </w:pPr>
    </w:p>
    <w:p w14:paraId="64603161" w14:textId="172BF4AE" w:rsidR="0047334E" w:rsidRDefault="0047334E" w:rsidP="00160F00">
      <w:pPr>
        <w:spacing w:line="600" w:lineRule="auto"/>
        <w:rPr>
          <w:rFonts w:ascii="Arial" w:hAnsi="Arial" w:cs="Arial"/>
          <w:b/>
          <w:bCs/>
          <w:sz w:val="23"/>
          <w:szCs w:val="23"/>
        </w:rPr>
      </w:pPr>
      <w:r>
        <w:rPr>
          <w:rFonts w:ascii="Arial" w:hAnsi="Arial" w:cs="Arial"/>
          <w:b/>
          <w:bCs/>
          <w:sz w:val="23"/>
          <w:szCs w:val="23"/>
        </w:rPr>
        <w:t>Content</w:t>
      </w:r>
      <w:r w:rsidR="00B82627">
        <w:rPr>
          <w:rFonts w:ascii="Arial" w:hAnsi="Arial" w:cs="Arial"/>
          <w:b/>
          <w:bCs/>
          <w:sz w:val="23"/>
          <w:szCs w:val="23"/>
        </w:rPr>
        <w:t>s</w:t>
      </w:r>
    </w:p>
    <w:p w14:paraId="6A395441" w14:textId="60A9B647" w:rsidR="00B82627" w:rsidRDefault="00B82627" w:rsidP="00160F00">
      <w:pPr>
        <w:pStyle w:val="ListParagraph"/>
        <w:numPr>
          <w:ilvl w:val="0"/>
          <w:numId w:val="1"/>
        </w:numPr>
        <w:spacing w:line="600" w:lineRule="auto"/>
        <w:rPr>
          <w:rFonts w:ascii="Arial" w:hAnsi="Arial" w:cs="Arial"/>
          <w:sz w:val="23"/>
          <w:szCs w:val="23"/>
        </w:rPr>
      </w:pPr>
      <w:r>
        <w:rPr>
          <w:rFonts w:ascii="Arial" w:hAnsi="Arial" w:cs="Arial"/>
          <w:sz w:val="23"/>
          <w:szCs w:val="23"/>
        </w:rPr>
        <w:t>Introduction</w:t>
      </w:r>
    </w:p>
    <w:p w14:paraId="4336546F" w14:textId="6843F38F" w:rsidR="00B82627" w:rsidRDefault="00160F00" w:rsidP="00160F00">
      <w:pPr>
        <w:pStyle w:val="ListParagraph"/>
        <w:numPr>
          <w:ilvl w:val="0"/>
          <w:numId w:val="1"/>
        </w:numPr>
        <w:spacing w:line="600" w:lineRule="auto"/>
        <w:rPr>
          <w:rFonts w:ascii="Arial" w:hAnsi="Arial" w:cs="Arial"/>
          <w:sz w:val="23"/>
          <w:szCs w:val="23"/>
        </w:rPr>
      </w:pPr>
      <w:r>
        <w:rPr>
          <w:rFonts w:ascii="Arial" w:hAnsi="Arial" w:cs="Arial"/>
          <w:sz w:val="23"/>
          <w:szCs w:val="23"/>
        </w:rPr>
        <w:t>S</w:t>
      </w:r>
      <w:r w:rsidR="00B82627">
        <w:rPr>
          <w:rFonts w:ascii="Arial" w:hAnsi="Arial" w:cs="Arial"/>
          <w:sz w:val="23"/>
          <w:szCs w:val="23"/>
        </w:rPr>
        <w:t>ection 1</w:t>
      </w:r>
      <w:r w:rsidR="000C4A71">
        <w:rPr>
          <w:rFonts w:ascii="Arial" w:hAnsi="Arial" w:cs="Arial"/>
          <w:sz w:val="23"/>
          <w:szCs w:val="23"/>
        </w:rPr>
        <w:t xml:space="preserve">: </w:t>
      </w:r>
      <w:r>
        <w:rPr>
          <w:rFonts w:ascii="Arial" w:hAnsi="Arial" w:cs="Arial"/>
          <w:sz w:val="23"/>
          <w:szCs w:val="23"/>
        </w:rPr>
        <w:t>E</w:t>
      </w:r>
      <w:r w:rsidR="000C4A71">
        <w:rPr>
          <w:rFonts w:ascii="Arial" w:hAnsi="Arial" w:cs="Arial"/>
          <w:sz w:val="23"/>
          <w:szCs w:val="23"/>
        </w:rPr>
        <w:t xml:space="preserve">ffective </w:t>
      </w:r>
      <w:r>
        <w:rPr>
          <w:rFonts w:ascii="Arial" w:hAnsi="Arial" w:cs="Arial"/>
          <w:sz w:val="23"/>
          <w:szCs w:val="23"/>
        </w:rPr>
        <w:t>C</w:t>
      </w:r>
      <w:r w:rsidR="000C4A71">
        <w:rPr>
          <w:rFonts w:ascii="Arial" w:hAnsi="Arial" w:cs="Arial"/>
          <w:sz w:val="23"/>
          <w:szCs w:val="23"/>
        </w:rPr>
        <w:t>ommunication</w:t>
      </w:r>
    </w:p>
    <w:p w14:paraId="67825214" w14:textId="2090624E" w:rsidR="000C4A71" w:rsidRDefault="000C4A71" w:rsidP="00160F00">
      <w:pPr>
        <w:pStyle w:val="ListParagraph"/>
        <w:numPr>
          <w:ilvl w:val="0"/>
          <w:numId w:val="1"/>
        </w:numPr>
        <w:spacing w:line="600" w:lineRule="auto"/>
        <w:rPr>
          <w:rFonts w:ascii="Arial" w:hAnsi="Arial" w:cs="Arial"/>
          <w:sz w:val="23"/>
          <w:szCs w:val="23"/>
        </w:rPr>
      </w:pPr>
      <w:r>
        <w:rPr>
          <w:rFonts w:ascii="Arial" w:hAnsi="Arial" w:cs="Arial"/>
          <w:sz w:val="23"/>
          <w:szCs w:val="23"/>
        </w:rPr>
        <w:t xml:space="preserve">Section 2: </w:t>
      </w:r>
      <w:r w:rsidR="00867E80">
        <w:rPr>
          <w:rFonts w:ascii="Arial" w:hAnsi="Arial" w:cs="Arial"/>
          <w:sz w:val="23"/>
          <w:szCs w:val="23"/>
        </w:rPr>
        <w:t>administration skills &amp; record keeping</w:t>
      </w:r>
    </w:p>
    <w:p w14:paraId="78B7586E" w14:textId="09C8A08D" w:rsidR="00D35EFC" w:rsidRDefault="00D35EFC" w:rsidP="00160F00">
      <w:pPr>
        <w:pStyle w:val="ListParagraph"/>
        <w:numPr>
          <w:ilvl w:val="0"/>
          <w:numId w:val="1"/>
        </w:numPr>
        <w:spacing w:line="600" w:lineRule="auto"/>
        <w:rPr>
          <w:rFonts w:ascii="Arial" w:hAnsi="Arial" w:cs="Arial"/>
          <w:sz w:val="23"/>
          <w:szCs w:val="23"/>
        </w:rPr>
      </w:pPr>
      <w:r>
        <w:rPr>
          <w:rFonts w:ascii="Arial" w:hAnsi="Arial" w:cs="Arial"/>
          <w:sz w:val="23"/>
          <w:szCs w:val="23"/>
        </w:rPr>
        <w:t>section 3: collaborative working</w:t>
      </w:r>
    </w:p>
    <w:p w14:paraId="28362CB6" w14:textId="73287DEF" w:rsidR="00D35EFC" w:rsidRDefault="00D35EFC" w:rsidP="00160F00">
      <w:pPr>
        <w:pStyle w:val="ListParagraph"/>
        <w:numPr>
          <w:ilvl w:val="0"/>
          <w:numId w:val="1"/>
        </w:numPr>
        <w:spacing w:line="600" w:lineRule="auto"/>
        <w:rPr>
          <w:rFonts w:ascii="Arial" w:hAnsi="Arial" w:cs="Arial"/>
          <w:sz w:val="23"/>
          <w:szCs w:val="23"/>
        </w:rPr>
      </w:pPr>
      <w:r>
        <w:rPr>
          <w:rFonts w:ascii="Arial" w:hAnsi="Arial" w:cs="Arial"/>
          <w:sz w:val="23"/>
          <w:szCs w:val="23"/>
        </w:rPr>
        <w:lastRenderedPageBreak/>
        <w:t>conclusion</w:t>
      </w:r>
    </w:p>
    <w:p w14:paraId="6B309FBF" w14:textId="3AC68FFA" w:rsidR="00FC17D5" w:rsidRPr="00B82627" w:rsidRDefault="00FC17D5" w:rsidP="00160F00">
      <w:pPr>
        <w:pStyle w:val="ListParagraph"/>
        <w:numPr>
          <w:ilvl w:val="0"/>
          <w:numId w:val="1"/>
        </w:numPr>
        <w:spacing w:line="600" w:lineRule="auto"/>
        <w:rPr>
          <w:rFonts w:ascii="Arial" w:hAnsi="Arial" w:cs="Arial"/>
          <w:sz w:val="23"/>
          <w:szCs w:val="23"/>
        </w:rPr>
      </w:pPr>
      <w:r>
        <w:rPr>
          <w:rFonts w:ascii="Arial" w:hAnsi="Arial" w:cs="Arial"/>
          <w:sz w:val="23"/>
          <w:szCs w:val="23"/>
        </w:rPr>
        <w:t xml:space="preserve">references </w:t>
      </w:r>
    </w:p>
    <w:p w14:paraId="6A2B611F" w14:textId="77777777" w:rsidR="0047334E" w:rsidRDefault="0047334E" w:rsidP="00160F00">
      <w:pPr>
        <w:spacing w:line="600" w:lineRule="auto"/>
        <w:rPr>
          <w:rFonts w:ascii="Arial" w:hAnsi="Arial" w:cs="Arial"/>
          <w:b/>
          <w:bCs/>
          <w:sz w:val="23"/>
          <w:szCs w:val="23"/>
        </w:rPr>
      </w:pPr>
    </w:p>
    <w:p w14:paraId="4E2DDDDF" w14:textId="77777777" w:rsidR="0047334E" w:rsidRDefault="0047334E" w:rsidP="00160F00">
      <w:pPr>
        <w:spacing w:line="600" w:lineRule="auto"/>
        <w:rPr>
          <w:rFonts w:ascii="Arial" w:hAnsi="Arial" w:cs="Arial"/>
          <w:b/>
          <w:bCs/>
          <w:sz w:val="23"/>
          <w:szCs w:val="23"/>
        </w:rPr>
      </w:pPr>
    </w:p>
    <w:p w14:paraId="7A8A7280" w14:textId="77777777" w:rsidR="0047334E" w:rsidRDefault="0047334E" w:rsidP="00160F00">
      <w:pPr>
        <w:spacing w:line="600" w:lineRule="auto"/>
        <w:rPr>
          <w:rFonts w:ascii="Arial" w:hAnsi="Arial" w:cs="Arial"/>
          <w:b/>
          <w:bCs/>
          <w:sz w:val="23"/>
          <w:szCs w:val="23"/>
        </w:rPr>
      </w:pPr>
    </w:p>
    <w:p w14:paraId="38A97635" w14:textId="77777777" w:rsidR="0047334E" w:rsidRDefault="0047334E" w:rsidP="00160F00">
      <w:pPr>
        <w:spacing w:line="600" w:lineRule="auto"/>
        <w:rPr>
          <w:rFonts w:ascii="Arial" w:hAnsi="Arial" w:cs="Arial"/>
          <w:b/>
          <w:bCs/>
          <w:sz w:val="23"/>
          <w:szCs w:val="23"/>
        </w:rPr>
      </w:pPr>
    </w:p>
    <w:p w14:paraId="27A19549" w14:textId="77777777" w:rsidR="0047334E" w:rsidRDefault="0047334E" w:rsidP="00160F00">
      <w:pPr>
        <w:spacing w:line="600" w:lineRule="auto"/>
        <w:rPr>
          <w:rFonts w:ascii="Arial" w:hAnsi="Arial" w:cs="Arial"/>
          <w:b/>
          <w:bCs/>
          <w:sz w:val="23"/>
          <w:szCs w:val="23"/>
        </w:rPr>
      </w:pPr>
    </w:p>
    <w:p w14:paraId="0B837DA9" w14:textId="77777777" w:rsidR="0047334E" w:rsidRDefault="0047334E" w:rsidP="00160F00">
      <w:pPr>
        <w:spacing w:line="600" w:lineRule="auto"/>
        <w:rPr>
          <w:rFonts w:ascii="Arial" w:hAnsi="Arial" w:cs="Arial"/>
          <w:b/>
          <w:bCs/>
          <w:sz w:val="23"/>
          <w:szCs w:val="23"/>
        </w:rPr>
      </w:pPr>
    </w:p>
    <w:p w14:paraId="00766C83" w14:textId="77777777" w:rsidR="0047334E" w:rsidRDefault="0047334E" w:rsidP="00160F00">
      <w:pPr>
        <w:spacing w:line="600" w:lineRule="auto"/>
        <w:rPr>
          <w:rFonts w:ascii="Arial" w:hAnsi="Arial" w:cs="Arial"/>
          <w:b/>
          <w:bCs/>
          <w:sz w:val="23"/>
          <w:szCs w:val="23"/>
        </w:rPr>
      </w:pPr>
    </w:p>
    <w:p w14:paraId="1FCFDA1D" w14:textId="77777777" w:rsidR="0047334E" w:rsidRDefault="0047334E" w:rsidP="00160F00">
      <w:pPr>
        <w:spacing w:line="600" w:lineRule="auto"/>
        <w:rPr>
          <w:rFonts w:ascii="Arial" w:hAnsi="Arial" w:cs="Arial"/>
          <w:b/>
          <w:bCs/>
          <w:sz w:val="23"/>
          <w:szCs w:val="23"/>
        </w:rPr>
      </w:pPr>
    </w:p>
    <w:p w14:paraId="0BF42D39" w14:textId="77777777" w:rsidR="0047334E" w:rsidRDefault="0047334E" w:rsidP="00160F00">
      <w:pPr>
        <w:spacing w:line="600" w:lineRule="auto"/>
        <w:rPr>
          <w:rFonts w:ascii="Arial" w:hAnsi="Arial" w:cs="Arial"/>
          <w:b/>
          <w:bCs/>
          <w:sz w:val="23"/>
          <w:szCs w:val="23"/>
        </w:rPr>
      </w:pPr>
    </w:p>
    <w:p w14:paraId="5DE857ED" w14:textId="77777777" w:rsidR="00FC17D5" w:rsidRDefault="00FC17D5" w:rsidP="00A25C7B">
      <w:pPr>
        <w:rPr>
          <w:rFonts w:ascii="Arial" w:hAnsi="Arial" w:cs="Arial"/>
          <w:b/>
          <w:bCs/>
          <w:sz w:val="23"/>
          <w:szCs w:val="23"/>
        </w:rPr>
      </w:pPr>
    </w:p>
    <w:p w14:paraId="55B3A6CF" w14:textId="77777777" w:rsidR="00FC17D5" w:rsidRDefault="00FC17D5" w:rsidP="00A25C7B">
      <w:pPr>
        <w:rPr>
          <w:rFonts w:ascii="Arial" w:hAnsi="Arial" w:cs="Arial"/>
          <w:b/>
          <w:bCs/>
          <w:sz w:val="23"/>
          <w:szCs w:val="23"/>
        </w:rPr>
      </w:pPr>
    </w:p>
    <w:p w14:paraId="1C5662EC" w14:textId="01FA3612" w:rsidR="007103E5" w:rsidRPr="007103E5" w:rsidRDefault="007103E5" w:rsidP="007103E5">
      <w:pPr>
        <w:spacing w:line="360" w:lineRule="auto"/>
        <w:rPr>
          <w:rFonts w:ascii="Arial" w:hAnsi="Arial" w:cs="Arial"/>
          <w:b/>
          <w:bCs/>
          <w:sz w:val="22"/>
          <w:szCs w:val="22"/>
        </w:rPr>
      </w:pPr>
      <w:r w:rsidRPr="007103E5">
        <w:rPr>
          <w:rFonts w:ascii="Arial" w:hAnsi="Arial" w:cs="Arial"/>
          <w:b/>
          <w:bCs/>
          <w:sz w:val="22"/>
          <w:szCs w:val="22"/>
        </w:rPr>
        <w:t xml:space="preserve">Introduction </w:t>
      </w:r>
    </w:p>
    <w:p w14:paraId="391DA943" w14:textId="6466C2C5"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t xml:space="preserve">Mrs Mann is a 72-year-old woman recently discharged from the hospital after a hip replacement. She lives alone and receives domiciliary care visits twice daily to support her personal care and mobility. Her first language is Urdu, and she has limited English proficiency; her daughter often interprets for her. Mrs Mann’s care involves her GP and a community physiotherapist who visits twice weekly. Recent concerns include inconsistent documentation in her care records and a delayed medication adjustment due to communication gaps, which is currently under review. This report aims to explore key aspects of her care, focusing on the importance of effective communication, good administrative skills and collaborative working with health and social care professionals. By </w:t>
      </w:r>
      <w:r w:rsidRPr="007103E5">
        <w:rPr>
          <w:rFonts w:ascii="Arial" w:hAnsi="Arial" w:cs="Arial"/>
          <w:sz w:val="22"/>
          <w:szCs w:val="22"/>
        </w:rPr>
        <w:lastRenderedPageBreak/>
        <w:t>examining these areas, the report highlights the practical application of legislation, best practices, and communication models to ensure safe, person-centred care.</w:t>
      </w:r>
    </w:p>
    <w:p w14:paraId="12057B90" w14:textId="3CA7E800" w:rsidR="006A0879" w:rsidRPr="007103E5" w:rsidRDefault="007103E5" w:rsidP="007103E5">
      <w:pPr>
        <w:spacing w:line="360" w:lineRule="auto"/>
        <w:rPr>
          <w:rFonts w:ascii="Arial" w:hAnsi="Arial" w:cs="Arial"/>
          <w:b/>
          <w:bCs/>
          <w:sz w:val="22"/>
          <w:szCs w:val="22"/>
        </w:rPr>
      </w:pPr>
      <w:r w:rsidRPr="007103E5">
        <w:rPr>
          <w:rFonts w:ascii="Arial" w:hAnsi="Arial" w:cs="Arial"/>
          <w:b/>
          <w:bCs/>
          <w:sz w:val="22"/>
          <w:szCs w:val="22"/>
        </w:rPr>
        <w:t xml:space="preserve">Section 1: Effective Communication </w:t>
      </w:r>
    </w:p>
    <w:p w14:paraId="71459E61" w14:textId="169E47A5"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t xml:space="preserve">Effective communication is essential in health and social care to ensure that service users understand their care and that professionals convey accurate information. In Mrs Mann’s case, communication challenges are compounded by her limited English and reliance on her daughter for interpretation. Using interpreters and visual aids can bridge language barriers and promote understanding (Lee, 2021). Additionally, cultural sensitivity is </w:t>
      </w:r>
      <w:r w:rsidR="004867D7">
        <w:rPr>
          <w:rFonts w:ascii="Arial" w:hAnsi="Arial" w:cs="Arial"/>
          <w:sz w:val="22"/>
          <w:szCs w:val="22"/>
        </w:rPr>
        <w:t>important</w:t>
      </w:r>
      <w:r w:rsidRPr="007103E5">
        <w:rPr>
          <w:rFonts w:ascii="Arial" w:hAnsi="Arial" w:cs="Arial"/>
          <w:sz w:val="22"/>
          <w:szCs w:val="22"/>
        </w:rPr>
        <w:t>, respecting beliefs, preferences, and practices, in line with the Equality Act 2010, which</w:t>
      </w:r>
      <w:r w:rsidR="00F50A8F">
        <w:rPr>
          <w:rFonts w:ascii="Arial" w:hAnsi="Arial" w:cs="Arial"/>
          <w:sz w:val="22"/>
          <w:szCs w:val="22"/>
        </w:rPr>
        <w:t xml:space="preserve"> requires </w:t>
      </w:r>
      <w:r w:rsidRPr="007103E5">
        <w:rPr>
          <w:rFonts w:ascii="Arial" w:hAnsi="Arial" w:cs="Arial"/>
          <w:sz w:val="22"/>
          <w:szCs w:val="22"/>
        </w:rPr>
        <w:t>fair and inclusive treatment for all individuals (</w:t>
      </w:r>
      <w:hyperlink r:id="rId5" w:tgtFrame="_new" w:history="1">
        <w:r w:rsidRPr="007103E5">
          <w:rPr>
            <w:rStyle w:val="Hyperlink"/>
            <w:rFonts w:ascii="Arial" w:hAnsi="Arial" w:cs="Arial"/>
            <w:sz w:val="22"/>
            <w:szCs w:val="22"/>
          </w:rPr>
          <w:t>Equ</w:t>
        </w:r>
        <w:r w:rsidRPr="007103E5">
          <w:rPr>
            <w:rStyle w:val="Hyperlink"/>
            <w:rFonts w:ascii="Arial" w:hAnsi="Arial" w:cs="Arial"/>
            <w:sz w:val="22"/>
            <w:szCs w:val="22"/>
          </w:rPr>
          <w:t>ality Act 2010</w:t>
        </w:r>
      </w:hyperlink>
      <w:r w:rsidRPr="007103E5">
        <w:rPr>
          <w:rFonts w:ascii="Arial" w:hAnsi="Arial" w:cs="Arial"/>
          <w:sz w:val="22"/>
          <w:szCs w:val="22"/>
        </w:rPr>
        <w:t>).</w:t>
      </w:r>
    </w:p>
    <w:p w14:paraId="16D9F031" w14:textId="77777777"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t>Berlo’s (1960) SMCR model of communication identifies four key components: Sender, Message, Channel, and Receiver. The sender must encode the message clearly, considering the receiver’s cultural and language needs. Channels can include spoken words, written instructions, or visual cues, all of which must be accessible. Feedback ensures the message has been correctly received and understood. Applying Berlo’s model, domiciliary care workers can use clear, simple language, confirm understanding, and use interpreters or translated materials for Mrs Mann, enhancing comprehension and patient safety (G2.com, 2024).</w:t>
      </w:r>
    </w:p>
    <w:p w14:paraId="029A7282" w14:textId="77777777" w:rsidR="00532855" w:rsidRDefault="007103E5" w:rsidP="007103E5">
      <w:pPr>
        <w:spacing w:line="360" w:lineRule="auto"/>
        <w:rPr>
          <w:rFonts w:ascii="Arial" w:hAnsi="Arial" w:cs="Arial"/>
          <w:sz w:val="22"/>
          <w:szCs w:val="22"/>
        </w:rPr>
      </w:pPr>
      <w:r w:rsidRPr="007103E5">
        <w:rPr>
          <w:rFonts w:ascii="Arial" w:hAnsi="Arial" w:cs="Arial"/>
          <w:sz w:val="22"/>
          <w:szCs w:val="22"/>
        </w:rPr>
        <w:lastRenderedPageBreak/>
        <w:t>Shannon and Weaver’s (1948) model also highlights potential barriers, known as “noise,” which can distort messages. In Mrs Mann’s case, noise may include language misunderstandings or omitted information in handovers. To reduce errors, structured handovers, repeated verification, and inclusive communication strategies are recommended (G2.com, 2024).</w:t>
      </w:r>
      <w:r w:rsidR="00532855">
        <w:rPr>
          <w:rFonts w:ascii="Arial" w:hAnsi="Arial" w:cs="Arial"/>
          <w:sz w:val="22"/>
          <w:szCs w:val="22"/>
        </w:rPr>
        <w:t xml:space="preserve"> </w:t>
      </w:r>
    </w:p>
    <w:p w14:paraId="55C9FC5F" w14:textId="03CDA0B2"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t>Inclusive communication aligns with NHS England’s core principles, including providing clear, personalised, and accessible information, using reasonable adjustments for language or sensory needs, and supporting shared decision-making (NHS England, 2023). Active listening, observing non-verbal cues, and checking understanding are practical strategies that enhance communication effectiveness (Lee, 2021).</w:t>
      </w:r>
    </w:p>
    <w:p w14:paraId="7BCBFAD7" w14:textId="251C01AF"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t>In summary, effective communication in Mrs Mann’s care involves combining legal requirements, communication models, cultural awareness, and practical strategies. By using interpreters, visual aids, structured messages, and feedback loops, health and social care professionals can ensure that Mrs Mann receives safe, person-centred care while preventing errors caused by miscommunication (Lee, 2021; G2.com, 2024; NHS England, 2023).</w:t>
      </w:r>
    </w:p>
    <w:p w14:paraId="5B63110D" w14:textId="529592CB" w:rsidR="007103E5" w:rsidRPr="007103E5" w:rsidRDefault="007103E5" w:rsidP="007103E5">
      <w:pPr>
        <w:spacing w:line="360" w:lineRule="auto"/>
        <w:rPr>
          <w:rFonts w:ascii="Arial" w:hAnsi="Arial" w:cs="Arial"/>
          <w:b/>
          <w:bCs/>
          <w:sz w:val="22"/>
          <w:szCs w:val="22"/>
        </w:rPr>
      </w:pPr>
      <w:r w:rsidRPr="007103E5">
        <w:rPr>
          <w:rFonts w:ascii="Arial" w:hAnsi="Arial" w:cs="Arial"/>
          <w:b/>
          <w:bCs/>
          <w:sz w:val="22"/>
          <w:szCs w:val="22"/>
        </w:rPr>
        <w:t>Section 2: Administrative Skills &amp; Record Keeping</w:t>
      </w:r>
    </w:p>
    <w:p w14:paraId="0291FED0" w14:textId="77777777"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t>Accurate documentation is critical in health and social care. Poor record keeping can result in errors, miscommunication, and compromised patient safety. In Mrs Mann’s case, inconsistent records contributed to a delayed medication adjustment, demon</w:t>
      </w:r>
      <w:r w:rsidRPr="007103E5">
        <w:rPr>
          <w:rFonts w:ascii="Arial" w:hAnsi="Arial" w:cs="Arial"/>
          <w:sz w:val="22"/>
          <w:szCs w:val="22"/>
        </w:rPr>
        <w:lastRenderedPageBreak/>
        <w:t>strating the importance of thorough administrative practices. Effective records provide a legal account of care, facilitate continuity, and support accountability (BMC Nursing, 2023).</w:t>
      </w:r>
    </w:p>
    <w:p w14:paraId="35E911EF" w14:textId="77777777"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t>The Data Protection Act 2018 regulates the handling of personal data, ensuring confidentiality, security, and lawful processing. Health and social care workers must maintain secure, accurate, and timely records, only sharing information with authorised individuals (</w:t>
      </w:r>
      <w:hyperlink r:id="rId6" w:tgtFrame="_new" w:history="1">
        <w:r w:rsidRPr="007103E5">
          <w:rPr>
            <w:rStyle w:val="Hyperlink"/>
            <w:rFonts w:ascii="Arial" w:hAnsi="Arial" w:cs="Arial"/>
            <w:sz w:val="22"/>
            <w:szCs w:val="22"/>
          </w:rPr>
          <w:t>Data Protection Act 2018</w:t>
        </w:r>
      </w:hyperlink>
      <w:r w:rsidRPr="007103E5">
        <w:rPr>
          <w:rFonts w:ascii="Arial" w:hAnsi="Arial" w:cs="Arial"/>
          <w:sz w:val="22"/>
          <w:szCs w:val="22"/>
        </w:rPr>
        <w:t>). The Caldicott Principles further emphasise the need to protect patient information while allowing appropriate information sharing for safe care.</w:t>
      </w:r>
    </w:p>
    <w:p w14:paraId="4961C349" w14:textId="77777777"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t>Professional frameworks, including the NMC Code, require nurses and care staff to keep clear, legible, and contemporaneous records. Documentation should include care plans, risk assessments, observations, and communications with other professionals. Standardised forms and electronic systems can enhance accuracy and reduce omissions (Smit et al., 2021).</w:t>
      </w:r>
    </w:p>
    <w:p w14:paraId="468DA09C" w14:textId="77777777"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t>Administrative skills also involve scheduling visits, coordinating rehabilitation exercises, and tracking outcomes. Regular audits and reviews help identify gaps, prevent errors, and improve quality. Training staff in record keeping and data protection ensures compliance with legislation and best practice, mitigating risks associated with miscommunication (BMC Nursing, 2023; Lee, 2021).</w:t>
      </w:r>
    </w:p>
    <w:p w14:paraId="42575963" w14:textId="77777777"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t xml:space="preserve">In Mrs Mann’s context, maintaining accurate records ensures her GP, physiotherapist, and domiciliary carers have up-to-date information. This reduces delays, supports medication management, and promotes continuity of care. Documentation is not only </w:t>
      </w:r>
      <w:r w:rsidRPr="007103E5">
        <w:rPr>
          <w:rFonts w:ascii="Arial" w:hAnsi="Arial" w:cs="Arial"/>
          <w:sz w:val="22"/>
          <w:szCs w:val="22"/>
        </w:rPr>
        <w:lastRenderedPageBreak/>
        <w:t>a legal and ethical requirement but also a practical tool for enhancing safety, efficiency, and patient-centred outcomes (BMC Nursing, 2023; Smit et al., 2021).</w:t>
      </w:r>
    </w:p>
    <w:p w14:paraId="0ADA205F" w14:textId="1E9F3B17" w:rsidR="007103E5" w:rsidRPr="007103E5" w:rsidRDefault="007103E5" w:rsidP="007103E5">
      <w:pPr>
        <w:spacing w:line="360" w:lineRule="auto"/>
        <w:rPr>
          <w:rFonts w:ascii="Arial" w:hAnsi="Arial" w:cs="Arial"/>
          <w:b/>
          <w:bCs/>
          <w:sz w:val="22"/>
          <w:szCs w:val="22"/>
        </w:rPr>
      </w:pPr>
      <w:r w:rsidRPr="007103E5">
        <w:rPr>
          <w:rFonts w:ascii="Arial" w:hAnsi="Arial" w:cs="Arial"/>
          <w:b/>
          <w:bCs/>
          <w:sz w:val="22"/>
          <w:szCs w:val="22"/>
        </w:rPr>
        <w:t xml:space="preserve">Section 3: Collaborative Working </w:t>
      </w:r>
    </w:p>
    <w:p w14:paraId="6D18A51D" w14:textId="77777777"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t>Working collaboratively with other professionals is vital to delivering holistic care. For Mrs Mann, effective collaboration involves her GP, physiotherapist, domiciliary care workers, and family members. Shared care plans and regular communication ensure that all team members understand care goals, rehabilitation progress, and medication adjustments (Glasby &amp; Dickinson, 2014).</w:t>
      </w:r>
    </w:p>
    <w:p w14:paraId="65834A1C" w14:textId="77777777"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t>Strategies to foster collaboration include multidisciplinary meetings, secure messaging, and joint training sessions. Active participation, mutual respect, and clear role delineation are essential to prevent misunderstandings or duplication of tasks. Family involvement, particularly for interpretation and cultural insights, strengthens care planning and adherence (Lee, 2021).</w:t>
      </w:r>
    </w:p>
    <w:p w14:paraId="78BF08AF" w14:textId="77777777"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t>Common challenges in multi-agency working include communication breakdowns, differing professional priorities, and incomplete records. Overcoming these challenges requires structured communication protocols, clear escalation pathways, and shared documentation systems. Using regular audits and reflective practice helps identify barriers and improve team functioning (Smit et al., 2021).</w:t>
      </w:r>
    </w:p>
    <w:p w14:paraId="169DE575" w14:textId="7B9E98E2"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lastRenderedPageBreak/>
        <w:t>Effective collaboration benefits Mrs Mann by providing consistent care, timely interventions, and a coordinated rehabilitation plan. By maintaining clear communication, sharing accurate records, and respecting each professional’s expertise, the team can improve outcomes, enhance safety, and support Mrs Mann’s independence (Glasby &amp; Dickinson, 2014; Lee, 2021).</w:t>
      </w:r>
    </w:p>
    <w:p w14:paraId="42788196" w14:textId="3BB7E41E" w:rsidR="007103E5" w:rsidRPr="007103E5" w:rsidRDefault="007103E5" w:rsidP="007103E5">
      <w:pPr>
        <w:spacing w:line="360" w:lineRule="auto"/>
        <w:rPr>
          <w:rFonts w:ascii="Arial" w:hAnsi="Arial" w:cs="Arial"/>
          <w:b/>
          <w:bCs/>
          <w:sz w:val="22"/>
          <w:szCs w:val="22"/>
        </w:rPr>
      </w:pPr>
      <w:r w:rsidRPr="007103E5">
        <w:rPr>
          <w:rFonts w:ascii="Arial" w:hAnsi="Arial" w:cs="Arial"/>
          <w:b/>
          <w:bCs/>
          <w:sz w:val="22"/>
          <w:szCs w:val="22"/>
        </w:rPr>
        <w:t>Conclusion</w:t>
      </w:r>
    </w:p>
    <w:p w14:paraId="2410274B" w14:textId="40DF552F" w:rsidR="007103E5" w:rsidRPr="007103E5" w:rsidRDefault="007103E5" w:rsidP="007103E5">
      <w:pPr>
        <w:spacing w:line="360" w:lineRule="auto"/>
        <w:rPr>
          <w:rFonts w:ascii="Arial" w:hAnsi="Arial" w:cs="Arial"/>
          <w:sz w:val="22"/>
          <w:szCs w:val="22"/>
        </w:rPr>
      </w:pPr>
      <w:r w:rsidRPr="007103E5">
        <w:rPr>
          <w:rFonts w:ascii="Arial" w:hAnsi="Arial" w:cs="Arial"/>
          <w:sz w:val="22"/>
          <w:szCs w:val="22"/>
        </w:rPr>
        <w:t xml:space="preserve">The case of Mrs Mann highlights the critical importance of effective communication, strong administrative skills, and collaborative working in health and social care. Clear, inclusive communication ensures that service users understand their care, reduces errors, and respects cultural and linguistic needs. Accurate documentation and adherence to the Data Protection Act 2018 support safe, accountable practice and continuity of care. Collaborative working with GPs, physiotherapists, and domiciliary care teams ensures coordinated interventions, timely rehabilitation, and holistic support. </w:t>
      </w:r>
      <w:r w:rsidR="00347A46">
        <w:rPr>
          <w:rFonts w:ascii="Arial" w:hAnsi="Arial" w:cs="Arial"/>
          <w:sz w:val="22"/>
          <w:szCs w:val="22"/>
        </w:rPr>
        <w:t xml:space="preserve">Using </w:t>
      </w:r>
      <w:r w:rsidRPr="007103E5">
        <w:rPr>
          <w:rFonts w:ascii="Arial" w:hAnsi="Arial" w:cs="Arial"/>
          <w:sz w:val="22"/>
          <w:szCs w:val="22"/>
        </w:rPr>
        <w:t>communication models, legal frameworks, and practical strategies enhances both safety and patient-centred outcomes. Lessons from Mrs Mann’s care emphasize the integration of legislative guidance, professional standards, and interpersonal skills in daily practice, ultimately fostering a safe, efficient, and empathetic care environment that empowers the service user and improves quality of life (Lee, 2021; NHS England, 2023; Smit et al., 2021).</w:t>
      </w:r>
    </w:p>
    <w:p w14:paraId="1AC02CE2" w14:textId="18B71AFB" w:rsidR="007103E5" w:rsidRPr="007103E5" w:rsidRDefault="007103E5" w:rsidP="007103E5">
      <w:pPr>
        <w:spacing w:line="360" w:lineRule="auto"/>
        <w:rPr>
          <w:rFonts w:ascii="Arial" w:hAnsi="Arial" w:cs="Arial"/>
          <w:sz w:val="22"/>
          <w:szCs w:val="22"/>
        </w:rPr>
      </w:pPr>
    </w:p>
    <w:p w14:paraId="59869C43" w14:textId="77777777" w:rsidR="007103E5" w:rsidRPr="007103E5" w:rsidRDefault="007103E5" w:rsidP="007103E5">
      <w:pPr>
        <w:spacing w:line="360" w:lineRule="auto"/>
        <w:rPr>
          <w:rFonts w:ascii="Arial" w:hAnsi="Arial" w:cs="Arial"/>
          <w:b/>
          <w:bCs/>
          <w:sz w:val="22"/>
          <w:szCs w:val="22"/>
        </w:rPr>
      </w:pPr>
      <w:r w:rsidRPr="007103E5">
        <w:rPr>
          <w:rFonts w:ascii="Arial" w:hAnsi="Arial" w:cs="Arial"/>
          <w:b/>
          <w:bCs/>
          <w:sz w:val="22"/>
          <w:szCs w:val="22"/>
        </w:rPr>
        <w:lastRenderedPageBreak/>
        <w:t>References</w:t>
      </w:r>
    </w:p>
    <w:p w14:paraId="03EE9D82" w14:textId="77777777" w:rsidR="00F43614" w:rsidRDefault="007103E5" w:rsidP="007103E5">
      <w:pPr>
        <w:numPr>
          <w:ilvl w:val="0"/>
          <w:numId w:val="3"/>
        </w:numPr>
        <w:spacing w:line="360" w:lineRule="auto"/>
        <w:rPr>
          <w:rFonts w:ascii="Arial" w:hAnsi="Arial" w:cs="Arial"/>
          <w:sz w:val="22"/>
          <w:szCs w:val="22"/>
        </w:rPr>
      </w:pPr>
      <w:r w:rsidRPr="007103E5">
        <w:rPr>
          <w:rFonts w:ascii="Arial" w:hAnsi="Arial" w:cs="Arial"/>
          <w:sz w:val="22"/>
          <w:szCs w:val="22"/>
        </w:rPr>
        <w:t xml:space="preserve">BMC Nursing (2023) </w:t>
      </w:r>
      <w:r w:rsidRPr="007103E5">
        <w:rPr>
          <w:rFonts w:ascii="Arial" w:hAnsi="Arial" w:cs="Arial"/>
          <w:i/>
          <w:iCs/>
          <w:sz w:val="22"/>
          <w:szCs w:val="22"/>
        </w:rPr>
        <w:t xml:space="preserve">Documentation practice and associated factors among nurses working in public hospitals in </w:t>
      </w:r>
      <w:proofErr w:type="spellStart"/>
      <w:r w:rsidRPr="007103E5">
        <w:rPr>
          <w:rFonts w:ascii="Arial" w:hAnsi="Arial" w:cs="Arial"/>
          <w:i/>
          <w:iCs/>
          <w:sz w:val="22"/>
          <w:szCs w:val="22"/>
        </w:rPr>
        <w:t>Wolaita</w:t>
      </w:r>
      <w:proofErr w:type="spellEnd"/>
      <w:r w:rsidRPr="007103E5">
        <w:rPr>
          <w:rFonts w:ascii="Arial" w:hAnsi="Arial" w:cs="Arial"/>
          <w:i/>
          <w:iCs/>
          <w:sz w:val="22"/>
          <w:szCs w:val="22"/>
        </w:rPr>
        <w:t xml:space="preserve"> Zone, Southern Ethiopia.</w:t>
      </w:r>
      <w:r w:rsidRPr="007103E5">
        <w:rPr>
          <w:rFonts w:ascii="Arial" w:hAnsi="Arial" w:cs="Arial"/>
          <w:sz w:val="22"/>
          <w:szCs w:val="22"/>
        </w:rPr>
        <w:t xml:space="preserve"> Available at: </w:t>
      </w:r>
      <w:hyperlink r:id="rId7" w:history="1">
        <w:r w:rsidR="009423B5" w:rsidRPr="009423B5">
          <w:rPr>
            <w:rStyle w:val="Hyperlink"/>
            <w:rFonts w:ascii="Arial" w:hAnsi="Arial" w:cs="Arial"/>
            <w:sz w:val="22"/>
            <w:szCs w:val="22"/>
          </w:rPr>
          <w:t>Documentation practice and associated fa</w:t>
        </w:r>
        <w:r w:rsidR="009423B5" w:rsidRPr="009423B5">
          <w:rPr>
            <w:rStyle w:val="Hyperlink"/>
            <w:rFonts w:ascii="Arial" w:hAnsi="Arial" w:cs="Arial"/>
            <w:sz w:val="22"/>
            <w:szCs w:val="22"/>
          </w:rPr>
          <w:t xml:space="preserve">ctors among nurses working in public hospitals in </w:t>
        </w:r>
        <w:proofErr w:type="spellStart"/>
        <w:r w:rsidR="009423B5" w:rsidRPr="009423B5">
          <w:rPr>
            <w:rStyle w:val="Hyperlink"/>
            <w:rFonts w:ascii="Arial" w:hAnsi="Arial" w:cs="Arial"/>
            <w:sz w:val="22"/>
            <w:szCs w:val="22"/>
          </w:rPr>
          <w:t>Wolaita</w:t>
        </w:r>
        <w:proofErr w:type="spellEnd"/>
        <w:r w:rsidR="009423B5" w:rsidRPr="009423B5">
          <w:rPr>
            <w:rStyle w:val="Hyperlink"/>
            <w:rFonts w:ascii="Arial" w:hAnsi="Arial" w:cs="Arial"/>
            <w:sz w:val="22"/>
            <w:szCs w:val="22"/>
          </w:rPr>
          <w:t xml:space="preserve"> Zone, Southern Ethiopia | BMC Nursing | Full Text</w:t>
        </w:r>
      </w:hyperlink>
      <w:r w:rsidR="009423B5" w:rsidRPr="009423B5">
        <w:rPr>
          <w:rFonts w:ascii="Arial" w:hAnsi="Arial" w:cs="Arial"/>
          <w:sz w:val="22"/>
          <w:szCs w:val="22"/>
        </w:rPr>
        <w:t xml:space="preserve"> </w:t>
      </w:r>
      <w:r w:rsidR="00F43614">
        <w:rPr>
          <w:rFonts w:ascii="Arial" w:hAnsi="Arial" w:cs="Arial"/>
          <w:sz w:val="22"/>
          <w:szCs w:val="22"/>
        </w:rPr>
        <w:t xml:space="preserve"> </w:t>
      </w:r>
    </w:p>
    <w:p w14:paraId="6A550CA5" w14:textId="77777777" w:rsidR="007103E5" w:rsidRPr="007103E5" w:rsidRDefault="007103E5" w:rsidP="007103E5">
      <w:pPr>
        <w:numPr>
          <w:ilvl w:val="0"/>
          <w:numId w:val="3"/>
        </w:numPr>
        <w:spacing w:line="360" w:lineRule="auto"/>
        <w:rPr>
          <w:rFonts w:ascii="Arial" w:hAnsi="Arial" w:cs="Arial"/>
          <w:sz w:val="22"/>
          <w:szCs w:val="22"/>
        </w:rPr>
      </w:pPr>
      <w:r w:rsidRPr="007103E5">
        <w:rPr>
          <w:rFonts w:ascii="Arial" w:hAnsi="Arial" w:cs="Arial"/>
          <w:sz w:val="22"/>
          <w:szCs w:val="22"/>
        </w:rPr>
        <w:t xml:space="preserve">Berlo, D. K. (1960) </w:t>
      </w:r>
      <w:r w:rsidRPr="007103E5">
        <w:rPr>
          <w:rFonts w:ascii="Arial" w:hAnsi="Arial" w:cs="Arial"/>
          <w:i/>
          <w:iCs/>
          <w:sz w:val="22"/>
          <w:szCs w:val="22"/>
        </w:rPr>
        <w:t>The process of communication</w:t>
      </w:r>
      <w:r w:rsidRPr="007103E5">
        <w:rPr>
          <w:rFonts w:ascii="Arial" w:hAnsi="Arial" w:cs="Arial"/>
          <w:sz w:val="22"/>
          <w:szCs w:val="22"/>
        </w:rPr>
        <w:t>. New York: Holt, Rinehart &amp; Winston.</w:t>
      </w:r>
    </w:p>
    <w:p w14:paraId="7F2DF1FF" w14:textId="50EEA70C" w:rsidR="005B3323" w:rsidRPr="007103E5" w:rsidRDefault="007103E5" w:rsidP="005B3323">
      <w:pPr>
        <w:numPr>
          <w:ilvl w:val="0"/>
          <w:numId w:val="3"/>
        </w:numPr>
        <w:spacing w:line="360" w:lineRule="auto"/>
        <w:rPr>
          <w:rFonts w:ascii="Arial" w:hAnsi="Arial" w:cs="Arial"/>
          <w:sz w:val="22"/>
          <w:szCs w:val="22"/>
        </w:rPr>
      </w:pPr>
      <w:r w:rsidRPr="007103E5">
        <w:rPr>
          <w:rFonts w:ascii="Arial" w:hAnsi="Arial" w:cs="Arial"/>
          <w:sz w:val="22"/>
          <w:szCs w:val="22"/>
        </w:rPr>
        <w:t xml:space="preserve">Smit, L. C., </w:t>
      </w:r>
      <w:proofErr w:type="spellStart"/>
      <w:r w:rsidRPr="007103E5">
        <w:rPr>
          <w:rFonts w:ascii="Arial" w:hAnsi="Arial" w:cs="Arial"/>
          <w:sz w:val="22"/>
          <w:szCs w:val="22"/>
        </w:rPr>
        <w:t>Dikken</w:t>
      </w:r>
      <w:proofErr w:type="spellEnd"/>
      <w:r w:rsidRPr="007103E5">
        <w:rPr>
          <w:rFonts w:ascii="Arial" w:hAnsi="Arial" w:cs="Arial"/>
          <w:sz w:val="22"/>
          <w:szCs w:val="22"/>
        </w:rPr>
        <w:t xml:space="preserve">, J., Moolenaar, N. M., Schuurmans, M. J. &amp; de Wit, N. J. (2021) ‘Implementation of an interprofessional collaboration in practice program: a feasibility study using social network analysis’, </w:t>
      </w:r>
      <w:r w:rsidRPr="007103E5">
        <w:rPr>
          <w:rFonts w:ascii="Arial" w:hAnsi="Arial" w:cs="Arial"/>
          <w:i/>
          <w:iCs/>
          <w:sz w:val="22"/>
          <w:szCs w:val="22"/>
        </w:rPr>
        <w:t>Pilot and Feasibility Studies</w:t>
      </w:r>
      <w:r w:rsidRPr="007103E5">
        <w:rPr>
          <w:rFonts w:ascii="Arial" w:hAnsi="Arial" w:cs="Arial"/>
          <w:sz w:val="22"/>
          <w:szCs w:val="22"/>
        </w:rPr>
        <w:t xml:space="preserve">, 7, Article 7. </w:t>
      </w:r>
      <w:r w:rsidR="00222FE4">
        <w:rPr>
          <w:rFonts w:ascii="Arial" w:hAnsi="Arial" w:cs="Arial"/>
          <w:sz w:val="22"/>
          <w:szCs w:val="22"/>
        </w:rPr>
        <w:t>A</w:t>
      </w:r>
      <w:r w:rsidR="002C76F9">
        <w:rPr>
          <w:rFonts w:ascii="Arial" w:hAnsi="Arial" w:cs="Arial"/>
          <w:sz w:val="22"/>
          <w:szCs w:val="22"/>
        </w:rPr>
        <w:t>va</w:t>
      </w:r>
      <w:r w:rsidR="00222FE4">
        <w:rPr>
          <w:rFonts w:ascii="Arial" w:hAnsi="Arial" w:cs="Arial"/>
          <w:sz w:val="22"/>
          <w:szCs w:val="22"/>
        </w:rPr>
        <w:t xml:space="preserve">ilable at: </w:t>
      </w:r>
      <w:hyperlink r:id="rId8" w:history="1">
        <w:r w:rsidR="005B3323" w:rsidRPr="005B3323">
          <w:rPr>
            <w:rStyle w:val="Hyperlink"/>
            <w:rFonts w:ascii="Arial" w:hAnsi="Arial" w:cs="Arial"/>
            <w:sz w:val="22"/>
            <w:szCs w:val="22"/>
          </w:rPr>
          <w:t>Implementation of an interprofessional collaboration in practice program: a feasibility study using social network analysis | Pilot and Feasibility Studies | Full Text</w:t>
        </w:r>
      </w:hyperlink>
      <w:r w:rsidR="005B3323">
        <w:rPr>
          <w:rFonts w:ascii="Arial" w:hAnsi="Arial" w:cs="Arial"/>
          <w:sz w:val="22"/>
          <w:szCs w:val="22"/>
        </w:rPr>
        <w:t xml:space="preserve"> </w:t>
      </w:r>
    </w:p>
    <w:p w14:paraId="49C954D9" w14:textId="1EC17ADC" w:rsidR="007103E5" w:rsidRPr="007103E5" w:rsidRDefault="007103E5" w:rsidP="007103E5">
      <w:pPr>
        <w:numPr>
          <w:ilvl w:val="0"/>
          <w:numId w:val="3"/>
        </w:numPr>
        <w:spacing w:line="360" w:lineRule="auto"/>
        <w:rPr>
          <w:rFonts w:ascii="Arial" w:hAnsi="Arial" w:cs="Arial"/>
          <w:sz w:val="22"/>
          <w:szCs w:val="22"/>
        </w:rPr>
      </w:pPr>
      <w:r w:rsidRPr="007103E5">
        <w:rPr>
          <w:rFonts w:ascii="Arial" w:hAnsi="Arial" w:cs="Arial"/>
          <w:sz w:val="22"/>
          <w:szCs w:val="22"/>
        </w:rPr>
        <w:t xml:space="preserve">G2.com (2024) </w:t>
      </w:r>
      <w:r w:rsidRPr="007103E5">
        <w:rPr>
          <w:rFonts w:ascii="Arial" w:hAnsi="Arial" w:cs="Arial"/>
          <w:i/>
          <w:iCs/>
          <w:sz w:val="22"/>
          <w:szCs w:val="22"/>
        </w:rPr>
        <w:t>Everything you need to know about communication theory: Shannon &amp; Weaver model</w:t>
      </w:r>
      <w:r w:rsidRPr="007103E5">
        <w:rPr>
          <w:rFonts w:ascii="Arial" w:hAnsi="Arial" w:cs="Arial"/>
          <w:sz w:val="22"/>
          <w:szCs w:val="22"/>
        </w:rPr>
        <w:t xml:space="preserve">. Available at: </w:t>
      </w:r>
      <w:hyperlink r:id="rId9" w:tgtFrame="_new" w:history="1">
        <w:r w:rsidRPr="007103E5">
          <w:rPr>
            <w:rStyle w:val="Hyperlink"/>
            <w:rFonts w:ascii="Arial" w:hAnsi="Arial" w:cs="Arial"/>
            <w:sz w:val="22"/>
            <w:szCs w:val="22"/>
          </w:rPr>
          <w:t>https://www.g2.c</w:t>
        </w:r>
        <w:r w:rsidRPr="007103E5">
          <w:rPr>
            <w:rStyle w:val="Hyperlink"/>
            <w:rFonts w:ascii="Arial" w:hAnsi="Arial" w:cs="Arial"/>
            <w:sz w:val="22"/>
            <w:szCs w:val="22"/>
          </w:rPr>
          <w:t>om/articles/communication-theory</w:t>
        </w:r>
      </w:hyperlink>
      <w:r w:rsidRPr="007103E5">
        <w:rPr>
          <w:rFonts w:ascii="Arial" w:hAnsi="Arial" w:cs="Arial"/>
          <w:sz w:val="22"/>
          <w:szCs w:val="22"/>
        </w:rPr>
        <w:t xml:space="preserve"> </w:t>
      </w:r>
    </w:p>
    <w:p w14:paraId="4BC8F0AF" w14:textId="0499E3B6" w:rsidR="007103E5" w:rsidRPr="007103E5" w:rsidRDefault="007103E5" w:rsidP="00555067">
      <w:pPr>
        <w:pStyle w:val="ListParagraph"/>
        <w:numPr>
          <w:ilvl w:val="0"/>
          <w:numId w:val="3"/>
        </w:numPr>
      </w:pPr>
      <w:r w:rsidRPr="007103E5">
        <w:t xml:space="preserve">NHS England (2023) </w:t>
      </w:r>
      <w:r w:rsidRPr="00555067">
        <w:rPr>
          <w:i/>
          <w:iCs/>
        </w:rPr>
        <w:t>Good communication with patients waiting for care: core principles</w:t>
      </w:r>
      <w:r w:rsidRPr="007103E5">
        <w:t xml:space="preserve">. Available at: </w:t>
      </w:r>
      <w:hyperlink r:id="rId10" w:history="1">
        <w:r w:rsidR="00291E4F" w:rsidRPr="00291E4F">
          <w:rPr>
            <w:rStyle w:val="Hyperlink"/>
          </w:rPr>
          <w:t>NHS England » Good communication with patients waiting for care: core principles</w:t>
        </w:r>
      </w:hyperlink>
      <w:r w:rsidR="00291E4F">
        <w:t xml:space="preserve"> </w:t>
      </w:r>
    </w:p>
    <w:p w14:paraId="76C639F8" w14:textId="0FBD66C9" w:rsidR="007103E5" w:rsidRPr="007103E5" w:rsidRDefault="007103E5" w:rsidP="007103E5">
      <w:pPr>
        <w:numPr>
          <w:ilvl w:val="0"/>
          <w:numId w:val="3"/>
        </w:numPr>
        <w:spacing w:line="360" w:lineRule="auto"/>
        <w:rPr>
          <w:rFonts w:ascii="Arial" w:hAnsi="Arial" w:cs="Arial"/>
          <w:sz w:val="22"/>
          <w:szCs w:val="22"/>
        </w:rPr>
      </w:pPr>
      <w:r w:rsidRPr="007103E5">
        <w:rPr>
          <w:rFonts w:ascii="Arial" w:hAnsi="Arial" w:cs="Arial"/>
          <w:sz w:val="22"/>
          <w:szCs w:val="22"/>
        </w:rPr>
        <w:lastRenderedPageBreak/>
        <w:t xml:space="preserve">Lee, E. (2021) </w:t>
      </w:r>
      <w:r w:rsidRPr="007103E5">
        <w:rPr>
          <w:rFonts w:ascii="Arial" w:hAnsi="Arial" w:cs="Arial"/>
          <w:i/>
          <w:iCs/>
          <w:sz w:val="22"/>
          <w:szCs w:val="22"/>
        </w:rPr>
        <w:t>Effective Communication in Health &amp; Social Care</w:t>
      </w:r>
      <w:r w:rsidRPr="007103E5">
        <w:rPr>
          <w:rFonts w:ascii="Arial" w:hAnsi="Arial" w:cs="Arial"/>
          <w:sz w:val="22"/>
          <w:szCs w:val="22"/>
        </w:rPr>
        <w:t xml:space="preserve">. Available at: </w:t>
      </w:r>
      <w:hyperlink r:id="rId11" w:tgtFrame="_new" w:history="1">
        <w:r w:rsidRPr="007103E5">
          <w:rPr>
            <w:rStyle w:val="Hyperlink"/>
            <w:rFonts w:ascii="Arial" w:hAnsi="Arial" w:cs="Arial"/>
            <w:sz w:val="22"/>
            <w:szCs w:val="22"/>
          </w:rPr>
          <w:t>https://www.cpd</w:t>
        </w:r>
        <w:r w:rsidRPr="007103E5">
          <w:rPr>
            <w:rStyle w:val="Hyperlink"/>
            <w:rFonts w:ascii="Arial" w:hAnsi="Arial" w:cs="Arial"/>
            <w:sz w:val="22"/>
            <w:szCs w:val="22"/>
          </w:rPr>
          <w:t>online.co.uk</w:t>
        </w:r>
      </w:hyperlink>
      <w:r w:rsidRPr="007103E5">
        <w:rPr>
          <w:rFonts w:ascii="Arial" w:hAnsi="Arial" w:cs="Arial"/>
          <w:sz w:val="22"/>
          <w:szCs w:val="22"/>
        </w:rPr>
        <w:t xml:space="preserve"> </w:t>
      </w:r>
    </w:p>
    <w:p w14:paraId="2DAADB7A" w14:textId="77777777" w:rsidR="007103E5" w:rsidRPr="007103E5" w:rsidRDefault="007103E5" w:rsidP="007103E5">
      <w:pPr>
        <w:numPr>
          <w:ilvl w:val="0"/>
          <w:numId w:val="3"/>
        </w:numPr>
        <w:spacing w:line="360" w:lineRule="auto"/>
        <w:rPr>
          <w:rFonts w:ascii="Arial" w:hAnsi="Arial" w:cs="Arial"/>
          <w:sz w:val="22"/>
          <w:szCs w:val="22"/>
        </w:rPr>
      </w:pPr>
      <w:r w:rsidRPr="007103E5">
        <w:rPr>
          <w:rFonts w:ascii="Arial" w:hAnsi="Arial" w:cs="Arial"/>
          <w:sz w:val="22"/>
          <w:szCs w:val="22"/>
        </w:rPr>
        <w:t xml:space="preserve">Equality Act 2010. London: HMSO. Available at: </w:t>
      </w:r>
      <w:hyperlink r:id="rId12" w:tgtFrame="_new" w:history="1">
        <w:r w:rsidRPr="007103E5">
          <w:rPr>
            <w:rStyle w:val="Hyperlink"/>
            <w:rFonts w:ascii="Arial" w:hAnsi="Arial" w:cs="Arial"/>
            <w:sz w:val="22"/>
            <w:szCs w:val="22"/>
          </w:rPr>
          <w:t>https://www.legislat</w:t>
        </w:r>
        <w:r w:rsidRPr="007103E5">
          <w:rPr>
            <w:rStyle w:val="Hyperlink"/>
            <w:rFonts w:ascii="Arial" w:hAnsi="Arial" w:cs="Arial"/>
            <w:sz w:val="22"/>
            <w:szCs w:val="22"/>
          </w:rPr>
          <w:t>ion.gov.uk/ukpga/2010/15/contents</w:t>
        </w:r>
      </w:hyperlink>
    </w:p>
    <w:p w14:paraId="0EB29EE1" w14:textId="77777777" w:rsidR="007103E5" w:rsidRPr="007103E5" w:rsidRDefault="007103E5" w:rsidP="007103E5">
      <w:pPr>
        <w:numPr>
          <w:ilvl w:val="0"/>
          <w:numId w:val="3"/>
        </w:numPr>
        <w:spacing w:line="360" w:lineRule="auto"/>
        <w:rPr>
          <w:rFonts w:ascii="Arial" w:hAnsi="Arial" w:cs="Arial"/>
          <w:sz w:val="22"/>
          <w:szCs w:val="22"/>
        </w:rPr>
      </w:pPr>
      <w:r w:rsidRPr="007103E5">
        <w:rPr>
          <w:rFonts w:ascii="Arial" w:hAnsi="Arial" w:cs="Arial"/>
          <w:sz w:val="22"/>
          <w:szCs w:val="22"/>
        </w:rPr>
        <w:t xml:space="preserve">Data Protection Act 2018. London: HMSO. Available at: </w:t>
      </w:r>
      <w:hyperlink r:id="rId13" w:tgtFrame="_new" w:history="1">
        <w:r w:rsidRPr="007103E5">
          <w:rPr>
            <w:rStyle w:val="Hyperlink"/>
            <w:rFonts w:ascii="Arial" w:hAnsi="Arial" w:cs="Arial"/>
            <w:sz w:val="22"/>
            <w:szCs w:val="22"/>
          </w:rPr>
          <w:t>https://www.legislation.gov.uk/ukpg</w:t>
        </w:r>
        <w:r w:rsidRPr="007103E5">
          <w:rPr>
            <w:rStyle w:val="Hyperlink"/>
            <w:rFonts w:ascii="Arial" w:hAnsi="Arial" w:cs="Arial"/>
            <w:sz w:val="22"/>
            <w:szCs w:val="22"/>
          </w:rPr>
          <w:t>a/2018/12/contents/enacted</w:t>
        </w:r>
      </w:hyperlink>
    </w:p>
    <w:p w14:paraId="7585E31E" w14:textId="48ACF394" w:rsidR="007103E5" w:rsidRPr="007103E5" w:rsidRDefault="007103E5" w:rsidP="007103E5">
      <w:pPr>
        <w:numPr>
          <w:ilvl w:val="0"/>
          <w:numId w:val="3"/>
        </w:numPr>
        <w:spacing w:line="360" w:lineRule="auto"/>
        <w:rPr>
          <w:rFonts w:ascii="Arial" w:hAnsi="Arial" w:cs="Arial"/>
          <w:sz w:val="22"/>
          <w:szCs w:val="22"/>
        </w:rPr>
      </w:pPr>
      <w:r w:rsidRPr="007103E5">
        <w:rPr>
          <w:rFonts w:ascii="Arial" w:hAnsi="Arial" w:cs="Arial"/>
          <w:sz w:val="22"/>
          <w:szCs w:val="22"/>
        </w:rPr>
        <w:t xml:space="preserve">Glasby, J. &amp; Dickinson, H. (2014) </w:t>
      </w:r>
      <w:r w:rsidRPr="007103E5">
        <w:rPr>
          <w:rFonts w:ascii="Arial" w:hAnsi="Arial" w:cs="Arial"/>
          <w:i/>
          <w:iCs/>
          <w:sz w:val="22"/>
          <w:szCs w:val="22"/>
        </w:rPr>
        <w:t>Partnership working in health and social care: what is integrated care and how can we deliver it?</w:t>
      </w:r>
      <w:r w:rsidRPr="007103E5">
        <w:rPr>
          <w:rFonts w:ascii="Arial" w:hAnsi="Arial" w:cs="Arial"/>
          <w:sz w:val="22"/>
          <w:szCs w:val="22"/>
        </w:rPr>
        <w:t xml:space="preserve"> Bristol: The Policy Press.</w:t>
      </w:r>
      <w:r w:rsidR="00127E80">
        <w:rPr>
          <w:rFonts w:ascii="Arial" w:hAnsi="Arial" w:cs="Arial"/>
          <w:sz w:val="22"/>
          <w:szCs w:val="22"/>
        </w:rPr>
        <w:t xml:space="preserve"> </w:t>
      </w:r>
    </w:p>
    <w:p w14:paraId="6904962F" w14:textId="77777777" w:rsidR="00B34CAD" w:rsidRPr="00FC17D5" w:rsidRDefault="00B34CAD" w:rsidP="00FC17D5">
      <w:pPr>
        <w:spacing w:line="360" w:lineRule="auto"/>
        <w:rPr>
          <w:rFonts w:ascii="Arial" w:hAnsi="Arial" w:cs="Arial"/>
          <w:sz w:val="22"/>
          <w:szCs w:val="22"/>
        </w:rPr>
      </w:pPr>
    </w:p>
    <w:sectPr w:rsidR="00B34CAD" w:rsidRPr="00FC17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54053"/>
    <w:multiLevelType w:val="hybridMultilevel"/>
    <w:tmpl w:val="2D929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F9347F"/>
    <w:multiLevelType w:val="multilevel"/>
    <w:tmpl w:val="67CA4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F918A4"/>
    <w:multiLevelType w:val="hybridMultilevel"/>
    <w:tmpl w:val="C5863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3792323">
    <w:abstractNumId w:val="2"/>
  </w:num>
  <w:num w:numId="2" w16cid:durableId="1943803615">
    <w:abstractNumId w:val="0"/>
  </w:num>
  <w:num w:numId="3" w16cid:durableId="14249565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CAD"/>
    <w:rsid w:val="00055714"/>
    <w:rsid w:val="000C4A71"/>
    <w:rsid w:val="000D5011"/>
    <w:rsid w:val="00127E80"/>
    <w:rsid w:val="0014030F"/>
    <w:rsid w:val="00160F00"/>
    <w:rsid w:val="00182DA0"/>
    <w:rsid w:val="001C6C57"/>
    <w:rsid w:val="001E3925"/>
    <w:rsid w:val="00202573"/>
    <w:rsid w:val="002071BA"/>
    <w:rsid w:val="00222FE4"/>
    <w:rsid w:val="00291E4F"/>
    <w:rsid w:val="002C76F9"/>
    <w:rsid w:val="00340923"/>
    <w:rsid w:val="00347A46"/>
    <w:rsid w:val="003A7D77"/>
    <w:rsid w:val="0047334E"/>
    <w:rsid w:val="00480A8D"/>
    <w:rsid w:val="004867D7"/>
    <w:rsid w:val="0052123D"/>
    <w:rsid w:val="00522001"/>
    <w:rsid w:val="00532855"/>
    <w:rsid w:val="00555067"/>
    <w:rsid w:val="005B3323"/>
    <w:rsid w:val="00674D91"/>
    <w:rsid w:val="006A0879"/>
    <w:rsid w:val="006E0437"/>
    <w:rsid w:val="007103E5"/>
    <w:rsid w:val="007657B5"/>
    <w:rsid w:val="007D7D60"/>
    <w:rsid w:val="007E1631"/>
    <w:rsid w:val="00867E80"/>
    <w:rsid w:val="008D640F"/>
    <w:rsid w:val="0093595C"/>
    <w:rsid w:val="009423B5"/>
    <w:rsid w:val="009E0635"/>
    <w:rsid w:val="00A25C7B"/>
    <w:rsid w:val="00AA2467"/>
    <w:rsid w:val="00AA5E16"/>
    <w:rsid w:val="00AD5C8B"/>
    <w:rsid w:val="00B1751F"/>
    <w:rsid w:val="00B34CAD"/>
    <w:rsid w:val="00B42587"/>
    <w:rsid w:val="00B82627"/>
    <w:rsid w:val="00D26D83"/>
    <w:rsid w:val="00D35EFC"/>
    <w:rsid w:val="00D37F7C"/>
    <w:rsid w:val="00DB7FA0"/>
    <w:rsid w:val="00DD61D7"/>
    <w:rsid w:val="00DD72A0"/>
    <w:rsid w:val="00DF7746"/>
    <w:rsid w:val="00E2202F"/>
    <w:rsid w:val="00E33504"/>
    <w:rsid w:val="00E510CB"/>
    <w:rsid w:val="00E82559"/>
    <w:rsid w:val="00EB0A1D"/>
    <w:rsid w:val="00F23CA5"/>
    <w:rsid w:val="00F43090"/>
    <w:rsid w:val="00F43614"/>
    <w:rsid w:val="00F50A8F"/>
    <w:rsid w:val="00FC1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4CC63"/>
  <w15:chartTrackingRefBased/>
  <w15:docId w15:val="{82A9354B-F197-4B33-ADD4-1D6A3B9DB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C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4C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4C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4C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4C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4C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4C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4C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4C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C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4C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4C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4C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4C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4C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C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C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CAD"/>
    <w:rPr>
      <w:rFonts w:eastAsiaTheme="majorEastAsia" w:cstheme="majorBidi"/>
      <w:color w:val="272727" w:themeColor="text1" w:themeTint="D8"/>
    </w:rPr>
  </w:style>
  <w:style w:type="paragraph" w:styleId="Title">
    <w:name w:val="Title"/>
    <w:basedOn w:val="Normal"/>
    <w:next w:val="Normal"/>
    <w:link w:val="TitleChar"/>
    <w:uiPriority w:val="10"/>
    <w:qFormat/>
    <w:rsid w:val="00B34C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C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C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4C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CAD"/>
    <w:pPr>
      <w:spacing w:before="160"/>
      <w:jc w:val="center"/>
    </w:pPr>
    <w:rPr>
      <w:i/>
      <w:iCs/>
      <w:color w:val="404040" w:themeColor="text1" w:themeTint="BF"/>
    </w:rPr>
  </w:style>
  <w:style w:type="character" w:customStyle="1" w:styleId="QuoteChar">
    <w:name w:val="Quote Char"/>
    <w:basedOn w:val="DefaultParagraphFont"/>
    <w:link w:val="Quote"/>
    <w:uiPriority w:val="29"/>
    <w:rsid w:val="00B34CAD"/>
    <w:rPr>
      <w:i/>
      <w:iCs/>
      <w:color w:val="404040" w:themeColor="text1" w:themeTint="BF"/>
    </w:rPr>
  </w:style>
  <w:style w:type="paragraph" w:styleId="ListParagraph">
    <w:name w:val="List Paragraph"/>
    <w:basedOn w:val="Normal"/>
    <w:uiPriority w:val="34"/>
    <w:qFormat/>
    <w:rsid w:val="00B34CAD"/>
    <w:pPr>
      <w:ind w:left="720"/>
      <w:contextualSpacing/>
    </w:pPr>
  </w:style>
  <w:style w:type="character" w:styleId="IntenseEmphasis">
    <w:name w:val="Intense Emphasis"/>
    <w:basedOn w:val="DefaultParagraphFont"/>
    <w:uiPriority w:val="21"/>
    <w:qFormat/>
    <w:rsid w:val="00B34CAD"/>
    <w:rPr>
      <w:i/>
      <w:iCs/>
      <w:color w:val="0F4761" w:themeColor="accent1" w:themeShade="BF"/>
    </w:rPr>
  </w:style>
  <w:style w:type="paragraph" w:styleId="IntenseQuote">
    <w:name w:val="Intense Quote"/>
    <w:basedOn w:val="Normal"/>
    <w:next w:val="Normal"/>
    <w:link w:val="IntenseQuoteChar"/>
    <w:uiPriority w:val="30"/>
    <w:qFormat/>
    <w:rsid w:val="00B34C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4CAD"/>
    <w:rPr>
      <w:i/>
      <w:iCs/>
      <w:color w:val="0F4761" w:themeColor="accent1" w:themeShade="BF"/>
    </w:rPr>
  </w:style>
  <w:style w:type="character" w:styleId="IntenseReference">
    <w:name w:val="Intense Reference"/>
    <w:basedOn w:val="DefaultParagraphFont"/>
    <w:uiPriority w:val="32"/>
    <w:qFormat/>
    <w:rsid w:val="00B34CAD"/>
    <w:rPr>
      <w:b/>
      <w:bCs/>
      <w:smallCaps/>
      <w:color w:val="0F4761" w:themeColor="accent1" w:themeShade="BF"/>
      <w:spacing w:val="5"/>
    </w:rPr>
  </w:style>
  <w:style w:type="character" w:styleId="Hyperlink">
    <w:name w:val="Hyperlink"/>
    <w:basedOn w:val="DefaultParagraphFont"/>
    <w:uiPriority w:val="99"/>
    <w:unhideWhenUsed/>
    <w:rsid w:val="00A25C7B"/>
    <w:rPr>
      <w:color w:val="467886" w:themeColor="hyperlink"/>
      <w:u w:val="single"/>
    </w:rPr>
  </w:style>
  <w:style w:type="character" w:styleId="UnresolvedMention">
    <w:name w:val="Unresolved Mention"/>
    <w:basedOn w:val="DefaultParagraphFont"/>
    <w:uiPriority w:val="99"/>
    <w:semiHidden/>
    <w:unhideWhenUsed/>
    <w:rsid w:val="00A25C7B"/>
    <w:rPr>
      <w:color w:val="605E5C"/>
      <w:shd w:val="clear" w:color="auto" w:fill="E1DFDD"/>
    </w:rPr>
  </w:style>
  <w:style w:type="character" w:styleId="FollowedHyperlink">
    <w:name w:val="FollowedHyperlink"/>
    <w:basedOn w:val="DefaultParagraphFont"/>
    <w:uiPriority w:val="99"/>
    <w:semiHidden/>
    <w:unhideWhenUsed/>
    <w:rsid w:val="00D26D8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lotfeasibilitystudies.biomedcentral.com/articles/10.1186/s40814-020-00746-3" TargetMode="External"/><Relationship Id="rId13" Type="http://schemas.openxmlformats.org/officeDocument/2006/relationships/hyperlink" Target="https://www.legislation.gov.uk/ukpga/2018/12/contents/enacted" TargetMode="External"/><Relationship Id="rId3" Type="http://schemas.openxmlformats.org/officeDocument/2006/relationships/settings" Target="settings.xml"/><Relationship Id="rId7" Type="http://schemas.openxmlformats.org/officeDocument/2006/relationships/hyperlink" Target="https://bmcnurs.biomedcentral.com/articles/10.1186/s12912-023-01490-8" TargetMode="External"/><Relationship Id="rId12" Type="http://schemas.openxmlformats.org/officeDocument/2006/relationships/hyperlink" Target="https://www.legislation.gov.uk/ukpga/2010/15/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2018/12/contents/enacted" TargetMode="External"/><Relationship Id="rId11" Type="http://schemas.openxmlformats.org/officeDocument/2006/relationships/hyperlink" Target="https://www.cpdonline.co.uk" TargetMode="External"/><Relationship Id="rId5" Type="http://schemas.openxmlformats.org/officeDocument/2006/relationships/hyperlink" Target="https://www.legislation.gov.uk/ukpga/2010/15/contents" TargetMode="External"/><Relationship Id="rId15" Type="http://schemas.openxmlformats.org/officeDocument/2006/relationships/theme" Target="theme/theme1.xml"/><Relationship Id="rId10" Type="http://schemas.openxmlformats.org/officeDocument/2006/relationships/hyperlink" Target="https://www.england.nhs.uk/long-read/good-communication-with-patients-waiting-for-care-core-principles/" TargetMode="External"/><Relationship Id="rId4" Type="http://schemas.openxmlformats.org/officeDocument/2006/relationships/webSettings" Target="webSettings.xml"/><Relationship Id="rId9" Type="http://schemas.openxmlformats.org/officeDocument/2006/relationships/hyperlink" Target="https://www.g2.com/articles/communication-theor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1631</Words>
  <Characters>9298</Characters>
  <Application>Microsoft Office Word</Application>
  <DocSecurity>0</DocSecurity>
  <Lines>77</Lines>
  <Paragraphs>21</Paragraphs>
  <ScaleCrop>false</ScaleCrop>
  <Company/>
  <LinksUpToDate>false</LinksUpToDate>
  <CharactersWithSpaces>10908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Maymunah akhtar</dc:creator>
  <cp:keywords/>
  <dc:description/>
  <cp:lastModifiedBy>Maymunah akhtar</cp:lastModifiedBy>
  <cp:revision>2</cp:revision>
  <dcterms:created xsi:type="dcterms:W3CDTF">2025-11-21T07:25:00Z</dcterms:created>
  <dcterms:modified xsi:type="dcterms:W3CDTF">2025-11-21T07:25:00Z</dcterms:modified>
</cp:coreProperties>
</file>