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charts/chart4.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customXml/itemProps4.xml" ContentType="application/vnd.openxmlformats-officedocument.customXmlProperties+xml"/>
  <Override PartName="/customXml/itemProps5.xml" ContentType="application/vnd.openxmlformats-officedocument.customXmlProperties+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rsidP="00064FB0">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F351B4" w:rsidP="00F351B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Hilton Hotel</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F351B4" w:rsidP="00064FB0">
              <w:pPr>
                <w:pStyle w:val="NoSpacing"/>
                <w:jc w:val="center"/>
                <w:rPr>
                  <w:color w:val="5B9BD5" w:themeColor="accent1"/>
                  <w:sz w:val="28"/>
                  <w:szCs w:val="28"/>
                </w:rPr>
              </w:pPr>
              <w:r>
                <w:rPr>
                  <w:color w:val="5B9BD5" w:themeColor="accent1"/>
                  <w:sz w:val="28"/>
                  <w:szCs w:val="28"/>
                </w:rPr>
                <w:t xml:space="preserve">Financial Analysis </w:t>
              </w:r>
            </w:p>
          </w:sdtContent>
        </w:sdt>
        <w:p w:rsidR="007D1947" w:rsidRDefault="008F48B4" w:rsidP="00064FB0">
          <w:pPr>
            <w:pStyle w:val="NoSpacing"/>
            <w:spacing w:before="480"/>
            <w:jc w:val="center"/>
            <w:rPr>
              <w:color w:val="5B9BD5" w:themeColor="accent1"/>
            </w:rPr>
          </w:pPr>
          <w:r>
            <w:rPr>
              <w:noProof/>
              <w:color w:val="5B9BD5"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782172380"/>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Content>
                        <w:p w:rsidR="007D1947" w:rsidRDefault="00F351B4">
                          <w:pPr>
                            <w:pStyle w:val="NoSpacing"/>
                            <w:spacing w:after="40"/>
                            <w:jc w:val="center"/>
                            <w:rPr>
                              <w:caps/>
                              <w:color w:val="5B9BD5" w:themeColor="accent1"/>
                              <w:sz w:val="28"/>
                              <w:szCs w:val="28"/>
                            </w:rPr>
                          </w:pPr>
                          <w:r>
                            <w:rPr>
                              <w:caps/>
                              <w:color w:val="5B9BD5" w:themeColor="accent1"/>
                              <w:sz w:val="28"/>
                              <w:szCs w:val="28"/>
                            </w:rPr>
                            <w:t>June 1, 2022</w:t>
                          </w:r>
                        </w:p>
                      </w:sdtContent>
                    </w:sdt>
                    <w:p w:rsidR="007D1947" w:rsidRDefault="008F48B4">
                      <w:pPr>
                        <w:pStyle w:val="NoSpacing"/>
                        <w:jc w:val="center"/>
                        <w:rPr>
                          <w:color w:val="5B9BD5" w:themeColor="accent1"/>
                        </w:rPr>
                      </w:pPr>
                      <w:sdt>
                        <w:sdtPr>
                          <w:rPr>
                            <w:caps/>
                            <w:color w:val="5B9BD5" w:themeColor="accent1"/>
                          </w:rPr>
                          <w:alias w:val="Company"/>
                          <w:tag w:val=""/>
                          <w:id w:val="-270558385"/>
                          <w:dataBinding w:prefixMappings="xmlns:ns0='http://schemas.openxmlformats.org/officeDocument/2006/extended-properties' " w:xpath="/ns0:Properties[1]/ns0:Company[1]" w:storeItemID="{6668398D-A668-4E3E-A5EB-62B293D839F1}"/>
                          <w:text/>
                        </w:sdtPr>
                        <w:sdtContent>
                          <w:r w:rsidR="00F351B4">
                            <w:rPr>
                              <w:caps/>
                              <w:color w:val="5B9BD5" w:themeColor="accent1"/>
                            </w:rPr>
                            <w:t>University of wales trinity saint david</w:t>
                          </w:r>
                        </w:sdtContent>
                      </w:sdt>
                    </w:p>
                    <w:p w:rsidR="007D1947" w:rsidRDefault="008F48B4">
                      <w:pPr>
                        <w:pStyle w:val="NoSpacing"/>
                        <w:jc w:val="center"/>
                        <w:rPr>
                          <w:color w:val="5B9BD5" w:themeColor="accent1"/>
                        </w:rPr>
                      </w:pPr>
                      <w:sdt>
                        <w:sdtPr>
                          <w:rPr>
                            <w:color w:val="5B9BD5" w:themeColor="accent1"/>
                          </w:rPr>
                          <w:alias w:val="Address"/>
                          <w:tag w:val=""/>
                          <w:id w:val="2003462780"/>
                          <w:showingPlcHdr/>
                          <w:dataBinding w:prefixMappings="xmlns:ns0='http://schemas.microsoft.com/office/2006/coverPageProps' " w:xpath="/ns0:CoverPageProperties[1]/ns0:CompanyAddress[1]" w:storeItemID="{55AF091B-3C7A-41E3-B477-F2FDAA23CFDA}"/>
                          <w:text/>
                        </w:sdtPr>
                        <w:sdtContent>
                          <w:r w:rsidR="009B4C98">
                            <w:rPr>
                              <w:color w:val="5B9BD5" w:themeColor="accent1"/>
                            </w:rPr>
                            <w:t xml:space="preserve">     </w:t>
                          </w:r>
                        </w:sdtContent>
                      </w:sdt>
                    </w:p>
                  </w:txbxContent>
                </v:textbox>
                <w10:wrap anchorx="margin" anchory="page"/>
              </v:shape>
            </w:pict>
          </w:r>
          <w:r w:rsidR="007D1947">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351B4" w:rsidRDefault="00F351B4" w:rsidP="00064FB0">
          <w:pPr>
            <w:pStyle w:val="Heading1"/>
            <w:jc w:val="center"/>
          </w:pPr>
        </w:p>
        <w:p w:rsidR="00F351B4" w:rsidRDefault="00F351B4" w:rsidP="00064FB0">
          <w:pPr>
            <w:pStyle w:val="Heading1"/>
            <w:jc w:val="center"/>
          </w:pPr>
        </w:p>
        <w:p w:rsidR="00F351B4" w:rsidRPr="00F351B4" w:rsidRDefault="00F351B4" w:rsidP="00F351B4">
          <w:pPr>
            <w:pStyle w:val="Heading1"/>
            <w:rPr>
              <w:color w:val="5B9BD5" w:themeColor="accent1"/>
            </w:rPr>
          </w:pPr>
          <w:r w:rsidRPr="00F351B4">
            <w:rPr>
              <w:color w:val="5B9BD5" w:themeColor="accent1"/>
            </w:rPr>
            <w:t xml:space="preserve">Module: Financial Management </w:t>
          </w:r>
        </w:p>
        <w:p w:rsidR="007D1947" w:rsidRDefault="00F351B4" w:rsidP="00F351B4">
          <w:pPr>
            <w:pStyle w:val="Heading1"/>
          </w:pPr>
          <w:r w:rsidRPr="00F351B4">
            <w:rPr>
              <w:color w:val="5B9BD5" w:themeColor="accent1"/>
            </w:rPr>
            <w:t>Module Code: BMIH5007</w:t>
          </w:r>
          <w:r w:rsidR="007D1947">
            <w:br w:type="page"/>
          </w:r>
          <w:bookmarkStart w:id="0" w:name="_Toc104820061"/>
          <w:r w:rsidR="007D1947">
            <w:lastRenderedPageBreak/>
            <w:t>Executive Summary</w:t>
          </w:r>
          <w:bookmarkEnd w:id="0"/>
        </w:p>
        <w:p w:rsidR="007054A3" w:rsidRPr="00135C49" w:rsidRDefault="007054A3" w:rsidP="00064FB0">
          <w:pPr>
            <w:spacing w:line="480" w:lineRule="auto"/>
            <w:jc w:val="both"/>
            <w:rPr>
              <w:rFonts w:ascii="Times New Roman" w:hAnsi="Times New Roman" w:cs="Times New Roman"/>
              <w:sz w:val="24"/>
              <w:szCs w:val="24"/>
            </w:rPr>
          </w:pPr>
          <w:r w:rsidRPr="00135C49">
            <w:rPr>
              <w:rFonts w:ascii="Times New Roman" w:hAnsi="Times New Roman" w:cs="Times New Roman"/>
              <w:sz w:val="24"/>
              <w:szCs w:val="24"/>
            </w:rPr>
            <w:t xml:space="preserve">This report evaluates the performance of Hilton Hotels. First, it evaluates the trend in performance, and then evaluates the financial ratios. The ratios show that there was a decline in performance in 2020, because of the Corona virus pandemic. While the ratios have the advantage of making it possible to show trends and also compare performance with the rest of the industry, there are limitations in that they can conflict each other or may not give meaningful information. This is why the hotel industry has to evaluate other additional information to make it possible to make right decisions. </w:t>
          </w:r>
          <w:r>
            <w:rPr>
              <w:rFonts w:ascii="Times New Roman" w:hAnsi="Times New Roman" w:cs="Times New Roman"/>
              <w:sz w:val="24"/>
              <w:szCs w:val="24"/>
            </w:rPr>
            <w:t xml:space="preserve">In short, there was an overall decline in performance of Hilton hotels, and this can be related to Corona virus pandemic. </w:t>
          </w: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sdt>
          <w:sdtPr>
            <w:rPr>
              <w:rFonts w:asciiTheme="minorHAnsi" w:eastAsiaTheme="minorHAnsi" w:hAnsiTheme="minorHAnsi" w:cstheme="minorBidi"/>
              <w:b w:val="0"/>
              <w:sz w:val="22"/>
              <w:szCs w:val="22"/>
              <w:lang w:val="en-GB"/>
            </w:rPr>
            <w:id w:val="-1297214018"/>
            <w:docPartObj>
              <w:docPartGallery w:val="Table of Contents"/>
              <w:docPartUnique/>
            </w:docPartObj>
          </w:sdtPr>
          <w:sdtEndPr>
            <w:rPr>
              <w:bCs/>
              <w:noProof/>
            </w:rPr>
          </w:sdtEndPr>
          <w:sdtContent>
            <w:p w:rsidR="007D1947" w:rsidRDefault="007D1947" w:rsidP="00064FB0">
              <w:pPr>
                <w:pStyle w:val="TOCHeading"/>
                <w:jc w:val="both"/>
              </w:pPr>
              <w:r>
                <w:t>Table of Contents</w:t>
              </w:r>
            </w:p>
            <w:p w:rsidR="004F0508" w:rsidRPr="004F0508" w:rsidRDefault="008F48B4" w:rsidP="004F0508">
              <w:pPr>
                <w:pStyle w:val="TOC1"/>
                <w:tabs>
                  <w:tab w:val="right" w:leader="dot" w:pos="9016"/>
                </w:tabs>
                <w:spacing w:line="480" w:lineRule="auto"/>
                <w:rPr>
                  <w:rFonts w:ascii="Times New Roman" w:eastAsiaTheme="minorEastAsia" w:hAnsi="Times New Roman" w:cs="Times New Roman"/>
                  <w:noProof/>
                  <w:sz w:val="24"/>
                  <w:szCs w:val="24"/>
                  <w:lang w:val="en-US"/>
                </w:rPr>
              </w:pPr>
              <w:r w:rsidRPr="008F48B4">
                <w:rPr>
                  <w:rFonts w:ascii="Times New Roman" w:hAnsi="Times New Roman" w:cs="Times New Roman"/>
                  <w:sz w:val="24"/>
                  <w:szCs w:val="24"/>
                </w:rPr>
                <w:fldChar w:fldCharType="begin"/>
              </w:r>
              <w:r w:rsidR="007D1947" w:rsidRPr="004F0508">
                <w:rPr>
                  <w:rFonts w:ascii="Times New Roman" w:hAnsi="Times New Roman" w:cs="Times New Roman"/>
                  <w:sz w:val="24"/>
                  <w:szCs w:val="24"/>
                </w:rPr>
                <w:instrText xml:space="preserve"> TOC \o "1-3" \h \z \u </w:instrText>
              </w:r>
              <w:r w:rsidRPr="008F48B4">
                <w:rPr>
                  <w:rFonts w:ascii="Times New Roman" w:hAnsi="Times New Roman" w:cs="Times New Roman"/>
                  <w:sz w:val="24"/>
                  <w:szCs w:val="24"/>
                </w:rPr>
                <w:fldChar w:fldCharType="separate"/>
              </w:r>
              <w:hyperlink w:anchor="_Toc104820061" w:history="1">
                <w:r w:rsidR="004F0508" w:rsidRPr="004F0508">
                  <w:rPr>
                    <w:rStyle w:val="Hyperlink"/>
                    <w:rFonts w:ascii="Times New Roman" w:hAnsi="Times New Roman" w:cs="Times New Roman"/>
                    <w:noProof/>
                    <w:sz w:val="24"/>
                    <w:szCs w:val="24"/>
                  </w:rPr>
                  <w:t>Executive Summary</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_Toc104820061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1</w:t>
                </w:r>
                <w:r w:rsidRPr="004F0508">
                  <w:rPr>
                    <w:rFonts w:ascii="Times New Roman" w:hAnsi="Times New Roman" w:cs="Times New Roman"/>
                    <w:noProof/>
                    <w:webHidden/>
                    <w:sz w:val="24"/>
                    <w:szCs w:val="24"/>
                  </w:rPr>
                  <w:fldChar w:fldCharType="end"/>
                </w:r>
              </w:hyperlink>
            </w:p>
            <w:p w:rsidR="004F0508" w:rsidRPr="004F0508" w:rsidRDefault="008F48B4" w:rsidP="004F0508">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104820062" w:history="1">
                <w:r w:rsidR="004F0508" w:rsidRPr="004F0508">
                  <w:rPr>
                    <w:rStyle w:val="Hyperlink"/>
                    <w:rFonts w:ascii="Times New Roman" w:hAnsi="Times New Roman" w:cs="Times New Roman"/>
                    <w:noProof/>
                    <w:sz w:val="24"/>
                    <w:szCs w:val="24"/>
                  </w:rPr>
                  <w:t>Introduction</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_Toc104820062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3</w:t>
                </w:r>
                <w:r w:rsidRPr="004F0508">
                  <w:rPr>
                    <w:rFonts w:ascii="Times New Roman" w:hAnsi="Times New Roman" w:cs="Times New Roman"/>
                    <w:noProof/>
                    <w:webHidden/>
                    <w:sz w:val="24"/>
                    <w:szCs w:val="24"/>
                  </w:rPr>
                  <w:fldChar w:fldCharType="end"/>
                </w:r>
              </w:hyperlink>
            </w:p>
            <w:p w:rsidR="004F0508" w:rsidRPr="004F0508" w:rsidRDefault="008F48B4" w:rsidP="004F0508">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104820063" w:history="1">
                <w:r w:rsidR="004F0508" w:rsidRPr="004F0508">
                  <w:rPr>
                    <w:rStyle w:val="Hyperlink"/>
                    <w:rFonts w:ascii="Times New Roman" w:hAnsi="Times New Roman" w:cs="Times New Roman"/>
                    <w:noProof/>
                    <w:sz w:val="24"/>
                    <w:szCs w:val="24"/>
                  </w:rPr>
                  <w:t>Financial Analysis</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_Toc104820063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3</w:t>
                </w:r>
                <w:r w:rsidRPr="004F0508">
                  <w:rPr>
                    <w:rFonts w:ascii="Times New Roman" w:hAnsi="Times New Roman" w:cs="Times New Roman"/>
                    <w:noProof/>
                    <w:webHidden/>
                    <w:sz w:val="24"/>
                    <w:szCs w:val="24"/>
                  </w:rPr>
                  <w:fldChar w:fldCharType="end"/>
                </w:r>
              </w:hyperlink>
            </w:p>
            <w:p w:rsidR="004F0508" w:rsidRPr="004F0508" w:rsidRDefault="008F48B4" w:rsidP="004F0508">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104820064" w:history="1">
                <w:r w:rsidR="004F0508" w:rsidRPr="004F0508">
                  <w:rPr>
                    <w:rStyle w:val="Hyperlink"/>
                    <w:rFonts w:ascii="Times New Roman" w:hAnsi="Times New Roman" w:cs="Times New Roman"/>
                    <w:noProof/>
                    <w:sz w:val="24"/>
                    <w:szCs w:val="24"/>
                  </w:rPr>
                  <w:t>Financial Analysis Trends</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_Toc104820064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4</w:t>
                </w:r>
                <w:r w:rsidRPr="004F0508">
                  <w:rPr>
                    <w:rFonts w:ascii="Times New Roman" w:hAnsi="Times New Roman" w:cs="Times New Roman"/>
                    <w:noProof/>
                    <w:webHidden/>
                    <w:sz w:val="24"/>
                    <w:szCs w:val="24"/>
                  </w:rPr>
                  <w:fldChar w:fldCharType="end"/>
                </w:r>
              </w:hyperlink>
            </w:p>
            <w:p w:rsidR="004F0508" w:rsidRPr="004F0508" w:rsidRDefault="008F48B4" w:rsidP="004F0508">
              <w:pPr>
                <w:pStyle w:val="TOC2"/>
                <w:tabs>
                  <w:tab w:val="left" w:pos="660"/>
                  <w:tab w:val="right" w:leader="dot" w:pos="9016"/>
                </w:tabs>
                <w:spacing w:line="480" w:lineRule="auto"/>
                <w:rPr>
                  <w:rFonts w:ascii="Times New Roman" w:eastAsiaTheme="minorEastAsia" w:hAnsi="Times New Roman" w:cs="Times New Roman"/>
                  <w:noProof/>
                  <w:sz w:val="24"/>
                  <w:szCs w:val="24"/>
                  <w:lang w:val="en-US"/>
                </w:rPr>
              </w:pPr>
              <w:hyperlink w:anchor="_Toc104820065" w:history="1">
                <w:r w:rsidR="004F0508" w:rsidRPr="004F0508">
                  <w:rPr>
                    <w:rStyle w:val="Hyperlink"/>
                    <w:rFonts w:ascii="Times New Roman" w:hAnsi="Times New Roman" w:cs="Times New Roman"/>
                    <w:bCs/>
                    <w:noProof/>
                    <w:sz w:val="24"/>
                    <w:szCs w:val="24"/>
                  </w:rPr>
                  <w:t>a)</w:t>
                </w:r>
                <w:r w:rsidR="004F0508" w:rsidRPr="004F0508">
                  <w:rPr>
                    <w:rFonts w:ascii="Times New Roman" w:eastAsiaTheme="minorEastAsia" w:hAnsi="Times New Roman" w:cs="Times New Roman"/>
                    <w:noProof/>
                    <w:sz w:val="24"/>
                    <w:szCs w:val="24"/>
                    <w:lang w:val="en-US"/>
                  </w:rPr>
                  <w:tab/>
                </w:r>
                <w:r w:rsidR="004F0508" w:rsidRPr="004F0508">
                  <w:rPr>
                    <w:rStyle w:val="Hyperlink"/>
                    <w:rFonts w:ascii="Times New Roman" w:hAnsi="Times New Roman" w:cs="Times New Roman"/>
                    <w:noProof/>
                    <w:sz w:val="24"/>
                    <w:szCs w:val="24"/>
                  </w:rPr>
                  <w:t>Horizontal ratios for 2019 and 2020</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_Toc104820065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4</w:t>
                </w:r>
                <w:r w:rsidRPr="004F0508">
                  <w:rPr>
                    <w:rFonts w:ascii="Times New Roman" w:hAnsi="Times New Roman" w:cs="Times New Roman"/>
                    <w:noProof/>
                    <w:webHidden/>
                    <w:sz w:val="24"/>
                    <w:szCs w:val="24"/>
                  </w:rPr>
                  <w:fldChar w:fldCharType="end"/>
                </w:r>
              </w:hyperlink>
            </w:p>
            <w:p w:rsidR="004F0508" w:rsidRPr="004F0508" w:rsidRDefault="008F48B4" w:rsidP="004F0508">
              <w:pPr>
                <w:pStyle w:val="TOC2"/>
                <w:tabs>
                  <w:tab w:val="left" w:pos="660"/>
                  <w:tab w:val="right" w:leader="dot" w:pos="9016"/>
                </w:tabs>
                <w:spacing w:line="480" w:lineRule="auto"/>
                <w:rPr>
                  <w:rFonts w:ascii="Times New Roman" w:eastAsiaTheme="minorEastAsia" w:hAnsi="Times New Roman" w:cs="Times New Roman"/>
                  <w:noProof/>
                  <w:sz w:val="24"/>
                  <w:szCs w:val="24"/>
                  <w:lang w:val="en-US"/>
                </w:rPr>
              </w:pPr>
              <w:hyperlink w:anchor="_Toc104820066" w:history="1">
                <w:r w:rsidR="004F0508" w:rsidRPr="004F0508">
                  <w:rPr>
                    <w:rStyle w:val="Hyperlink"/>
                    <w:rFonts w:ascii="Times New Roman" w:hAnsi="Times New Roman" w:cs="Times New Roman"/>
                    <w:noProof/>
                    <w:sz w:val="24"/>
                    <w:szCs w:val="24"/>
                  </w:rPr>
                  <w:t>b)</w:t>
                </w:r>
                <w:r w:rsidR="004F0508" w:rsidRPr="004F0508">
                  <w:rPr>
                    <w:rFonts w:ascii="Times New Roman" w:eastAsiaTheme="minorEastAsia" w:hAnsi="Times New Roman" w:cs="Times New Roman"/>
                    <w:noProof/>
                    <w:sz w:val="24"/>
                    <w:szCs w:val="24"/>
                    <w:lang w:val="en-US"/>
                  </w:rPr>
                  <w:tab/>
                </w:r>
                <w:r w:rsidR="004F0508" w:rsidRPr="004F0508">
                  <w:rPr>
                    <w:rStyle w:val="Hyperlink"/>
                    <w:rFonts w:ascii="Times New Roman" w:hAnsi="Times New Roman" w:cs="Times New Roman"/>
                    <w:noProof/>
                    <w:sz w:val="24"/>
                    <w:szCs w:val="24"/>
                  </w:rPr>
                  <w:t>Importance of using Ratio Analysis</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_Toc104820066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10</w:t>
                </w:r>
                <w:r w:rsidRPr="004F0508">
                  <w:rPr>
                    <w:rFonts w:ascii="Times New Roman" w:hAnsi="Times New Roman" w:cs="Times New Roman"/>
                    <w:noProof/>
                    <w:webHidden/>
                    <w:sz w:val="24"/>
                    <w:szCs w:val="24"/>
                  </w:rPr>
                  <w:fldChar w:fldCharType="end"/>
                </w:r>
              </w:hyperlink>
            </w:p>
            <w:p w:rsidR="004F0508" w:rsidRPr="004F0508" w:rsidRDefault="008F48B4" w:rsidP="004F0508">
              <w:pPr>
                <w:pStyle w:val="TOC2"/>
                <w:tabs>
                  <w:tab w:val="left" w:pos="660"/>
                  <w:tab w:val="right" w:leader="dot" w:pos="9016"/>
                </w:tabs>
                <w:spacing w:line="480" w:lineRule="auto"/>
                <w:rPr>
                  <w:rFonts w:ascii="Times New Roman" w:eastAsiaTheme="minorEastAsia" w:hAnsi="Times New Roman" w:cs="Times New Roman"/>
                  <w:noProof/>
                  <w:sz w:val="24"/>
                  <w:szCs w:val="24"/>
                  <w:lang w:val="en-US"/>
                </w:rPr>
              </w:pPr>
              <w:hyperlink w:anchor="_Toc104820067" w:history="1">
                <w:r w:rsidR="004F0508" w:rsidRPr="004F0508">
                  <w:rPr>
                    <w:rStyle w:val="Hyperlink"/>
                    <w:rFonts w:ascii="Times New Roman" w:hAnsi="Times New Roman" w:cs="Times New Roman"/>
                    <w:noProof/>
                    <w:sz w:val="24"/>
                    <w:szCs w:val="24"/>
                  </w:rPr>
                  <w:t>c)</w:t>
                </w:r>
                <w:r w:rsidR="004F0508" w:rsidRPr="004F0508">
                  <w:rPr>
                    <w:rFonts w:ascii="Times New Roman" w:eastAsiaTheme="minorEastAsia" w:hAnsi="Times New Roman" w:cs="Times New Roman"/>
                    <w:noProof/>
                    <w:sz w:val="24"/>
                    <w:szCs w:val="24"/>
                    <w:lang w:val="en-US"/>
                  </w:rPr>
                  <w:tab/>
                </w:r>
                <w:r w:rsidR="004F0508" w:rsidRPr="004F0508">
                  <w:rPr>
                    <w:rStyle w:val="Hyperlink"/>
                    <w:rFonts w:ascii="Times New Roman" w:hAnsi="Times New Roman" w:cs="Times New Roman"/>
                    <w:noProof/>
                    <w:sz w:val="24"/>
                    <w:szCs w:val="24"/>
                  </w:rPr>
                  <w:t>Limitations of Financial Ratios</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_Toc104820067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10</w:t>
                </w:r>
                <w:r w:rsidRPr="004F0508">
                  <w:rPr>
                    <w:rFonts w:ascii="Times New Roman" w:hAnsi="Times New Roman" w:cs="Times New Roman"/>
                    <w:noProof/>
                    <w:webHidden/>
                    <w:sz w:val="24"/>
                    <w:szCs w:val="24"/>
                  </w:rPr>
                  <w:fldChar w:fldCharType="end"/>
                </w:r>
              </w:hyperlink>
            </w:p>
            <w:p w:rsidR="004F0508" w:rsidRPr="004F0508" w:rsidRDefault="008F48B4" w:rsidP="004F0508">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104820068" w:history="1">
                <w:r w:rsidR="004F0508" w:rsidRPr="004F0508">
                  <w:rPr>
                    <w:rStyle w:val="Hyperlink"/>
                    <w:rFonts w:ascii="Times New Roman" w:hAnsi="Times New Roman" w:cs="Times New Roman"/>
                    <w:noProof/>
                    <w:sz w:val="24"/>
                    <w:szCs w:val="24"/>
                  </w:rPr>
                  <w:t>Conclusion</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_Toc104820068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11</w:t>
                </w:r>
                <w:r w:rsidRPr="004F0508">
                  <w:rPr>
                    <w:rFonts w:ascii="Times New Roman" w:hAnsi="Times New Roman" w:cs="Times New Roman"/>
                    <w:noProof/>
                    <w:webHidden/>
                    <w:sz w:val="24"/>
                    <w:szCs w:val="24"/>
                  </w:rPr>
                  <w:fldChar w:fldCharType="end"/>
                </w:r>
              </w:hyperlink>
            </w:p>
            <w:p w:rsidR="004F0508" w:rsidRPr="004F0508" w:rsidRDefault="008F48B4" w:rsidP="004F0508">
              <w:pPr>
                <w:pStyle w:val="TOC1"/>
                <w:tabs>
                  <w:tab w:val="right" w:leader="dot" w:pos="9016"/>
                </w:tabs>
                <w:spacing w:line="480" w:lineRule="auto"/>
                <w:rPr>
                  <w:rFonts w:ascii="Times New Roman" w:eastAsiaTheme="minorEastAsia" w:hAnsi="Times New Roman" w:cs="Times New Roman"/>
                  <w:noProof/>
                  <w:sz w:val="24"/>
                  <w:szCs w:val="24"/>
                  <w:lang w:val="en-US"/>
                </w:rPr>
              </w:pPr>
              <w:hyperlink w:anchor="_Toc104820069" w:history="1">
                <w:r w:rsidR="004F0508" w:rsidRPr="004F0508">
                  <w:rPr>
                    <w:rStyle w:val="Hyperlink"/>
                    <w:rFonts w:ascii="Times New Roman" w:hAnsi="Times New Roman" w:cs="Times New Roman"/>
                    <w:noProof/>
                    <w:sz w:val="24"/>
                    <w:szCs w:val="24"/>
                  </w:rPr>
                  <w:t>Reference List</w:t>
                </w:r>
                <w:r w:rsidR="004F0508" w:rsidRPr="004F0508">
                  <w:rPr>
                    <w:rFonts w:ascii="Times New Roman" w:hAnsi="Times New Roman" w:cs="Times New Roman"/>
                    <w:noProof/>
                    <w:webHidden/>
                    <w:sz w:val="24"/>
                    <w:szCs w:val="24"/>
                  </w:rPr>
                  <w:tab/>
                </w:r>
                <w:r w:rsidRPr="004F0508">
                  <w:rPr>
                    <w:rFonts w:ascii="Times New Roman" w:hAnsi="Times New Roman" w:cs="Times New Roman"/>
                    <w:noProof/>
                    <w:webHidden/>
                    <w:sz w:val="24"/>
                    <w:szCs w:val="24"/>
                  </w:rPr>
                  <w:fldChar w:fldCharType="begin"/>
                </w:r>
                <w:r w:rsidR="004F0508" w:rsidRPr="004F0508">
                  <w:rPr>
                    <w:rFonts w:ascii="Times New Roman" w:hAnsi="Times New Roman" w:cs="Times New Roman"/>
                    <w:noProof/>
                    <w:webHidden/>
                    <w:sz w:val="24"/>
                    <w:szCs w:val="24"/>
                  </w:rPr>
                  <w:instrText xml:space="preserve"> PAGEREF _Toc104820069 \h </w:instrText>
                </w:r>
                <w:r w:rsidRPr="004F0508">
                  <w:rPr>
                    <w:rFonts w:ascii="Times New Roman" w:hAnsi="Times New Roman" w:cs="Times New Roman"/>
                    <w:noProof/>
                    <w:webHidden/>
                    <w:sz w:val="24"/>
                    <w:szCs w:val="24"/>
                  </w:rPr>
                </w:r>
                <w:r w:rsidRPr="004F0508">
                  <w:rPr>
                    <w:rFonts w:ascii="Times New Roman" w:hAnsi="Times New Roman" w:cs="Times New Roman"/>
                    <w:noProof/>
                    <w:webHidden/>
                    <w:sz w:val="24"/>
                    <w:szCs w:val="24"/>
                  </w:rPr>
                  <w:fldChar w:fldCharType="separate"/>
                </w:r>
                <w:r w:rsidR="004F0508" w:rsidRPr="004F0508">
                  <w:rPr>
                    <w:rFonts w:ascii="Times New Roman" w:hAnsi="Times New Roman" w:cs="Times New Roman"/>
                    <w:noProof/>
                    <w:webHidden/>
                    <w:sz w:val="24"/>
                    <w:szCs w:val="24"/>
                  </w:rPr>
                  <w:t>12</w:t>
                </w:r>
                <w:r w:rsidRPr="004F0508">
                  <w:rPr>
                    <w:rFonts w:ascii="Times New Roman" w:hAnsi="Times New Roman" w:cs="Times New Roman"/>
                    <w:noProof/>
                    <w:webHidden/>
                    <w:sz w:val="24"/>
                    <w:szCs w:val="24"/>
                  </w:rPr>
                  <w:fldChar w:fldCharType="end"/>
                </w:r>
              </w:hyperlink>
            </w:p>
            <w:p w:rsidR="007D1947" w:rsidRDefault="008F48B4" w:rsidP="004F0508">
              <w:pPr>
                <w:spacing w:line="480" w:lineRule="auto"/>
                <w:jc w:val="both"/>
              </w:pPr>
              <w:r w:rsidRPr="004F0508">
                <w:rPr>
                  <w:rFonts w:ascii="Times New Roman" w:hAnsi="Times New Roman" w:cs="Times New Roman"/>
                  <w:b/>
                  <w:bCs/>
                  <w:noProof/>
                  <w:sz w:val="24"/>
                  <w:szCs w:val="24"/>
                </w:rPr>
                <w:fldChar w:fldCharType="end"/>
              </w:r>
            </w:p>
          </w:sdtContent>
        </w:sdt>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7D1947" w:rsidRDefault="007D1947" w:rsidP="00064FB0">
          <w:pPr>
            <w:jc w:val="both"/>
          </w:pPr>
        </w:p>
        <w:p w:rsidR="00EB364C" w:rsidRDefault="00EB364C">
          <w:pPr>
            <w:rPr>
              <w:rFonts w:ascii="Times New Roman" w:eastAsiaTheme="majorEastAsia" w:hAnsi="Times New Roman" w:cstheme="majorBidi"/>
              <w:b/>
              <w:sz w:val="24"/>
              <w:szCs w:val="32"/>
            </w:rPr>
          </w:pPr>
          <w:r>
            <w:br w:type="page"/>
          </w:r>
          <w:bookmarkStart w:id="1" w:name="_GoBack"/>
          <w:bookmarkEnd w:id="1"/>
        </w:p>
        <w:p w:rsidR="007D1947" w:rsidRDefault="007D1947" w:rsidP="00064FB0">
          <w:pPr>
            <w:pStyle w:val="Heading1"/>
            <w:jc w:val="both"/>
          </w:pPr>
          <w:bookmarkStart w:id="2" w:name="_Toc104820062"/>
          <w:r>
            <w:lastRenderedPageBreak/>
            <w:t>Introduction</w:t>
          </w:r>
          <w:bookmarkEnd w:id="2"/>
        </w:p>
        <w:p w:rsidR="004A11F6" w:rsidRDefault="004A11F6" w:rsidP="00064FB0">
          <w:pPr>
            <w:jc w:val="both"/>
          </w:pPr>
        </w:p>
        <w:p w:rsidR="004A11F6" w:rsidRPr="007054A3" w:rsidRDefault="00135C49"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 xml:space="preserve">Hilton holding is a group of hotels that operates worldwide. It is a US multinational company that was started in the year 1919. From the time it was started, it has opened branches all over the world, leading to its growth, and it is worth over 4billion US dollars as of 2020, with over 1700000 employees. The various stakeholders of the company are thus concerned about its performance, and this is why they have to evaluate the financial statements published by the company. However, financial statements alone may not tell much, and this is why ratio analysis is crucial. This report evaluates the performance of Hilton Holdings </w:t>
          </w:r>
          <w:proofErr w:type="gramStart"/>
          <w:r w:rsidRPr="006A59B4">
            <w:rPr>
              <w:rFonts w:ascii="Times New Roman" w:hAnsi="Times New Roman" w:cs="Times New Roman"/>
              <w:sz w:val="24"/>
              <w:szCs w:val="24"/>
            </w:rPr>
            <w:t>inc</w:t>
          </w:r>
          <w:proofErr w:type="gramEnd"/>
          <w:r>
            <w:rPr>
              <w:rFonts w:ascii="Times New Roman" w:hAnsi="Times New Roman" w:cs="Times New Roman"/>
              <w:sz w:val="24"/>
              <w:szCs w:val="24"/>
            </w:rPr>
            <w:t xml:space="preserve"> for the </w:t>
          </w:r>
          <w:r w:rsidR="007054A3">
            <w:rPr>
              <w:rFonts w:ascii="Times New Roman" w:hAnsi="Times New Roman" w:cs="Times New Roman"/>
              <w:sz w:val="24"/>
              <w:szCs w:val="24"/>
            </w:rPr>
            <w:t>years 2019</w:t>
          </w:r>
          <w:r>
            <w:rPr>
              <w:rFonts w:ascii="Times New Roman" w:hAnsi="Times New Roman" w:cs="Times New Roman"/>
              <w:sz w:val="24"/>
              <w:szCs w:val="24"/>
            </w:rPr>
            <w:t xml:space="preserve"> and 2020.</w:t>
          </w:r>
        </w:p>
        <w:p w:rsidR="004A11F6" w:rsidRDefault="004A11F6" w:rsidP="00064FB0">
          <w:pPr>
            <w:pStyle w:val="Heading1"/>
            <w:jc w:val="both"/>
          </w:pPr>
          <w:bookmarkStart w:id="3" w:name="_Toc104820063"/>
          <w:r>
            <w:t>Financial Analysis</w:t>
          </w:r>
          <w:bookmarkEnd w:id="3"/>
        </w:p>
        <w:tbl>
          <w:tblPr>
            <w:tblW w:w="9698" w:type="dxa"/>
            <w:tblLook w:val="04A0"/>
          </w:tblPr>
          <w:tblGrid>
            <w:gridCol w:w="3599"/>
            <w:gridCol w:w="1733"/>
            <w:gridCol w:w="1533"/>
            <w:gridCol w:w="1452"/>
            <w:gridCol w:w="1381"/>
          </w:tblGrid>
          <w:tr w:rsidR="00D35D97" w:rsidRPr="00D35D97" w:rsidTr="00064FB0">
            <w:trPr>
              <w:trHeight w:val="302"/>
            </w:trPr>
            <w:tc>
              <w:tcPr>
                <w:tcW w:w="35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Income Statement</w:t>
                </w:r>
              </w:p>
            </w:tc>
            <w:tc>
              <w:tcPr>
                <w:tcW w:w="1733" w:type="dxa"/>
                <w:tcBorders>
                  <w:top w:val="single" w:sz="4" w:space="0" w:color="auto"/>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Hilton Worldwide Holdings Inc. (HLT)</w:t>
                </w:r>
              </w:p>
            </w:tc>
            <w:tc>
              <w:tcPr>
                <w:tcW w:w="1533" w:type="dxa"/>
                <w:tcBorders>
                  <w:top w:val="single" w:sz="4" w:space="0" w:color="auto"/>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452" w:type="dxa"/>
                <w:tcBorders>
                  <w:top w:val="single" w:sz="4" w:space="0" w:color="auto"/>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381" w:type="dxa"/>
                <w:tcBorders>
                  <w:top w:val="single" w:sz="4" w:space="0" w:color="auto"/>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2020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2019</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Change</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 Change</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Fiscal Year Ends</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31/12/2021</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31/12/2020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Sales</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4,307,000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9,452,000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-5,145,000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-54.43</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Cost of goods sold</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3,724,000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7,017,000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-3,293,000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-46.93</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Gross profit</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583,000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2,435,000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-1,852,000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-76.06</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Operating Expenses</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702,000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859,000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-157,000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-18.28</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Operating income</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-119,000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1,576,000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-1,695,000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-107.55</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Interest Expense</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429,000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414,000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15,000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3.62</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 xml:space="preserve">Total Other income/ expenses net </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-376,000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82,000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-458,000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-558.54</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Income before taxes</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-924,000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1,244,000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-2,168,000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-174.28</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Net income</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-715,000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881,000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-1,596,000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-181.16</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 </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 </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 </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 </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2020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2019</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Change</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 Change</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Current Asset</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4,202,000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2,093,000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2,109,000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100.76</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Non Current Asset</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15,810,000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12,558,000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3,252,000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25.90</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Total Asset</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16,755,000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14,957,000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1,798,000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12.02</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Current Liabilities</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2,431,000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2,871,000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-440,000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-15.33</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proofErr w:type="spellStart"/>
                <w:r w:rsidRPr="00D35D97">
                  <w:rPr>
                    <w:rFonts w:ascii="Times New Roman" w:eastAsia="Times New Roman" w:hAnsi="Times New Roman" w:cs="Times New Roman"/>
                    <w:color w:val="000000"/>
                    <w:sz w:val="24"/>
                    <w:szCs w:val="24"/>
                  </w:rPr>
                  <w:t>Non current</w:t>
                </w:r>
                <w:proofErr w:type="spellEnd"/>
                <w:r w:rsidRPr="00D35D97">
                  <w:rPr>
                    <w:rFonts w:ascii="Times New Roman" w:eastAsia="Times New Roman" w:hAnsi="Times New Roman" w:cs="Times New Roman"/>
                    <w:color w:val="000000"/>
                    <w:sz w:val="24"/>
                    <w:szCs w:val="24"/>
                  </w:rPr>
                  <w:t xml:space="preserve"> Liabilities</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15,810,000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12,558,000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3,252,000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25.90</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Total Liabilities</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18,241,000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15,429,000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2,812,000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18.23</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Common Stock</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3,000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3,000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0.00</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lastRenderedPageBreak/>
                  <w:t>Retained Earnings</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-6,732,000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-5,965,000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-767,000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12.86</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Total Stockholders' Equity</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-1,490,000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-482,000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-1,008,000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209.13</w:t>
                </w:r>
              </w:p>
            </w:tc>
          </w:tr>
          <w:tr w:rsidR="00D35D97" w:rsidRPr="00D35D97" w:rsidTr="00064FB0">
            <w:trPr>
              <w:trHeight w:val="302"/>
            </w:trPr>
            <w:tc>
              <w:tcPr>
                <w:tcW w:w="3599" w:type="dxa"/>
                <w:tcBorders>
                  <w:top w:val="nil"/>
                  <w:left w:val="single" w:sz="4" w:space="0" w:color="auto"/>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Total Liabilities and Stockholder</w:t>
                </w:r>
              </w:p>
            </w:tc>
            <w:tc>
              <w:tcPr>
                <w:tcW w:w="17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16,755,000</w:t>
                </w:r>
              </w:p>
            </w:tc>
            <w:tc>
              <w:tcPr>
                <w:tcW w:w="1533"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rPr>
                  <w:t>14,957,000</w:t>
                </w:r>
              </w:p>
            </w:tc>
            <w:tc>
              <w:tcPr>
                <w:tcW w:w="1452"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1,798,000</w:t>
                </w:r>
              </w:p>
            </w:tc>
            <w:tc>
              <w:tcPr>
                <w:tcW w:w="1381" w:type="dxa"/>
                <w:tcBorders>
                  <w:top w:val="nil"/>
                  <w:left w:val="nil"/>
                  <w:bottom w:val="single" w:sz="4" w:space="0" w:color="auto"/>
                  <w:right w:val="single" w:sz="4" w:space="0" w:color="auto"/>
                </w:tcBorders>
                <w:shd w:val="clear" w:color="auto" w:fill="auto"/>
                <w:noWrap/>
                <w:vAlign w:val="bottom"/>
                <w:hideMark/>
              </w:tcPr>
              <w:p w:rsidR="00D35D97" w:rsidRPr="00D35D97" w:rsidRDefault="00D35D97" w:rsidP="00064FB0">
                <w:pPr>
                  <w:spacing w:after="0" w:line="240" w:lineRule="auto"/>
                  <w:jc w:val="both"/>
                  <w:rPr>
                    <w:rFonts w:ascii="Times New Roman" w:eastAsia="Times New Roman" w:hAnsi="Times New Roman" w:cs="Times New Roman"/>
                    <w:color w:val="000000"/>
                    <w:sz w:val="24"/>
                    <w:szCs w:val="24"/>
                    <w:lang w:val="en-US"/>
                  </w:rPr>
                </w:pPr>
                <w:r w:rsidRPr="00D35D97">
                  <w:rPr>
                    <w:rFonts w:ascii="Times New Roman" w:eastAsia="Times New Roman" w:hAnsi="Times New Roman" w:cs="Times New Roman"/>
                    <w:color w:val="000000"/>
                    <w:sz w:val="24"/>
                    <w:szCs w:val="24"/>
                    <w:lang w:val="en-US"/>
                  </w:rPr>
                  <w:t>12.02</w:t>
                </w:r>
              </w:p>
            </w:tc>
          </w:tr>
        </w:tbl>
        <w:p w:rsidR="009C1CE2" w:rsidRPr="007054A3" w:rsidRDefault="009C1CE2" w:rsidP="00064FB0">
          <w:pPr>
            <w:jc w:val="both"/>
            <w:rPr>
              <w:rFonts w:ascii="Times New Roman" w:hAnsi="Times New Roman" w:cs="Times New Roman"/>
              <w:sz w:val="24"/>
              <w:szCs w:val="24"/>
            </w:rPr>
          </w:pPr>
        </w:p>
        <w:p w:rsidR="009C1CE2" w:rsidRPr="007054A3" w:rsidRDefault="009C1CE2" w:rsidP="00064FB0">
          <w:pPr>
            <w:jc w:val="both"/>
            <w:rPr>
              <w:rFonts w:ascii="Times New Roman" w:hAnsi="Times New Roman" w:cs="Times New Roman"/>
              <w:sz w:val="24"/>
              <w:szCs w:val="24"/>
            </w:rPr>
          </w:pPr>
        </w:p>
        <w:p w:rsidR="00D35D97" w:rsidRPr="007054A3" w:rsidRDefault="00D35D97" w:rsidP="00064FB0">
          <w:pPr>
            <w:spacing w:line="480" w:lineRule="auto"/>
            <w:jc w:val="both"/>
            <w:rPr>
              <w:rFonts w:ascii="Times New Roman" w:hAnsi="Times New Roman" w:cs="Times New Roman"/>
              <w:sz w:val="24"/>
              <w:szCs w:val="24"/>
            </w:rPr>
          </w:pPr>
          <w:r w:rsidRPr="007054A3">
            <w:rPr>
              <w:rFonts w:ascii="Times New Roman" w:hAnsi="Times New Roman" w:cs="Times New Roman"/>
              <w:sz w:val="24"/>
              <w:szCs w:val="24"/>
            </w:rPr>
            <w:t xml:space="preserve">Overall, the analysis shows deterioration in performance since the sales revenue fell by 54.43%, and the net income declined by 181.16%. While the expenses also fell, the fall in revenue adversely impacted the profitability of the company. </w:t>
          </w:r>
        </w:p>
        <w:p w:rsidR="00D35D97" w:rsidRPr="007054A3" w:rsidRDefault="00D35D97" w:rsidP="00064FB0">
          <w:pPr>
            <w:spacing w:line="480" w:lineRule="auto"/>
            <w:jc w:val="both"/>
            <w:rPr>
              <w:rFonts w:ascii="Times New Roman" w:hAnsi="Times New Roman" w:cs="Times New Roman"/>
              <w:sz w:val="24"/>
              <w:szCs w:val="24"/>
            </w:rPr>
          </w:pPr>
          <w:r w:rsidRPr="007054A3">
            <w:rPr>
              <w:rFonts w:ascii="Times New Roman" w:hAnsi="Times New Roman" w:cs="Times New Roman"/>
              <w:sz w:val="24"/>
              <w:szCs w:val="24"/>
            </w:rPr>
            <w:t xml:space="preserve">The current assets increased by 100.76% because they were not utilized in 2020, due to corona virus pandemic. Current liabilities increased by 12.02%, </w:t>
          </w:r>
          <w:proofErr w:type="gramStart"/>
          <w:r w:rsidR="00186E26" w:rsidRPr="007054A3">
            <w:rPr>
              <w:rFonts w:ascii="Times New Roman" w:hAnsi="Times New Roman" w:cs="Times New Roman"/>
              <w:sz w:val="24"/>
              <w:szCs w:val="24"/>
            </w:rPr>
            <w:t>The</w:t>
          </w:r>
          <w:proofErr w:type="gramEnd"/>
          <w:r w:rsidR="00186E26" w:rsidRPr="007054A3">
            <w:rPr>
              <w:rFonts w:ascii="Times New Roman" w:hAnsi="Times New Roman" w:cs="Times New Roman"/>
              <w:sz w:val="24"/>
              <w:szCs w:val="24"/>
            </w:rPr>
            <w:t xml:space="preserve"> total liabilities increased by 18.23%. These statistics show there was an overall decline in performance of the company because of Corona Virus pandemic. </w:t>
          </w:r>
        </w:p>
        <w:p w:rsidR="004A11F6" w:rsidRDefault="004D519C" w:rsidP="00064FB0">
          <w:pPr>
            <w:pStyle w:val="Heading1"/>
            <w:jc w:val="both"/>
          </w:pPr>
          <w:bookmarkStart w:id="4" w:name="_Toc104820064"/>
          <w:r>
            <w:t>Financial Analysis Trends</w:t>
          </w:r>
          <w:bookmarkEnd w:id="4"/>
        </w:p>
        <w:p w:rsidR="009C1CE2" w:rsidRDefault="009C1CE2" w:rsidP="00064FB0">
          <w:pPr>
            <w:jc w:val="both"/>
          </w:pPr>
        </w:p>
        <w:p w:rsidR="00EB364C" w:rsidRPr="00EB364C" w:rsidRDefault="00EB364C" w:rsidP="00EB364C">
          <w:pPr>
            <w:pStyle w:val="Heading2"/>
            <w:numPr>
              <w:ilvl w:val="0"/>
              <w:numId w:val="3"/>
            </w:numPr>
            <w:rPr>
              <w:bCs/>
            </w:rPr>
          </w:pPr>
          <w:bookmarkStart w:id="5" w:name="_Toc104820065"/>
          <w:r w:rsidRPr="00EB364C">
            <w:t>Horizontal ratios for 2019 and 2020</w:t>
          </w:r>
          <w:bookmarkEnd w:id="5"/>
        </w:p>
        <w:p w:rsidR="00186E26" w:rsidRPr="006A59B4" w:rsidRDefault="00186E26" w:rsidP="00064FB0">
          <w:pPr>
            <w:spacing w:after="0" w:line="480" w:lineRule="auto"/>
            <w:jc w:val="both"/>
            <w:rPr>
              <w:rFonts w:ascii="Times New Roman" w:hAnsi="Times New Roman" w:cs="Times New Roman"/>
              <w:b/>
              <w:bCs/>
              <w:sz w:val="24"/>
              <w:szCs w:val="24"/>
            </w:rPr>
          </w:pPr>
          <w:r w:rsidRPr="006A59B4">
            <w:rPr>
              <w:rFonts w:ascii="Times New Roman" w:hAnsi="Times New Roman" w:cs="Times New Roman"/>
              <w:b/>
              <w:bCs/>
              <w:sz w:val="24"/>
              <w:szCs w:val="24"/>
            </w:rPr>
            <w:t>Profitability ratios</w:t>
          </w:r>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These ratios evaluate whether a company is creating value for the shareholders or not. With positive profits, it means that the value of company shares improves. The negative ratio shows poor performance that has to be rectified. Growth in the ratios towards the positive direction indicates the good performance of a business (</w:t>
          </w:r>
          <w:r w:rsidRPr="006A59B4">
            <w:rPr>
              <w:rFonts w:ascii="Times New Roman" w:eastAsia="Times New Roman" w:hAnsi="Times New Roman" w:cs="Times New Roman"/>
              <w:color w:val="000000"/>
              <w:sz w:val="24"/>
              <w:szCs w:val="24"/>
            </w:rPr>
            <w:t>Marr, 2012</w:t>
          </w:r>
          <w:r w:rsidRPr="006A59B4">
            <w:rPr>
              <w:rFonts w:ascii="Times New Roman" w:hAnsi="Times New Roman" w:cs="Times New Roman"/>
              <w:sz w:val="24"/>
              <w:szCs w:val="24"/>
            </w:rPr>
            <w:t>). Gross profit and net profit ratios can help understand the performance of the company. The table below summarizes the performance of the company;</w:t>
          </w:r>
        </w:p>
        <w:tbl>
          <w:tblPr>
            <w:tblW w:w="9345" w:type="dxa"/>
            <w:tblLook w:val="04A0"/>
          </w:tblPr>
          <w:tblGrid>
            <w:gridCol w:w="2249"/>
            <w:gridCol w:w="4698"/>
            <w:gridCol w:w="1199"/>
            <w:gridCol w:w="1199"/>
          </w:tblGrid>
          <w:tr w:rsidR="007054A3" w:rsidTr="00064FB0">
            <w:trPr>
              <w:trHeight w:val="308"/>
            </w:trPr>
            <w:tc>
              <w:tcPr>
                <w:tcW w:w="224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Ratio</w:t>
                </w:r>
              </w:p>
            </w:tc>
            <w:tc>
              <w:tcPr>
                <w:tcW w:w="4698" w:type="dxa"/>
                <w:tcBorders>
                  <w:top w:val="single" w:sz="4" w:space="0" w:color="auto"/>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Formula</w:t>
                </w:r>
              </w:p>
            </w:tc>
            <w:tc>
              <w:tcPr>
                <w:tcW w:w="1199" w:type="dxa"/>
                <w:tcBorders>
                  <w:top w:val="single" w:sz="4" w:space="0" w:color="auto"/>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2019</w:t>
                </w:r>
              </w:p>
            </w:tc>
            <w:tc>
              <w:tcPr>
                <w:tcW w:w="1199" w:type="dxa"/>
                <w:tcBorders>
                  <w:top w:val="single" w:sz="4" w:space="0" w:color="auto"/>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2020</w:t>
                </w:r>
              </w:p>
            </w:tc>
          </w:tr>
          <w:tr w:rsidR="007054A3" w:rsidTr="00064FB0">
            <w:trPr>
              <w:trHeight w:val="30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Gross profit margin</w:t>
                </w:r>
              </w:p>
            </w:tc>
            <w:tc>
              <w:tcPr>
                <w:tcW w:w="4698" w:type="dxa"/>
                <w:tcBorders>
                  <w:top w:val="nil"/>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Gross profit/Total sales*100</w:t>
                </w:r>
              </w:p>
            </w:tc>
            <w:tc>
              <w:tcPr>
                <w:tcW w:w="1199" w:type="dxa"/>
                <w:tcBorders>
                  <w:top w:val="nil"/>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25.76</w:t>
                </w:r>
              </w:p>
            </w:tc>
            <w:tc>
              <w:tcPr>
                <w:tcW w:w="1199" w:type="dxa"/>
                <w:tcBorders>
                  <w:top w:val="nil"/>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13.54</w:t>
                </w:r>
              </w:p>
            </w:tc>
          </w:tr>
          <w:tr w:rsidR="007054A3" w:rsidTr="00064FB0">
            <w:trPr>
              <w:trHeight w:val="308"/>
            </w:trPr>
            <w:tc>
              <w:tcPr>
                <w:tcW w:w="2249" w:type="dxa"/>
                <w:tcBorders>
                  <w:top w:val="nil"/>
                  <w:left w:val="single" w:sz="4" w:space="0" w:color="auto"/>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Net profit margin</w:t>
                </w:r>
              </w:p>
            </w:tc>
            <w:tc>
              <w:tcPr>
                <w:tcW w:w="4698" w:type="dxa"/>
                <w:tcBorders>
                  <w:top w:val="nil"/>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Net profit/Total sales*100</w:t>
                </w:r>
              </w:p>
            </w:tc>
            <w:tc>
              <w:tcPr>
                <w:tcW w:w="1199" w:type="dxa"/>
                <w:tcBorders>
                  <w:top w:val="nil"/>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9.32</w:t>
                </w:r>
              </w:p>
            </w:tc>
            <w:tc>
              <w:tcPr>
                <w:tcW w:w="1199" w:type="dxa"/>
                <w:tcBorders>
                  <w:top w:val="nil"/>
                  <w:left w:val="nil"/>
                  <w:bottom w:val="single" w:sz="4" w:space="0" w:color="auto"/>
                  <w:right w:val="single" w:sz="4" w:space="0" w:color="auto"/>
                </w:tcBorders>
                <w:shd w:val="clear" w:color="auto" w:fill="auto"/>
                <w:noWrap/>
                <w:vAlign w:val="bottom"/>
                <w:hideMark/>
              </w:tcPr>
              <w:p w:rsidR="007054A3" w:rsidRPr="00DF4269" w:rsidRDefault="007054A3" w:rsidP="00064FB0">
                <w:pPr>
                  <w:spacing w:after="0" w:line="480" w:lineRule="auto"/>
                  <w:jc w:val="both"/>
                  <w:rPr>
                    <w:rFonts w:ascii="Times New Roman" w:eastAsia="Times New Roman" w:hAnsi="Times New Roman" w:cs="Times New Roman"/>
                    <w:color w:val="000000"/>
                    <w:sz w:val="24"/>
                    <w:szCs w:val="24"/>
                  </w:rPr>
                </w:pPr>
                <w:r w:rsidRPr="00DF4269">
                  <w:rPr>
                    <w:rFonts w:ascii="Times New Roman" w:eastAsia="Times New Roman" w:hAnsi="Times New Roman" w:cs="Times New Roman"/>
                    <w:color w:val="000000"/>
                    <w:sz w:val="24"/>
                    <w:szCs w:val="24"/>
                  </w:rPr>
                  <w:t>-16.60</w:t>
                </w:r>
              </w:p>
            </w:tc>
          </w:tr>
        </w:tbl>
        <w:p w:rsidR="00186E26" w:rsidRDefault="00186E26" w:rsidP="00064FB0">
          <w:pPr>
            <w:spacing w:after="0" w:line="480" w:lineRule="auto"/>
            <w:jc w:val="center"/>
            <w:rPr>
              <w:rFonts w:ascii="Times New Roman" w:hAnsi="Times New Roman" w:cs="Times New Roman"/>
              <w:sz w:val="24"/>
              <w:szCs w:val="24"/>
            </w:rPr>
          </w:pPr>
          <w:r w:rsidRPr="006A59B4">
            <w:rPr>
              <w:rFonts w:ascii="Times New Roman" w:hAnsi="Times New Roman" w:cs="Times New Roman"/>
              <w:sz w:val="24"/>
              <w:szCs w:val="24"/>
            </w:rPr>
            <w:t>(</w:t>
          </w:r>
          <w:r w:rsidRPr="00010DA6">
            <w:rPr>
              <w:rFonts w:ascii="Times New Roman" w:eastAsia="Times New Roman" w:hAnsi="Times New Roman" w:cs="Times New Roman"/>
              <w:color w:val="000000"/>
              <w:sz w:val="24"/>
              <w:szCs w:val="24"/>
            </w:rPr>
            <w:t>Yahoo Finance</w:t>
          </w:r>
          <w:r w:rsidRPr="006A59B4">
            <w:rPr>
              <w:rFonts w:ascii="Times New Roman" w:eastAsia="Times New Roman" w:hAnsi="Times New Roman" w:cs="Times New Roman"/>
              <w:color w:val="000000"/>
              <w:sz w:val="24"/>
              <w:szCs w:val="24"/>
            </w:rPr>
            <w:t xml:space="preserve">, </w:t>
          </w:r>
          <w:proofErr w:type="spellStart"/>
          <w:r w:rsidRPr="006A59B4">
            <w:rPr>
              <w:rFonts w:ascii="Times New Roman" w:eastAsia="Times New Roman" w:hAnsi="Times New Roman" w:cs="Times New Roman"/>
              <w:color w:val="000000"/>
              <w:sz w:val="24"/>
              <w:szCs w:val="24"/>
            </w:rPr>
            <w:t>n.d</w:t>
          </w:r>
          <w:proofErr w:type="spellEnd"/>
          <w:r w:rsidRPr="006A59B4">
            <w:rPr>
              <w:rFonts w:ascii="Times New Roman" w:hAnsi="Times New Roman" w:cs="Times New Roman"/>
              <w:sz w:val="24"/>
              <w:szCs w:val="24"/>
            </w:rPr>
            <w:t>)</w:t>
          </w:r>
        </w:p>
        <w:p w:rsidR="00186E26" w:rsidRDefault="00186E26" w:rsidP="00064FB0">
          <w:pPr>
            <w:spacing w:after="0" w:line="480" w:lineRule="auto"/>
            <w:jc w:val="both"/>
            <w:rPr>
              <w:rFonts w:ascii="Times New Roman" w:hAnsi="Times New Roman" w:cs="Times New Roman"/>
              <w:sz w:val="24"/>
              <w:szCs w:val="24"/>
            </w:rPr>
          </w:pPr>
        </w:p>
        <w:p w:rsidR="00186E26" w:rsidRDefault="00186E26" w:rsidP="00064FB0">
          <w:pPr>
            <w:spacing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 chart below summarizes the gross profit</w:t>
          </w:r>
          <w:r w:rsidR="00B807DB">
            <w:rPr>
              <w:rFonts w:ascii="Times New Roman" w:hAnsi="Times New Roman" w:cs="Times New Roman"/>
              <w:sz w:val="24"/>
              <w:szCs w:val="24"/>
            </w:rPr>
            <w:t xml:space="preserve"> and net profit</w:t>
          </w:r>
          <w:r>
            <w:rPr>
              <w:rFonts w:ascii="Times New Roman" w:hAnsi="Times New Roman" w:cs="Times New Roman"/>
              <w:sz w:val="24"/>
              <w:szCs w:val="24"/>
            </w:rPr>
            <w:t xml:space="preserve"> margin;</w:t>
          </w:r>
        </w:p>
        <w:p w:rsidR="00186E26" w:rsidRDefault="00B807DB" w:rsidP="00064FB0">
          <w:pPr>
            <w:spacing w:after="0" w:line="480" w:lineRule="auto"/>
            <w:jc w:val="both"/>
            <w:rPr>
              <w:rFonts w:ascii="Times New Roman" w:hAnsi="Times New Roman" w:cs="Times New Roman"/>
              <w:sz w:val="24"/>
              <w:szCs w:val="24"/>
            </w:rPr>
          </w:pPr>
          <w:r>
            <w:rPr>
              <w:noProof/>
              <w:lang w:val="en-US"/>
            </w:rPr>
            <w:drawing>
              <wp:inline distT="0" distB="0" distL="0" distR="0">
                <wp:extent cx="5838825" cy="2924175"/>
                <wp:effectExtent l="0" t="0" r="9525" b="9525"/>
                <wp:docPr id="9" name="Chart 9">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pg="http://schemas.microsoft.com/office/word/2010/wordprocessingGroup" xmlns:wpi="http://schemas.microsoft.com/office/word/2010/wordprocessingInk" xmlns:wps="http://schemas.microsoft.com/office/word/2010/wordprocessingShape"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9EEFAFA1-C3D8-9605-FAE0-614DBD60D4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86E26" w:rsidRPr="00B83B15" w:rsidRDefault="00186E26" w:rsidP="00064FB0">
          <w:pPr>
            <w:spacing w:after="0" w:line="480" w:lineRule="auto"/>
            <w:jc w:val="both"/>
            <w:rPr>
              <w:rFonts w:ascii="Times New Roman" w:hAnsi="Times New Roman" w:cs="Times New Roman"/>
              <w:sz w:val="24"/>
              <w:szCs w:val="24"/>
            </w:rPr>
          </w:pPr>
        </w:p>
        <w:p w:rsidR="00186E26" w:rsidRDefault="00186E26" w:rsidP="00064FB0">
          <w:pPr>
            <w:spacing w:after="0" w:line="480" w:lineRule="auto"/>
            <w:jc w:val="both"/>
            <w:rPr>
              <w:rFonts w:ascii="Times New Roman" w:hAnsi="Times New Roman" w:cs="Times New Roman"/>
              <w:sz w:val="24"/>
              <w:szCs w:val="24"/>
            </w:rPr>
          </w:pPr>
        </w:p>
        <w:p w:rsidR="00186E26"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 xml:space="preserve">The gross profit margin shows that there was a significant drop in profitability of the company from 25.76% in 2019 to 13.54% in 2020. This can be associated with the fact that the </w:t>
          </w:r>
          <w:proofErr w:type="spellStart"/>
          <w:r w:rsidRPr="006A59B4">
            <w:rPr>
              <w:rFonts w:ascii="Times New Roman" w:hAnsi="Times New Roman" w:cs="Times New Roman"/>
              <w:sz w:val="24"/>
              <w:szCs w:val="24"/>
            </w:rPr>
            <w:t>Coronavirus</w:t>
          </w:r>
          <w:proofErr w:type="spellEnd"/>
          <w:r w:rsidRPr="006A59B4">
            <w:rPr>
              <w:rFonts w:ascii="Times New Roman" w:hAnsi="Times New Roman" w:cs="Times New Roman"/>
              <w:sz w:val="24"/>
              <w:szCs w:val="24"/>
            </w:rPr>
            <w:t xml:space="preserve"> pandemic reduced visits to hotels and the occupancy rates were very low. However, the ratio was positive, showing that there was potential to create value for the shareholders. </w:t>
          </w:r>
        </w:p>
        <w:p w:rsidR="00186E26" w:rsidRDefault="00186E26" w:rsidP="00064FB0">
          <w:pPr>
            <w:spacing w:after="0" w:line="480" w:lineRule="auto"/>
            <w:jc w:val="both"/>
            <w:rPr>
              <w:rFonts w:ascii="Times New Roman" w:hAnsi="Times New Roman" w:cs="Times New Roman"/>
              <w:sz w:val="24"/>
              <w:szCs w:val="24"/>
            </w:rPr>
          </w:pPr>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 xml:space="preserve"> For the net profit ratio, there was also a significant drop from 9.32% in 2019 to -16.60% in 2020. The reduced </w:t>
          </w:r>
          <w:proofErr w:type="gramStart"/>
          <w:r w:rsidRPr="006A59B4">
            <w:rPr>
              <w:rFonts w:ascii="Times New Roman" w:hAnsi="Times New Roman" w:cs="Times New Roman"/>
              <w:sz w:val="24"/>
              <w:szCs w:val="24"/>
            </w:rPr>
            <w:t>sales due to the pandemic is</w:t>
          </w:r>
          <w:proofErr w:type="gramEnd"/>
          <w:r w:rsidRPr="006A59B4">
            <w:rPr>
              <w:rFonts w:ascii="Times New Roman" w:hAnsi="Times New Roman" w:cs="Times New Roman"/>
              <w:sz w:val="24"/>
              <w:szCs w:val="24"/>
            </w:rPr>
            <w:t xml:space="preserve"> a major factor that explains the performance. However, it shows that the company did not do enough to cut various expenses, such as salaries, so as to generate positive value for the customers. Since it was an unforeseen occurrence, it had negatively affected the performance of the </w:t>
          </w:r>
          <w:r w:rsidR="00B807DB">
            <w:rPr>
              <w:rFonts w:ascii="Times New Roman" w:hAnsi="Times New Roman" w:cs="Times New Roman"/>
              <w:sz w:val="24"/>
              <w:szCs w:val="24"/>
            </w:rPr>
            <w:t>company</w:t>
          </w:r>
          <w:r w:rsidRPr="006A59B4">
            <w:rPr>
              <w:rFonts w:ascii="Times New Roman" w:hAnsi="Times New Roman" w:cs="Times New Roman"/>
              <w:sz w:val="24"/>
              <w:szCs w:val="24"/>
            </w:rPr>
            <w:t xml:space="preserve"> in a significant way. Going forward, it was expected that the industry adapts safer ways of serving the customers and also reduce expenses so as to create some value. </w:t>
          </w:r>
        </w:p>
        <w:p w:rsidR="00186E26" w:rsidRPr="006A59B4" w:rsidRDefault="00186E26" w:rsidP="00064FB0">
          <w:pPr>
            <w:spacing w:after="0" w:line="480" w:lineRule="auto"/>
            <w:jc w:val="both"/>
            <w:rPr>
              <w:rFonts w:ascii="Times New Roman" w:hAnsi="Times New Roman" w:cs="Times New Roman"/>
              <w:b/>
              <w:bCs/>
              <w:sz w:val="24"/>
              <w:szCs w:val="24"/>
            </w:rPr>
          </w:pPr>
          <w:r w:rsidRPr="006A59B4">
            <w:rPr>
              <w:rFonts w:ascii="Times New Roman" w:hAnsi="Times New Roman" w:cs="Times New Roman"/>
              <w:b/>
              <w:bCs/>
              <w:sz w:val="24"/>
              <w:szCs w:val="24"/>
            </w:rPr>
            <w:lastRenderedPageBreak/>
            <w:t>Liquidity ratios</w:t>
          </w:r>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These are ratios that tell whether a company can pay its short-term obligations that fall due. For the hotel industry, there is a need to have liquid cash since there are many items that would have to be purchased on a daily basis (</w:t>
          </w:r>
          <w:proofErr w:type="spellStart"/>
          <w:r w:rsidRPr="006A59B4">
            <w:rPr>
              <w:rFonts w:ascii="Times New Roman" w:hAnsi="Times New Roman" w:cs="Times New Roman"/>
              <w:color w:val="000000"/>
              <w:sz w:val="24"/>
              <w:szCs w:val="24"/>
              <w:shd w:val="clear" w:color="auto" w:fill="FFFFFF"/>
            </w:rPr>
            <w:t>Coulon</w:t>
          </w:r>
          <w:proofErr w:type="spellEnd"/>
          <w:r w:rsidRPr="006A59B4">
            <w:rPr>
              <w:rFonts w:ascii="Times New Roman" w:hAnsi="Times New Roman" w:cs="Times New Roman"/>
              <w:color w:val="000000"/>
              <w:sz w:val="24"/>
              <w:szCs w:val="24"/>
              <w:shd w:val="clear" w:color="auto" w:fill="FFFFFF"/>
            </w:rPr>
            <w:t>, 2020</w:t>
          </w:r>
          <w:r w:rsidRPr="006A59B4">
            <w:rPr>
              <w:rFonts w:ascii="Times New Roman" w:hAnsi="Times New Roman" w:cs="Times New Roman"/>
              <w:sz w:val="24"/>
              <w:szCs w:val="24"/>
            </w:rPr>
            <w:t>). Difficulties in meeting daily obligations can mean that there are difficulties in serving customers who need consumables in the hotel. The following is the summary of the liquidity ratios for the selected two years;</w:t>
          </w:r>
        </w:p>
        <w:tbl>
          <w:tblPr>
            <w:tblW w:w="9271" w:type="dxa"/>
            <w:tblLook w:val="04A0"/>
          </w:tblPr>
          <w:tblGrid>
            <w:gridCol w:w="2231"/>
            <w:gridCol w:w="4660"/>
            <w:gridCol w:w="1190"/>
            <w:gridCol w:w="1190"/>
          </w:tblGrid>
          <w:tr w:rsidR="0039796F" w:rsidTr="00064FB0">
            <w:trPr>
              <w:trHeight w:val="296"/>
            </w:trPr>
            <w:tc>
              <w:tcPr>
                <w:tcW w:w="223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Ratio</w:t>
                </w:r>
              </w:p>
            </w:tc>
            <w:tc>
              <w:tcPr>
                <w:tcW w:w="4660" w:type="dxa"/>
                <w:tcBorders>
                  <w:top w:val="single" w:sz="4" w:space="0" w:color="auto"/>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Formula</w:t>
                </w:r>
              </w:p>
            </w:tc>
            <w:tc>
              <w:tcPr>
                <w:tcW w:w="1190" w:type="dxa"/>
                <w:tcBorders>
                  <w:top w:val="single" w:sz="4" w:space="0" w:color="auto"/>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2019</w:t>
                </w:r>
              </w:p>
            </w:tc>
            <w:tc>
              <w:tcPr>
                <w:tcW w:w="1190" w:type="dxa"/>
                <w:tcBorders>
                  <w:top w:val="single" w:sz="4" w:space="0" w:color="auto"/>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2020</w:t>
                </w:r>
              </w:p>
            </w:tc>
          </w:tr>
          <w:tr w:rsidR="0039796F" w:rsidTr="00064FB0">
            <w:trPr>
              <w:trHeight w:val="296"/>
            </w:trPr>
            <w:tc>
              <w:tcPr>
                <w:tcW w:w="2231" w:type="dxa"/>
                <w:tcBorders>
                  <w:top w:val="nil"/>
                  <w:left w:val="single" w:sz="4" w:space="0" w:color="auto"/>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Current ratio</w:t>
                </w:r>
              </w:p>
            </w:tc>
            <w:tc>
              <w:tcPr>
                <w:tcW w:w="4660" w:type="dxa"/>
                <w:tcBorders>
                  <w:top w:val="nil"/>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Current assets/current liabilities</w:t>
                </w:r>
              </w:p>
            </w:tc>
            <w:tc>
              <w:tcPr>
                <w:tcW w:w="1190" w:type="dxa"/>
                <w:tcBorders>
                  <w:top w:val="nil"/>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0.73</w:t>
                </w:r>
              </w:p>
            </w:tc>
            <w:tc>
              <w:tcPr>
                <w:tcW w:w="1190" w:type="dxa"/>
                <w:tcBorders>
                  <w:top w:val="nil"/>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1.73</w:t>
                </w:r>
              </w:p>
            </w:tc>
          </w:tr>
          <w:tr w:rsidR="0039796F" w:rsidTr="00064FB0">
            <w:trPr>
              <w:trHeight w:val="296"/>
            </w:trPr>
            <w:tc>
              <w:tcPr>
                <w:tcW w:w="2231" w:type="dxa"/>
                <w:tcBorders>
                  <w:top w:val="nil"/>
                  <w:left w:val="single" w:sz="4" w:space="0" w:color="auto"/>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Cash ratio</w:t>
                </w:r>
              </w:p>
            </w:tc>
            <w:tc>
              <w:tcPr>
                <w:tcW w:w="4660" w:type="dxa"/>
                <w:tcBorders>
                  <w:top w:val="nil"/>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130AD7">
                  <w:rPr>
                    <w:rFonts w:ascii="Times New Roman" w:eastAsia="Times New Roman" w:hAnsi="Times New Roman" w:cs="Times New Roman"/>
                    <w:color w:val="000000"/>
                    <w:sz w:val="24"/>
                    <w:szCs w:val="24"/>
                  </w:rPr>
                  <w:t>Cash and equivalents/Current liabilities</w:t>
                </w:r>
              </w:p>
            </w:tc>
            <w:tc>
              <w:tcPr>
                <w:tcW w:w="1190" w:type="dxa"/>
                <w:tcBorders>
                  <w:top w:val="nil"/>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6A59B4">
                  <w:rPr>
                    <w:rFonts w:ascii="Times New Roman" w:eastAsia="Times New Roman" w:hAnsi="Times New Roman" w:cs="Times New Roman"/>
                    <w:color w:val="000000"/>
                    <w:sz w:val="24"/>
                    <w:szCs w:val="24"/>
                  </w:rPr>
                  <w:t>0.19</w:t>
                </w:r>
              </w:p>
            </w:tc>
            <w:tc>
              <w:tcPr>
                <w:tcW w:w="1190" w:type="dxa"/>
                <w:tcBorders>
                  <w:top w:val="nil"/>
                  <w:left w:val="nil"/>
                  <w:bottom w:val="single" w:sz="4" w:space="0" w:color="auto"/>
                  <w:right w:val="single" w:sz="4" w:space="0" w:color="auto"/>
                </w:tcBorders>
                <w:shd w:val="clear" w:color="auto" w:fill="auto"/>
                <w:noWrap/>
                <w:vAlign w:val="bottom"/>
                <w:hideMark/>
              </w:tcPr>
              <w:p w:rsidR="0039796F" w:rsidRPr="00130AD7" w:rsidRDefault="0039796F" w:rsidP="00064FB0">
                <w:pPr>
                  <w:spacing w:after="0" w:line="480" w:lineRule="auto"/>
                  <w:jc w:val="both"/>
                  <w:rPr>
                    <w:rFonts w:ascii="Times New Roman" w:eastAsia="Times New Roman" w:hAnsi="Times New Roman" w:cs="Times New Roman"/>
                    <w:color w:val="000000"/>
                    <w:sz w:val="24"/>
                    <w:szCs w:val="24"/>
                  </w:rPr>
                </w:pPr>
                <w:r w:rsidRPr="006A59B4">
                  <w:rPr>
                    <w:rFonts w:ascii="Times New Roman" w:eastAsia="Times New Roman" w:hAnsi="Times New Roman" w:cs="Times New Roman"/>
                    <w:color w:val="000000"/>
                    <w:sz w:val="24"/>
                    <w:szCs w:val="24"/>
                  </w:rPr>
                  <w:t>1.32</w:t>
                </w:r>
              </w:p>
            </w:tc>
          </w:tr>
        </w:tbl>
        <w:p w:rsidR="00186E26" w:rsidRPr="006A59B4" w:rsidRDefault="00186E26" w:rsidP="00064FB0">
          <w:pPr>
            <w:spacing w:after="0" w:line="480" w:lineRule="auto"/>
            <w:jc w:val="center"/>
            <w:rPr>
              <w:rFonts w:ascii="Times New Roman" w:hAnsi="Times New Roman" w:cs="Times New Roman"/>
              <w:sz w:val="24"/>
              <w:szCs w:val="24"/>
            </w:rPr>
          </w:pPr>
          <w:r w:rsidRPr="006A59B4">
            <w:rPr>
              <w:rFonts w:ascii="Times New Roman" w:hAnsi="Times New Roman" w:cs="Times New Roman"/>
              <w:sz w:val="24"/>
              <w:szCs w:val="24"/>
            </w:rPr>
            <w:t>(</w:t>
          </w:r>
          <w:r w:rsidRPr="00010DA6">
            <w:rPr>
              <w:rFonts w:ascii="Times New Roman" w:eastAsia="Times New Roman" w:hAnsi="Times New Roman" w:cs="Times New Roman"/>
              <w:color w:val="000000"/>
              <w:sz w:val="24"/>
              <w:szCs w:val="24"/>
            </w:rPr>
            <w:t>Yahoo Finance</w:t>
          </w:r>
          <w:r w:rsidRPr="006A59B4">
            <w:rPr>
              <w:rFonts w:ascii="Times New Roman" w:eastAsia="Times New Roman" w:hAnsi="Times New Roman" w:cs="Times New Roman"/>
              <w:color w:val="000000"/>
              <w:sz w:val="24"/>
              <w:szCs w:val="24"/>
            </w:rPr>
            <w:t xml:space="preserve">, </w:t>
          </w:r>
          <w:proofErr w:type="spellStart"/>
          <w:r w:rsidRPr="006A59B4">
            <w:rPr>
              <w:rFonts w:ascii="Times New Roman" w:eastAsia="Times New Roman" w:hAnsi="Times New Roman" w:cs="Times New Roman"/>
              <w:color w:val="000000"/>
              <w:sz w:val="24"/>
              <w:szCs w:val="24"/>
            </w:rPr>
            <w:t>n.d</w:t>
          </w:r>
          <w:proofErr w:type="spellEnd"/>
          <w:r w:rsidRPr="006A59B4">
            <w:rPr>
              <w:rFonts w:ascii="Times New Roman" w:hAnsi="Times New Roman" w:cs="Times New Roman"/>
              <w:sz w:val="24"/>
              <w:szCs w:val="24"/>
            </w:rPr>
            <w:t>)</w:t>
          </w:r>
        </w:p>
        <w:p w:rsidR="00B807DB" w:rsidRDefault="00B807DB" w:rsidP="00064FB0">
          <w:pPr>
            <w:spacing w:after="0" w:line="480" w:lineRule="auto"/>
            <w:jc w:val="both"/>
            <w:rPr>
              <w:rFonts w:ascii="Times New Roman" w:hAnsi="Times New Roman" w:cs="Times New Roman"/>
              <w:sz w:val="24"/>
              <w:szCs w:val="24"/>
            </w:rPr>
          </w:pPr>
          <w:r>
            <w:rPr>
              <w:noProof/>
              <w:lang w:val="en-US"/>
            </w:rPr>
            <w:drawing>
              <wp:inline distT="0" distB="0" distL="0" distR="0">
                <wp:extent cx="5819775" cy="3086100"/>
                <wp:effectExtent l="0" t="0" r="9525" b="19050"/>
                <wp:docPr id="1" name="Chart 1">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pg="http://schemas.microsoft.com/office/word/2010/wordprocessingGroup" xmlns:wpi="http://schemas.microsoft.com/office/word/2010/wordprocessingInk" xmlns:wps="http://schemas.microsoft.com/office/word/2010/wordprocessingShape"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CA024C9-7D45-3FB4-2332-89F9BF0782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86E26"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 xml:space="preserve">The current ratio was 0.73 in 2019 and improved to 1.73 in 2020. The reason for this was because of the improved current assets. The current assets for the period improved because the operations of the company had reduced due to the pandemic. The current liabilities were not rising in the period because the company was not engaging in many operations. This is why the ratio improved, an indication that the company was in a better position to pay its current obligations. </w:t>
          </w:r>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lastRenderedPageBreak/>
            <w:t xml:space="preserve">The cash ratio is a better measure of liquidity because it shows whether the available cash and equivalents are in reasonable quantities to pay current liabilities. The observation is that the ratio improved from 0.19 in 2019 to 1.32 in 2020. The reason for improved performance was that less cash was being utilized in 2020 in operations. The slowing of operations in the month is because of the pandemic, which meant fewer customers going to the hotel industry. </w:t>
          </w:r>
        </w:p>
        <w:p w:rsidR="00186E26" w:rsidRPr="006A59B4" w:rsidRDefault="00186E26" w:rsidP="00064FB0">
          <w:pPr>
            <w:spacing w:after="0" w:line="480" w:lineRule="auto"/>
            <w:jc w:val="both"/>
            <w:rPr>
              <w:rFonts w:ascii="Times New Roman" w:hAnsi="Times New Roman" w:cs="Times New Roman"/>
              <w:b/>
              <w:bCs/>
              <w:sz w:val="24"/>
              <w:szCs w:val="24"/>
            </w:rPr>
          </w:pPr>
          <w:r w:rsidRPr="006A59B4">
            <w:rPr>
              <w:rFonts w:ascii="Times New Roman" w:hAnsi="Times New Roman" w:cs="Times New Roman"/>
              <w:b/>
              <w:bCs/>
              <w:sz w:val="24"/>
              <w:szCs w:val="24"/>
            </w:rPr>
            <w:t>Activity ratios</w:t>
          </w:r>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These are ratios that show whether a company is utilizing its assets well in creating value. The two ratios evaluated in this case are the receivable turnover and payable turnover. It is expected that the receivables are paid within a short period so that they can be invested in the company (</w:t>
          </w:r>
          <w:proofErr w:type="spellStart"/>
          <w:r w:rsidRPr="006A59B4">
            <w:rPr>
              <w:rFonts w:ascii="Times New Roman" w:hAnsi="Times New Roman" w:cs="Times New Roman"/>
              <w:color w:val="000000"/>
              <w:sz w:val="24"/>
              <w:szCs w:val="24"/>
              <w:shd w:val="clear" w:color="auto" w:fill="FFFFFF"/>
            </w:rPr>
            <w:t>Hisrich</w:t>
          </w:r>
          <w:proofErr w:type="spellEnd"/>
          <w:r w:rsidRPr="006A59B4">
            <w:rPr>
              <w:rFonts w:ascii="Times New Roman" w:hAnsi="Times New Roman" w:cs="Times New Roman"/>
              <w:color w:val="000000"/>
              <w:sz w:val="24"/>
              <w:szCs w:val="24"/>
              <w:shd w:val="clear" w:color="auto" w:fill="FFFFFF"/>
            </w:rPr>
            <w:t xml:space="preserve"> &amp; </w:t>
          </w:r>
          <w:proofErr w:type="spellStart"/>
          <w:r w:rsidRPr="006A59B4">
            <w:rPr>
              <w:rFonts w:ascii="Times New Roman" w:hAnsi="Times New Roman" w:cs="Times New Roman"/>
              <w:color w:val="000000"/>
              <w:sz w:val="24"/>
              <w:szCs w:val="24"/>
              <w:shd w:val="clear" w:color="auto" w:fill="FFFFFF"/>
            </w:rPr>
            <w:t>DaSilva</w:t>
          </w:r>
          <w:proofErr w:type="spellEnd"/>
          <w:r w:rsidRPr="006A59B4">
            <w:rPr>
              <w:rFonts w:ascii="Times New Roman" w:hAnsi="Times New Roman" w:cs="Times New Roman"/>
              <w:color w:val="000000"/>
              <w:sz w:val="24"/>
              <w:szCs w:val="24"/>
              <w:shd w:val="clear" w:color="auto" w:fill="FFFFFF"/>
            </w:rPr>
            <w:t>, 2015</w:t>
          </w:r>
          <w:r w:rsidRPr="006A59B4">
            <w:rPr>
              <w:rFonts w:ascii="Times New Roman" w:hAnsi="Times New Roman" w:cs="Times New Roman"/>
              <w:sz w:val="24"/>
              <w:szCs w:val="24"/>
            </w:rPr>
            <w:t xml:space="preserve">). </w:t>
          </w:r>
          <w:proofErr w:type="gramStart"/>
          <w:r w:rsidRPr="006A59B4">
            <w:rPr>
              <w:rFonts w:ascii="Times New Roman" w:hAnsi="Times New Roman" w:cs="Times New Roman"/>
              <w:sz w:val="24"/>
              <w:szCs w:val="24"/>
            </w:rPr>
            <w:t>if</w:t>
          </w:r>
          <w:proofErr w:type="gramEnd"/>
          <w:r w:rsidRPr="006A59B4">
            <w:rPr>
              <w:rFonts w:ascii="Times New Roman" w:hAnsi="Times New Roman" w:cs="Times New Roman"/>
              <w:sz w:val="24"/>
              <w:szCs w:val="24"/>
            </w:rPr>
            <w:t xml:space="preserve"> the payables take long to pay, it is better for the company. The following is the summary of the two ratios;</w:t>
          </w:r>
        </w:p>
        <w:tbl>
          <w:tblPr>
            <w:tblW w:w="9430" w:type="dxa"/>
            <w:tblLook w:val="04A0"/>
          </w:tblPr>
          <w:tblGrid>
            <w:gridCol w:w="2294"/>
            <w:gridCol w:w="4724"/>
            <w:gridCol w:w="1206"/>
            <w:gridCol w:w="1206"/>
          </w:tblGrid>
          <w:tr w:rsidR="0039796F" w:rsidTr="00064FB0">
            <w:trPr>
              <w:trHeight w:val="306"/>
            </w:trPr>
            <w:tc>
              <w:tcPr>
                <w:tcW w:w="229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Ratio</w:t>
                </w:r>
              </w:p>
            </w:tc>
            <w:tc>
              <w:tcPr>
                <w:tcW w:w="4724" w:type="dxa"/>
                <w:tcBorders>
                  <w:top w:val="single" w:sz="4" w:space="0" w:color="auto"/>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Formula</w:t>
                </w:r>
              </w:p>
            </w:tc>
            <w:tc>
              <w:tcPr>
                <w:tcW w:w="1206" w:type="dxa"/>
                <w:tcBorders>
                  <w:top w:val="single" w:sz="4" w:space="0" w:color="auto"/>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2019</w:t>
                </w:r>
              </w:p>
            </w:tc>
            <w:tc>
              <w:tcPr>
                <w:tcW w:w="1206" w:type="dxa"/>
                <w:tcBorders>
                  <w:top w:val="single" w:sz="4" w:space="0" w:color="auto"/>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2020</w:t>
                </w:r>
              </w:p>
            </w:tc>
          </w:tr>
          <w:tr w:rsidR="0039796F" w:rsidTr="00064FB0">
            <w:trPr>
              <w:trHeight w:val="306"/>
            </w:trPr>
            <w:tc>
              <w:tcPr>
                <w:tcW w:w="2294" w:type="dxa"/>
                <w:tcBorders>
                  <w:top w:val="nil"/>
                  <w:left w:val="single" w:sz="4" w:space="0" w:color="auto"/>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Receivable turnover</w:t>
                </w:r>
              </w:p>
            </w:tc>
            <w:tc>
              <w:tcPr>
                <w:tcW w:w="4724" w:type="dxa"/>
                <w:tcBorders>
                  <w:top w:val="nil"/>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Net sales/Average receivables</w:t>
                </w:r>
              </w:p>
            </w:tc>
            <w:tc>
              <w:tcPr>
                <w:tcW w:w="1206" w:type="dxa"/>
                <w:tcBorders>
                  <w:top w:val="nil"/>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1.94</w:t>
                </w:r>
              </w:p>
            </w:tc>
            <w:tc>
              <w:tcPr>
                <w:tcW w:w="1206" w:type="dxa"/>
                <w:tcBorders>
                  <w:top w:val="nil"/>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1.06</w:t>
                </w:r>
              </w:p>
            </w:tc>
          </w:tr>
          <w:tr w:rsidR="0039796F" w:rsidTr="00064FB0">
            <w:trPr>
              <w:trHeight w:val="306"/>
            </w:trPr>
            <w:tc>
              <w:tcPr>
                <w:tcW w:w="2294" w:type="dxa"/>
                <w:tcBorders>
                  <w:top w:val="nil"/>
                  <w:left w:val="single" w:sz="4" w:space="0" w:color="auto"/>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Payables turnover</w:t>
                </w:r>
              </w:p>
            </w:tc>
            <w:tc>
              <w:tcPr>
                <w:tcW w:w="4724" w:type="dxa"/>
                <w:tcBorders>
                  <w:top w:val="nil"/>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Cost of goods sold/Average payables</w:t>
                </w:r>
              </w:p>
            </w:tc>
            <w:tc>
              <w:tcPr>
                <w:tcW w:w="1206" w:type="dxa"/>
                <w:tcBorders>
                  <w:top w:val="nil"/>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6.66</w:t>
                </w:r>
              </w:p>
            </w:tc>
            <w:tc>
              <w:tcPr>
                <w:tcW w:w="1206" w:type="dxa"/>
                <w:tcBorders>
                  <w:top w:val="nil"/>
                  <w:left w:val="nil"/>
                  <w:bottom w:val="single" w:sz="4" w:space="0" w:color="auto"/>
                  <w:right w:val="single" w:sz="4" w:space="0" w:color="auto"/>
                </w:tcBorders>
                <w:shd w:val="clear" w:color="auto" w:fill="auto"/>
                <w:noWrap/>
                <w:vAlign w:val="bottom"/>
                <w:hideMark/>
              </w:tcPr>
              <w:p w:rsidR="0039796F" w:rsidRPr="006E643A" w:rsidRDefault="0039796F" w:rsidP="00064FB0">
                <w:pPr>
                  <w:spacing w:after="0" w:line="480" w:lineRule="auto"/>
                  <w:jc w:val="both"/>
                  <w:rPr>
                    <w:rFonts w:ascii="Times New Roman" w:eastAsia="Times New Roman" w:hAnsi="Times New Roman" w:cs="Times New Roman"/>
                    <w:color w:val="000000"/>
                    <w:sz w:val="24"/>
                    <w:szCs w:val="24"/>
                  </w:rPr>
                </w:pPr>
                <w:r w:rsidRPr="006E643A">
                  <w:rPr>
                    <w:rFonts w:ascii="Times New Roman" w:eastAsia="Times New Roman" w:hAnsi="Times New Roman" w:cs="Times New Roman"/>
                    <w:color w:val="000000"/>
                    <w:sz w:val="24"/>
                    <w:szCs w:val="24"/>
                  </w:rPr>
                  <w:t>1.66</w:t>
                </w:r>
              </w:p>
            </w:tc>
          </w:tr>
        </w:tbl>
        <w:p w:rsidR="00186E26" w:rsidRPr="006A59B4" w:rsidRDefault="00186E26" w:rsidP="00064FB0">
          <w:pPr>
            <w:spacing w:after="0" w:line="480" w:lineRule="auto"/>
            <w:jc w:val="center"/>
            <w:rPr>
              <w:rFonts w:ascii="Times New Roman" w:hAnsi="Times New Roman" w:cs="Times New Roman"/>
              <w:sz w:val="24"/>
              <w:szCs w:val="24"/>
            </w:rPr>
          </w:pPr>
          <w:r w:rsidRPr="006A59B4">
            <w:rPr>
              <w:rFonts w:ascii="Times New Roman" w:hAnsi="Times New Roman" w:cs="Times New Roman"/>
              <w:sz w:val="24"/>
              <w:szCs w:val="24"/>
            </w:rPr>
            <w:t>(</w:t>
          </w:r>
          <w:r w:rsidRPr="00010DA6">
            <w:rPr>
              <w:rFonts w:ascii="Times New Roman" w:eastAsia="Times New Roman" w:hAnsi="Times New Roman" w:cs="Times New Roman"/>
              <w:color w:val="000000"/>
              <w:sz w:val="24"/>
              <w:szCs w:val="24"/>
            </w:rPr>
            <w:t>Yahoo Finance</w:t>
          </w:r>
          <w:r w:rsidRPr="006A59B4">
            <w:rPr>
              <w:rFonts w:ascii="Times New Roman" w:eastAsia="Times New Roman" w:hAnsi="Times New Roman" w:cs="Times New Roman"/>
              <w:color w:val="000000"/>
              <w:sz w:val="24"/>
              <w:szCs w:val="24"/>
            </w:rPr>
            <w:t xml:space="preserve">, </w:t>
          </w:r>
          <w:proofErr w:type="spellStart"/>
          <w:r w:rsidRPr="006A59B4">
            <w:rPr>
              <w:rFonts w:ascii="Times New Roman" w:eastAsia="Times New Roman" w:hAnsi="Times New Roman" w:cs="Times New Roman"/>
              <w:color w:val="000000"/>
              <w:sz w:val="24"/>
              <w:szCs w:val="24"/>
            </w:rPr>
            <w:t>n.d</w:t>
          </w:r>
          <w:proofErr w:type="spellEnd"/>
          <w:r w:rsidRPr="006A59B4">
            <w:rPr>
              <w:rFonts w:ascii="Times New Roman" w:hAnsi="Times New Roman" w:cs="Times New Roman"/>
              <w:sz w:val="24"/>
              <w:szCs w:val="24"/>
            </w:rPr>
            <w:t>)</w:t>
          </w:r>
        </w:p>
        <w:p w:rsidR="0039796F" w:rsidRDefault="0039796F" w:rsidP="00064FB0">
          <w:pPr>
            <w:spacing w:after="0" w:line="480" w:lineRule="auto"/>
            <w:jc w:val="both"/>
            <w:rPr>
              <w:rFonts w:ascii="Times New Roman" w:hAnsi="Times New Roman" w:cs="Times New Roman"/>
              <w:sz w:val="24"/>
              <w:szCs w:val="24"/>
            </w:rPr>
          </w:pPr>
          <w:r>
            <w:rPr>
              <w:noProof/>
              <w:lang w:val="en-US"/>
            </w:rPr>
            <w:drawing>
              <wp:inline distT="0" distB="0" distL="0" distR="0">
                <wp:extent cx="5915025" cy="2943225"/>
                <wp:effectExtent l="0" t="0" r="9525" b="9525"/>
                <wp:docPr id="10" name="Chart 10">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pg="http://schemas.microsoft.com/office/word/2010/wordprocessingGroup" xmlns:wpi="http://schemas.microsoft.com/office/word/2010/wordprocessingInk" xmlns:wps="http://schemas.microsoft.com/office/word/2010/wordprocessingShape"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0D70DD8D-86E4-3E1C-C63D-726CFEE78AC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86E26"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lastRenderedPageBreak/>
            <w:t xml:space="preserve">From the analysis, the receivable turnover was small, mainly 1 </w:t>
          </w:r>
          <w:proofErr w:type="gramStart"/>
          <w:r w:rsidRPr="006A59B4">
            <w:rPr>
              <w:rFonts w:ascii="Times New Roman" w:hAnsi="Times New Roman" w:cs="Times New Roman"/>
              <w:sz w:val="24"/>
              <w:szCs w:val="24"/>
            </w:rPr>
            <w:t>times</w:t>
          </w:r>
          <w:proofErr w:type="gramEnd"/>
          <w:r w:rsidRPr="006A59B4">
            <w:rPr>
              <w:rFonts w:ascii="Times New Roman" w:hAnsi="Times New Roman" w:cs="Times New Roman"/>
              <w:sz w:val="24"/>
              <w:szCs w:val="24"/>
            </w:rPr>
            <w:t xml:space="preserve"> for the two years. There was a slight decline from 1.94 in 2019 to 1.06 in 2020. This shows a decline in performance, showing that the stock was slow-moving as sales declined with the pandemic affecting business activities. There was a need for the company to find ways of boosting sales regardless of the pandemic conditions. </w:t>
          </w:r>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 xml:space="preserve">The payables turnover declined from 6.66 in 2019 to 1.66. </w:t>
          </w:r>
          <w:proofErr w:type="gramStart"/>
          <w:r w:rsidRPr="006A59B4">
            <w:rPr>
              <w:rFonts w:ascii="Times New Roman" w:hAnsi="Times New Roman" w:cs="Times New Roman"/>
              <w:sz w:val="24"/>
              <w:szCs w:val="24"/>
            </w:rPr>
            <w:t>it</w:t>
          </w:r>
          <w:proofErr w:type="gramEnd"/>
          <w:r w:rsidRPr="006A59B4">
            <w:rPr>
              <w:rFonts w:ascii="Times New Roman" w:hAnsi="Times New Roman" w:cs="Times New Roman"/>
              <w:sz w:val="24"/>
              <w:szCs w:val="24"/>
            </w:rPr>
            <w:t xml:space="preserve"> shows that the company took more time to pay its short-term liabilities in 2020. This is because the business was not doing well (</w:t>
          </w:r>
          <w:r w:rsidRPr="006A59B4">
            <w:rPr>
              <w:rFonts w:ascii="Times New Roman" w:eastAsia="Times New Roman" w:hAnsi="Times New Roman" w:cs="Times New Roman"/>
              <w:color w:val="000000"/>
              <w:sz w:val="24"/>
              <w:szCs w:val="24"/>
            </w:rPr>
            <w:t>Marr, 2012</w:t>
          </w:r>
          <w:r w:rsidRPr="006A59B4">
            <w:rPr>
              <w:rFonts w:ascii="Times New Roman" w:hAnsi="Times New Roman" w:cs="Times New Roman"/>
              <w:sz w:val="24"/>
              <w:szCs w:val="24"/>
            </w:rPr>
            <w:t xml:space="preserve">). While the company was not doing well during the period, there is a need to also evaluate leverage in the company. </w:t>
          </w:r>
        </w:p>
        <w:p w:rsidR="00186E26" w:rsidRPr="006A59B4" w:rsidRDefault="00186E26" w:rsidP="00064FB0">
          <w:pPr>
            <w:spacing w:after="0" w:line="480" w:lineRule="auto"/>
            <w:jc w:val="both"/>
            <w:rPr>
              <w:rFonts w:ascii="Times New Roman" w:hAnsi="Times New Roman" w:cs="Times New Roman"/>
              <w:b/>
              <w:bCs/>
              <w:sz w:val="24"/>
              <w:szCs w:val="24"/>
            </w:rPr>
          </w:pPr>
          <w:r w:rsidRPr="006A59B4">
            <w:rPr>
              <w:rFonts w:ascii="Times New Roman" w:hAnsi="Times New Roman" w:cs="Times New Roman"/>
              <w:b/>
              <w:bCs/>
              <w:sz w:val="24"/>
              <w:szCs w:val="24"/>
            </w:rPr>
            <w:t>Leverage ratios</w:t>
          </w:r>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The leverage ratios show the extent to which debt has been used to finance the operations of the company. There is a need to ensure that the company does not face the risk of bankruptcy by having too much debt, but at the same time, there is a need to ensure that the company benefits from the debts as a source of financing (</w:t>
          </w:r>
          <w:proofErr w:type="spellStart"/>
          <w:r w:rsidRPr="006A59B4">
            <w:rPr>
              <w:rFonts w:ascii="Times New Roman" w:hAnsi="Times New Roman" w:cs="Times New Roman"/>
              <w:color w:val="000000"/>
              <w:sz w:val="24"/>
              <w:szCs w:val="24"/>
              <w:shd w:val="clear" w:color="auto" w:fill="FFFFFF"/>
            </w:rPr>
            <w:t>Hisrich</w:t>
          </w:r>
          <w:proofErr w:type="spellEnd"/>
          <w:r w:rsidRPr="006A59B4">
            <w:rPr>
              <w:rFonts w:ascii="Times New Roman" w:hAnsi="Times New Roman" w:cs="Times New Roman"/>
              <w:color w:val="000000"/>
              <w:sz w:val="24"/>
              <w:szCs w:val="24"/>
              <w:shd w:val="clear" w:color="auto" w:fill="FFFFFF"/>
            </w:rPr>
            <w:t xml:space="preserve"> &amp; </w:t>
          </w:r>
          <w:proofErr w:type="spellStart"/>
          <w:r w:rsidRPr="006A59B4">
            <w:rPr>
              <w:rFonts w:ascii="Times New Roman" w:hAnsi="Times New Roman" w:cs="Times New Roman"/>
              <w:color w:val="000000"/>
              <w:sz w:val="24"/>
              <w:szCs w:val="24"/>
              <w:shd w:val="clear" w:color="auto" w:fill="FFFFFF"/>
            </w:rPr>
            <w:t>DaSilva</w:t>
          </w:r>
          <w:proofErr w:type="spellEnd"/>
          <w:r w:rsidRPr="006A59B4">
            <w:rPr>
              <w:rFonts w:ascii="Times New Roman" w:hAnsi="Times New Roman" w:cs="Times New Roman"/>
              <w:color w:val="000000"/>
              <w:sz w:val="24"/>
              <w:szCs w:val="24"/>
              <w:shd w:val="clear" w:color="auto" w:fill="FFFFFF"/>
            </w:rPr>
            <w:t>, 2015</w:t>
          </w:r>
          <w:r w:rsidRPr="006A59B4">
            <w:rPr>
              <w:rFonts w:ascii="Times New Roman" w:hAnsi="Times New Roman" w:cs="Times New Roman"/>
              <w:sz w:val="24"/>
              <w:szCs w:val="24"/>
            </w:rPr>
            <w:t>). The following is the summary of the leverage ratios selected;</w:t>
          </w:r>
        </w:p>
        <w:tbl>
          <w:tblPr>
            <w:tblW w:w="9230" w:type="dxa"/>
            <w:tblLook w:val="04A0"/>
          </w:tblPr>
          <w:tblGrid>
            <w:gridCol w:w="2220"/>
            <w:gridCol w:w="4638"/>
            <w:gridCol w:w="1186"/>
            <w:gridCol w:w="1186"/>
          </w:tblGrid>
          <w:tr w:rsidR="0039796F" w:rsidTr="00064FB0">
            <w:trPr>
              <w:trHeight w:val="312"/>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Ratio</w:t>
                </w:r>
              </w:p>
            </w:tc>
            <w:tc>
              <w:tcPr>
                <w:tcW w:w="4638" w:type="dxa"/>
                <w:tcBorders>
                  <w:top w:val="single" w:sz="4" w:space="0" w:color="auto"/>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Formula</w:t>
                </w:r>
              </w:p>
            </w:tc>
            <w:tc>
              <w:tcPr>
                <w:tcW w:w="1186" w:type="dxa"/>
                <w:tcBorders>
                  <w:top w:val="single" w:sz="4" w:space="0" w:color="auto"/>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2019</w:t>
                </w:r>
              </w:p>
            </w:tc>
            <w:tc>
              <w:tcPr>
                <w:tcW w:w="1186" w:type="dxa"/>
                <w:tcBorders>
                  <w:top w:val="single" w:sz="4" w:space="0" w:color="auto"/>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2020</w:t>
                </w:r>
              </w:p>
            </w:tc>
          </w:tr>
          <w:tr w:rsidR="0039796F" w:rsidTr="00064FB0">
            <w:trPr>
              <w:trHeight w:val="312"/>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Debt ratio</w:t>
                </w:r>
              </w:p>
            </w:tc>
            <w:tc>
              <w:tcPr>
                <w:tcW w:w="4638" w:type="dxa"/>
                <w:tcBorders>
                  <w:top w:val="nil"/>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Total debt/total assets</w:t>
                </w:r>
              </w:p>
            </w:tc>
            <w:tc>
              <w:tcPr>
                <w:tcW w:w="1186" w:type="dxa"/>
                <w:tcBorders>
                  <w:top w:val="nil"/>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0.61</w:t>
                </w:r>
              </w:p>
            </w:tc>
            <w:tc>
              <w:tcPr>
                <w:tcW w:w="1186" w:type="dxa"/>
                <w:tcBorders>
                  <w:top w:val="nil"/>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0.69</w:t>
                </w:r>
              </w:p>
            </w:tc>
          </w:tr>
          <w:tr w:rsidR="0039796F" w:rsidTr="00064FB0">
            <w:trPr>
              <w:trHeight w:val="312"/>
            </w:trPr>
            <w:tc>
              <w:tcPr>
                <w:tcW w:w="2220" w:type="dxa"/>
                <w:tcBorders>
                  <w:top w:val="nil"/>
                  <w:left w:val="single" w:sz="4" w:space="0" w:color="auto"/>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Debt-equity ratio</w:t>
                </w:r>
              </w:p>
            </w:tc>
            <w:tc>
              <w:tcPr>
                <w:tcW w:w="4638" w:type="dxa"/>
                <w:tcBorders>
                  <w:top w:val="nil"/>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E023F4">
                  <w:rPr>
                    <w:rFonts w:ascii="Times New Roman" w:eastAsia="Times New Roman" w:hAnsi="Times New Roman" w:cs="Times New Roman"/>
                    <w:color w:val="000000"/>
                    <w:sz w:val="24"/>
                    <w:szCs w:val="24"/>
                  </w:rPr>
                  <w:t>Total debt/total equity</w:t>
                </w:r>
              </w:p>
            </w:tc>
            <w:tc>
              <w:tcPr>
                <w:tcW w:w="1186" w:type="dxa"/>
                <w:tcBorders>
                  <w:top w:val="nil"/>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6A59B4">
                  <w:rPr>
                    <w:rFonts w:ascii="Times New Roman" w:eastAsia="Times New Roman" w:hAnsi="Times New Roman" w:cs="Times New Roman"/>
                    <w:color w:val="000000"/>
                    <w:sz w:val="24"/>
                    <w:szCs w:val="24"/>
                  </w:rPr>
                  <w:t>19.01</w:t>
                </w:r>
              </w:p>
            </w:tc>
            <w:tc>
              <w:tcPr>
                <w:tcW w:w="1186" w:type="dxa"/>
                <w:tcBorders>
                  <w:top w:val="nil"/>
                  <w:left w:val="nil"/>
                  <w:bottom w:val="single" w:sz="4" w:space="0" w:color="auto"/>
                  <w:right w:val="single" w:sz="4" w:space="0" w:color="auto"/>
                </w:tcBorders>
                <w:shd w:val="clear" w:color="auto" w:fill="auto"/>
                <w:noWrap/>
                <w:vAlign w:val="bottom"/>
                <w:hideMark/>
              </w:tcPr>
              <w:p w:rsidR="0039796F" w:rsidRPr="00E023F4" w:rsidRDefault="0039796F" w:rsidP="00064FB0">
                <w:pPr>
                  <w:spacing w:after="0" w:line="480" w:lineRule="auto"/>
                  <w:jc w:val="both"/>
                  <w:rPr>
                    <w:rFonts w:ascii="Times New Roman" w:eastAsia="Times New Roman" w:hAnsi="Times New Roman" w:cs="Times New Roman"/>
                    <w:color w:val="000000"/>
                    <w:sz w:val="24"/>
                    <w:szCs w:val="24"/>
                  </w:rPr>
                </w:pPr>
                <w:r w:rsidRPr="006A59B4">
                  <w:rPr>
                    <w:rFonts w:ascii="Times New Roman" w:eastAsia="Times New Roman" w:hAnsi="Times New Roman" w:cs="Times New Roman"/>
                    <w:color w:val="000000"/>
                    <w:sz w:val="24"/>
                    <w:szCs w:val="24"/>
                  </w:rPr>
                  <w:t>7.8</w:t>
                </w:r>
              </w:p>
            </w:tc>
          </w:tr>
        </w:tbl>
        <w:p w:rsidR="00186E26" w:rsidRPr="006A59B4" w:rsidRDefault="00186E26" w:rsidP="00064FB0">
          <w:pPr>
            <w:spacing w:after="0" w:line="480" w:lineRule="auto"/>
            <w:jc w:val="both"/>
            <w:rPr>
              <w:rFonts w:ascii="Times New Roman" w:hAnsi="Times New Roman" w:cs="Times New Roman"/>
              <w:sz w:val="24"/>
              <w:szCs w:val="24"/>
            </w:rPr>
          </w:pPr>
        </w:p>
        <w:p w:rsidR="00186E26" w:rsidRDefault="0039796F" w:rsidP="00064FB0">
          <w:pPr>
            <w:spacing w:after="0" w:line="480" w:lineRule="auto"/>
            <w:jc w:val="both"/>
            <w:rPr>
              <w:rFonts w:ascii="Times New Roman" w:hAnsi="Times New Roman" w:cs="Times New Roman"/>
              <w:sz w:val="24"/>
              <w:szCs w:val="24"/>
            </w:rPr>
          </w:pPr>
          <w:r>
            <w:rPr>
              <w:noProof/>
              <w:lang w:val="en-US"/>
            </w:rPr>
            <w:lastRenderedPageBreak/>
            <w:drawing>
              <wp:inline distT="0" distB="0" distL="0" distR="0">
                <wp:extent cx="5724525" cy="2809875"/>
                <wp:effectExtent l="0" t="0" r="9525" b="9525"/>
                <wp:docPr id="11" name="Chart 11">
                  <a:extLst xmlns:a="http://schemas.openxmlformats.org/drawingml/2006/main">
                    <a:ext uri="{FF2B5EF4-FFF2-40B4-BE49-F238E27FC236}">
                      <a16:creationId xmlns:wpc="http://schemas.microsoft.com/office/word/2010/wordprocessingCanvas" xmlns:mc="http://schemas.openxmlformats.org/markup-compatibility/2006" xmlns:wp14="http://schemas.microsoft.com/office/word/2010/wordprocessingDrawing" xmlns:w14="http://schemas.microsoft.com/office/word/2010/wordml" xmlns:wpg="http://schemas.microsoft.com/office/word/2010/wordprocessingGroup" xmlns:wpi="http://schemas.microsoft.com/office/word/2010/wordprocessingInk" xmlns:wps="http://schemas.microsoft.com/office/word/2010/wordprocessingShape"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C5E8DF56-93B3-EC87-E043-25A3F28FE7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86E26"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The debt ratio measures the extent to which debt has financed assets. The ratio slightly increased from 0.61 in 2019 to 0.69 in 2020. This shows that there was a slight increase in debt. The company borrowed debt considering the poor performance in the year 2020. This was necessary to invest in changes that could help deal with the pandemic. It shows that the debt is slightly lower than the value of company assets, hence no threat of bankruptcy (</w:t>
          </w:r>
          <w:r w:rsidRPr="00010DA6">
            <w:rPr>
              <w:rFonts w:ascii="Times New Roman" w:eastAsia="Times New Roman" w:hAnsi="Times New Roman" w:cs="Times New Roman"/>
              <w:color w:val="000000"/>
              <w:sz w:val="24"/>
              <w:szCs w:val="24"/>
            </w:rPr>
            <w:t>Coombs</w:t>
          </w:r>
          <w:r w:rsidRPr="006A59B4">
            <w:rPr>
              <w:rFonts w:ascii="Times New Roman" w:eastAsia="Times New Roman" w:hAnsi="Times New Roman" w:cs="Times New Roman"/>
              <w:color w:val="000000"/>
              <w:sz w:val="24"/>
              <w:szCs w:val="24"/>
            </w:rPr>
            <w:t xml:space="preserve"> et al. 2005</w:t>
          </w:r>
          <w:r w:rsidRPr="006A59B4">
            <w:rPr>
              <w:rFonts w:ascii="Times New Roman" w:hAnsi="Times New Roman" w:cs="Times New Roman"/>
              <w:sz w:val="24"/>
              <w:szCs w:val="24"/>
            </w:rPr>
            <w:t xml:space="preserve">). </w:t>
          </w:r>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 xml:space="preserve">The debt-equity ratio shows that the ratio decreased from 19.01 in 2019 to 7.8 in 2020. This is far higher than the industrial average of 2.6. </w:t>
          </w:r>
          <w:r w:rsidR="0039796F">
            <w:rPr>
              <w:rFonts w:ascii="Times New Roman" w:hAnsi="Times New Roman" w:cs="Times New Roman"/>
              <w:sz w:val="24"/>
              <w:szCs w:val="24"/>
            </w:rPr>
            <w:t>I</w:t>
          </w:r>
          <w:r w:rsidRPr="006A59B4">
            <w:rPr>
              <w:rFonts w:ascii="Times New Roman" w:hAnsi="Times New Roman" w:cs="Times New Roman"/>
              <w:sz w:val="24"/>
              <w:szCs w:val="24"/>
            </w:rPr>
            <w:t>t shows that the company debt is far much higher than equity. While there is no risk as the company has assets to secure the debt, it is doing poorer than the rest of the industry and needs to manage its debts going forward (</w:t>
          </w:r>
          <w:r w:rsidRPr="006A59B4">
            <w:rPr>
              <w:rFonts w:ascii="Times New Roman" w:eastAsia="Times New Roman" w:hAnsi="Times New Roman" w:cs="Times New Roman"/>
              <w:color w:val="000000"/>
              <w:sz w:val="24"/>
              <w:szCs w:val="24"/>
            </w:rPr>
            <w:t>Marr, 2012</w:t>
          </w:r>
          <w:r w:rsidRPr="006A59B4">
            <w:rPr>
              <w:rFonts w:ascii="Times New Roman" w:hAnsi="Times New Roman" w:cs="Times New Roman"/>
              <w:sz w:val="24"/>
              <w:szCs w:val="24"/>
            </w:rPr>
            <w:t xml:space="preserve">). Prioritizing share capital can help reduce the cost of debts. </w:t>
          </w:r>
        </w:p>
        <w:p w:rsidR="00186E26"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 xml:space="preserve">The summary of the company's performance is that the </w:t>
          </w:r>
          <w:r w:rsidR="00844DB7">
            <w:rPr>
              <w:rFonts w:ascii="Times New Roman" w:hAnsi="Times New Roman" w:cs="Times New Roman"/>
              <w:sz w:val="24"/>
              <w:szCs w:val="24"/>
            </w:rPr>
            <w:t>COVID</w:t>
          </w:r>
          <w:r w:rsidRPr="006A59B4">
            <w:rPr>
              <w:rFonts w:ascii="Times New Roman" w:hAnsi="Times New Roman" w:cs="Times New Roman"/>
              <w:sz w:val="24"/>
              <w:szCs w:val="24"/>
            </w:rPr>
            <w:t xml:space="preserve"> 19 pandemic adversely affected the company's sales, leading to negative profits in the year 2020. This trend is negative and needs to be managed by coming up with measures that can ensure that customers are served without putting the risks of the customers and the workers in danger. There is a need to find ways to remain relevant in the industry and generate profits amid the pandemic. This requires creativity on the part of the company (</w:t>
          </w:r>
          <w:r w:rsidRPr="00010DA6">
            <w:rPr>
              <w:rFonts w:ascii="Times New Roman" w:eastAsia="Times New Roman" w:hAnsi="Times New Roman" w:cs="Times New Roman"/>
              <w:color w:val="000000"/>
              <w:sz w:val="24"/>
              <w:szCs w:val="24"/>
            </w:rPr>
            <w:t>Walsh, </w:t>
          </w:r>
          <w:r w:rsidRPr="006A59B4">
            <w:rPr>
              <w:rFonts w:ascii="Times New Roman" w:eastAsia="Times New Roman" w:hAnsi="Times New Roman" w:cs="Times New Roman"/>
              <w:color w:val="000000"/>
              <w:sz w:val="24"/>
              <w:szCs w:val="24"/>
            </w:rPr>
            <w:t>2010</w:t>
          </w:r>
          <w:r w:rsidRPr="006A59B4">
            <w:rPr>
              <w:rFonts w:ascii="Times New Roman" w:hAnsi="Times New Roman" w:cs="Times New Roman"/>
              <w:sz w:val="24"/>
              <w:szCs w:val="24"/>
            </w:rPr>
            <w:t xml:space="preserve">). </w:t>
          </w:r>
          <w:proofErr w:type="gramStart"/>
          <w:r w:rsidRPr="006A59B4">
            <w:rPr>
              <w:rFonts w:ascii="Times New Roman" w:hAnsi="Times New Roman" w:cs="Times New Roman"/>
              <w:sz w:val="24"/>
              <w:szCs w:val="24"/>
            </w:rPr>
            <w:t>the</w:t>
          </w:r>
          <w:proofErr w:type="gramEnd"/>
          <w:r w:rsidRPr="006A59B4">
            <w:rPr>
              <w:rFonts w:ascii="Times New Roman" w:hAnsi="Times New Roman" w:cs="Times New Roman"/>
              <w:sz w:val="24"/>
              <w:szCs w:val="24"/>
            </w:rPr>
            <w:t xml:space="preserve"> declining </w:t>
          </w:r>
          <w:r w:rsidRPr="006A59B4">
            <w:rPr>
              <w:rFonts w:ascii="Times New Roman" w:hAnsi="Times New Roman" w:cs="Times New Roman"/>
              <w:sz w:val="24"/>
              <w:szCs w:val="24"/>
            </w:rPr>
            <w:lastRenderedPageBreak/>
            <w:t xml:space="preserve">sales and profits, as well as company operations, have led to poor activity ratios for Hilton hotels. The low activity and sales have meant that there are idle current assets that make the liquidity of the company strong. However, the debt ratios have remained stable, and there is no risk of bankruptcy faced by the company. </w:t>
          </w:r>
        </w:p>
        <w:p w:rsidR="009C1CE2" w:rsidRDefault="009C1CE2" w:rsidP="00064FB0">
          <w:pPr>
            <w:jc w:val="both"/>
          </w:pPr>
        </w:p>
        <w:p w:rsidR="00186E26" w:rsidRPr="00727C27" w:rsidRDefault="00EB364C" w:rsidP="00EB364C">
          <w:pPr>
            <w:pStyle w:val="Heading2"/>
            <w:numPr>
              <w:ilvl w:val="0"/>
              <w:numId w:val="3"/>
            </w:numPr>
          </w:pPr>
          <w:bookmarkStart w:id="6" w:name="_Toc104820066"/>
          <w:r>
            <w:t xml:space="preserve">Importance </w:t>
          </w:r>
          <w:r w:rsidR="00844DB7">
            <w:t>of using</w:t>
          </w:r>
          <w:r>
            <w:t xml:space="preserve"> </w:t>
          </w:r>
          <w:r w:rsidR="00186E26" w:rsidRPr="00727C27">
            <w:t>Ratio Analysis</w:t>
          </w:r>
          <w:bookmarkEnd w:id="6"/>
        </w:p>
        <w:p w:rsidR="00186E26" w:rsidRPr="006A59B4" w:rsidRDefault="00186E26"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The use of financial ratios is important because it makes it possible to compare one variable against the other. An example is where it is possible to compare debts with the assets to find out whether the assets can pay for debts; hence the company remains with a positive net worth. It makes sense to compare variables in financial statements against each other. The financial ratios also help compare performance over a period. Additionally, it makes it possible to compare the performance of a company with another peer in the industry (</w:t>
          </w:r>
          <w:r w:rsidRPr="006A59B4">
            <w:rPr>
              <w:rFonts w:ascii="Times New Roman" w:hAnsi="Times New Roman" w:cs="Times New Roman"/>
              <w:color w:val="000000"/>
              <w:sz w:val="24"/>
              <w:szCs w:val="24"/>
              <w:shd w:val="clear" w:color="auto" w:fill="FFFFFF"/>
            </w:rPr>
            <w:t>Baker &amp; Powell, 2005</w:t>
          </w:r>
          <w:r w:rsidRPr="006A59B4">
            <w:rPr>
              <w:rFonts w:ascii="Times New Roman" w:hAnsi="Times New Roman" w:cs="Times New Roman"/>
              <w:sz w:val="24"/>
              <w:szCs w:val="24"/>
            </w:rPr>
            <w:t>). An example is where ratio analysis helps compare two performances of two companies, even if the total capital invested in each of the two companies is different. Having ratios rationalize the comparison and can help stakeholders deduce important information for their decision-making (</w:t>
          </w:r>
          <w:r w:rsidRPr="006A59B4">
            <w:rPr>
              <w:rFonts w:ascii="Times New Roman" w:eastAsia="Times New Roman" w:hAnsi="Times New Roman" w:cs="Times New Roman"/>
              <w:color w:val="000000"/>
              <w:sz w:val="24"/>
              <w:szCs w:val="24"/>
            </w:rPr>
            <w:t>Sonar, 2020</w:t>
          </w:r>
          <w:r w:rsidRPr="006A59B4">
            <w:rPr>
              <w:rFonts w:ascii="Times New Roman" w:hAnsi="Times New Roman" w:cs="Times New Roman"/>
              <w:sz w:val="24"/>
              <w:szCs w:val="24"/>
            </w:rPr>
            <w:t xml:space="preserve">). </w:t>
          </w:r>
        </w:p>
        <w:p w:rsidR="00135C49" w:rsidRPr="00EB364C" w:rsidRDefault="00135C49" w:rsidP="00EB364C">
          <w:pPr>
            <w:pStyle w:val="Heading2"/>
            <w:numPr>
              <w:ilvl w:val="0"/>
              <w:numId w:val="3"/>
            </w:numPr>
          </w:pPr>
          <w:bookmarkStart w:id="7" w:name="_Toc104820067"/>
          <w:r w:rsidRPr="00EB364C">
            <w:t>Limitations of Financial Ratios</w:t>
          </w:r>
          <w:bookmarkEnd w:id="7"/>
        </w:p>
        <w:p w:rsidR="00135C49" w:rsidRPr="006A59B4" w:rsidRDefault="00135C49"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While the financial ratios are important in the analysis of the performance of a business entity, there are various limitations. An example is where two ratios in the same category contradict each other, leading to confusion on what to do. An example is where one leverage ratio shows that the company faces bankruptcy while the other shows that there are no such risks. This can lead to indecision. Another challenge of these ratios is that some ratios may become irrelevant for some industries. An example is the cash ratio in the banking sector, which can be misleading since banks deal with cash as their products. Finally, the ratios are as good as the financial statements (</w:t>
          </w:r>
          <w:r w:rsidRPr="00010DA6">
            <w:rPr>
              <w:rFonts w:ascii="Times New Roman" w:eastAsia="Times New Roman" w:hAnsi="Times New Roman" w:cs="Times New Roman"/>
              <w:color w:val="000000"/>
              <w:sz w:val="24"/>
              <w:szCs w:val="24"/>
            </w:rPr>
            <w:t>Walsh, </w:t>
          </w:r>
          <w:r w:rsidRPr="006A59B4">
            <w:rPr>
              <w:rFonts w:ascii="Times New Roman" w:eastAsia="Times New Roman" w:hAnsi="Times New Roman" w:cs="Times New Roman"/>
              <w:color w:val="000000"/>
              <w:sz w:val="24"/>
              <w:szCs w:val="24"/>
            </w:rPr>
            <w:t>2010</w:t>
          </w:r>
          <w:r w:rsidRPr="006A59B4">
            <w:rPr>
              <w:rFonts w:ascii="Times New Roman" w:hAnsi="Times New Roman" w:cs="Times New Roman"/>
              <w:sz w:val="24"/>
              <w:szCs w:val="24"/>
            </w:rPr>
            <w:t xml:space="preserve">). If the financial statements are wrong, then the financial ratios are also misleading. This is why there is a need to use non-financial </w:t>
          </w:r>
          <w:r w:rsidRPr="006A59B4">
            <w:rPr>
              <w:rFonts w:ascii="Times New Roman" w:hAnsi="Times New Roman" w:cs="Times New Roman"/>
              <w:sz w:val="24"/>
              <w:szCs w:val="24"/>
            </w:rPr>
            <w:lastRenderedPageBreak/>
            <w:t xml:space="preserve">information alongside the financial ratios when making decisions. There is a need to evaluate other aspects such as future projects by the company, any pending legal suits and the management quality of a business. </w:t>
          </w:r>
        </w:p>
        <w:p w:rsidR="00135C49" w:rsidRPr="006A59B4" w:rsidRDefault="00135C49" w:rsidP="00EB364C">
          <w:pPr>
            <w:pStyle w:val="Heading1"/>
            <w:rPr>
              <w:b w:val="0"/>
            </w:rPr>
          </w:pPr>
          <w:bookmarkStart w:id="8" w:name="_Toc104820068"/>
          <w:r w:rsidRPr="006A59B4">
            <w:t>Conclusion</w:t>
          </w:r>
          <w:bookmarkEnd w:id="8"/>
        </w:p>
        <w:p w:rsidR="00186E26" w:rsidRPr="0039796F" w:rsidRDefault="00135C49" w:rsidP="00064FB0">
          <w:pPr>
            <w:spacing w:after="0" w:line="480" w:lineRule="auto"/>
            <w:jc w:val="both"/>
            <w:rPr>
              <w:rFonts w:ascii="Times New Roman" w:hAnsi="Times New Roman" w:cs="Times New Roman"/>
              <w:sz w:val="24"/>
              <w:szCs w:val="24"/>
            </w:rPr>
          </w:pPr>
          <w:r w:rsidRPr="006A59B4">
            <w:rPr>
              <w:rFonts w:ascii="Times New Roman" w:hAnsi="Times New Roman" w:cs="Times New Roman"/>
              <w:sz w:val="24"/>
              <w:szCs w:val="24"/>
            </w:rPr>
            <w:t xml:space="preserve">In conclusion, the financial ratio analysis shows that Hilton hotels and the industry, in general, are facing challenges in performance. This can be associated with </w:t>
          </w:r>
          <w:proofErr w:type="spellStart"/>
          <w:r w:rsidRPr="006A59B4">
            <w:rPr>
              <w:rFonts w:ascii="Times New Roman" w:hAnsi="Times New Roman" w:cs="Times New Roman"/>
              <w:sz w:val="24"/>
              <w:szCs w:val="24"/>
            </w:rPr>
            <w:t>covid</w:t>
          </w:r>
          <w:proofErr w:type="spellEnd"/>
          <w:r w:rsidRPr="006A59B4">
            <w:rPr>
              <w:rFonts w:ascii="Times New Roman" w:hAnsi="Times New Roman" w:cs="Times New Roman"/>
              <w:sz w:val="24"/>
              <w:szCs w:val="24"/>
            </w:rPr>
            <w:t xml:space="preserve"> 19 pandemic that has affected business activities. However, the company remains resilient since it has not overused its debts, and the liquidity remains stable. There is a need to come up with strategies that will reduce costs and boost profits. Methods to increase sales without compromising on the safety of staff and customers are desirable. While the financial statements are important, there is a need to use other information when making decisions to reduce the limitations that are associated with the use of the ratios. </w:t>
          </w:r>
        </w:p>
        <w:p w:rsidR="00186E26" w:rsidRDefault="00186E26" w:rsidP="00064FB0">
          <w:pPr>
            <w:jc w:val="both"/>
          </w:pPr>
        </w:p>
        <w:p w:rsidR="00064FB0" w:rsidRDefault="00064FB0">
          <w:pPr>
            <w:rPr>
              <w:rFonts w:asciiTheme="majorHAnsi" w:eastAsiaTheme="majorEastAsia" w:hAnsiTheme="majorHAnsi" w:cstheme="majorBidi"/>
              <w:color w:val="2E74B5" w:themeColor="accent1" w:themeShade="BF"/>
              <w:sz w:val="32"/>
              <w:szCs w:val="32"/>
            </w:rPr>
          </w:pPr>
          <w:r>
            <w:br w:type="page"/>
          </w:r>
        </w:p>
        <w:p w:rsidR="00135C49" w:rsidRPr="006A59B4" w:rsidRDefault="00135C49" w:rsidP="00064FB0">
          <w:pPr>
            <w:pStyle w:val="Heading1"/>
            <w:jc w:val="center"/>
          </w:pPr>
          <w:bookmarkStart w:id="9" w:name="_Toc104820069"/>
          <w:r w:rsidRPr="006A59B4">
            <w:lastRenderedPageBreak/>
            <w:t>Reference List</w:t>
          </w:r>
          <w:bookmarkEnd w:id="9"/>
        </w:p>
        <w:p w:rsidR="00135C49" w:rsidRPr="006A59B4" w:rsidRDefault="00135C49" w:rsidP="00064FB0">
          <w:pPr>
            <w:spacing w:line="480" w:lineRule="auto"/>
            <w:ind w:left="720" w:hanging="720"/>
            <w:jc w:val="both"/>
            <w:rPr>
              <w:rFonts w:ascii="Times New Roman" w:hAnsi="Times New Roman" w:cs="Times New Roman"/>
              <w:color w:val="000000"/>
              <w:sz w:val="24"/>
              <w:szCs w:val="24"/>
              <w:shd w:val="clear" w:color="auto" w:fill="FFFFFF"/>
            </w:rPr>
          </w:pPr>
          <w:proofErr w:type="gramStart"/>
          <w:r w:rsidRPr="006A59B4">
            <w:rPr>
              <w:rFonts w:ascii="Times New Roman" w:hAnsi="Times New Roman" w:cs="Times New Roman"/>
              <w:color w:val="000000"/>
              <w:sz w:val="24"/>
              <w:szCs w:val="24"/>
              <w:shd w:val="clear" w:color="auto" w:fill="FFFFFF"/>
            </w:rPr>
            <w:t>Baker, H. K., &amp; Powell, G. E. 2005.</w:t>
          </w:r>
          <w:proofErr w:type="gramEnd"/>
          <w:r w:rsidRPr="006A59B4">
            <w:rPr>
              <w:rFonts w:ascii="Times New Roman" w:hAnsi="Times New Roman" w:cs="Times New Roman"/>
              <w:color w:val="000000"/>
              <w:sz w:val="24"/>
              <w:szCs w:val="24"/>
              <w:shd w:val="clear" w:color="auto" w:fill="FFFFFF"/>
            </w:rPr>
            <w:t> </w:t>
          </w:r>
          <w:r w:rsidRPr="006A59B4">
            <w:rPr>
              <w:rFonts w:ascii="Times New Roman" w:hAnsi="Times New Roman" w:cs="Times New Roman"/>
              <w:i/>
              <w:iCs/>
              <w:color w:val="000000"/>
              <w:sz w:val="24"/>
              <w:szCs w:val="24"/>
              <w:shd w:val="clear" w:color="auto" w:fill="FFFFFF"/>
            </w:rPr>
            <w:t>Understanding financial management: A practical guide</w:t>
          </w:r>
          <w:r w:rsidRPr="006A59B4">
            <w:rPr>
              <w:rFonts w:ascii="Times New Roman" w:hAnsi="Times New Roman" w:cs="Times New Roman"/>
              <w:color w:val="000000"/>
              <w:sz w:val="24"/>
              <w:szCs w:val="24"/>
              <w:shd w:val="clear" w:color="auto" w:fill="FFFFFF"/>
            </w:rPr>
            <w:t>. Malden, MA: Blackwell Pub.</w:t>
          </w:r>
        </w:p>
        <w:p w:rsidR="00135C49" w:rsidRPr="006A59B4" w:rsidRDefault="00135C49" w:rsidP="00064FB0">
          <w:pPr>
            <w:spacing w:line="480" w:lineRule="auto"/>
            <w:ind w:left="720" w:hanging="720"/>
            <w:jc w:val="both"/>
            <w:rPr>
              <w:rFonts w:ascii="Times New Roman" w:hAnsi="Times New Roman" w:cs="Times New Roman"/>
              <w:color w:val="000000"/>
              <w:sz w:val="24"/>
              <w:szCs w:val="24"/>
              <w:shd w:val="clear" w:color="auto" w:fill="FFFFFF"/>
            </w:rPr>
          </w:pPr>
          <w:r w:rsidRPr="006A59B4">
            <w:rPr>
              <w:rFonts w:ascii="Times New Roman" w:hAnsi="Times New Roman" w:cs="Times New Roman"/>
              <w:color w:val="000000"/>
              <w:sz w:val="24"/>
              <w:szCs w:val="24"/>
              <w:shd w:val="clear" w:color="auto" w:fill="FFFFFF"/>
            </w:rPr>
            <w:t> </w:t>
          </w:r>
          <w:proofErr w:type="spellStart"/>
          <w:proofErr w:type="gramStart"/>
          <w:r w:rsidRPr="006A59B4">
            <w:rPr>
              <w:rFonts w:ascii="Times New Roman" w:hAnsi="Times New Roman" w:cs="Times New Roman"/>
              <w:color w:val="000000"/>
              <w:sz w:val="24"/>
              <w:szCs w:val="24"/>
              <w:shd w:val="clear" w:color="auto" w:fill="FFFFFF"/>
            </w:rPr>
            <w:t>Hisrich</w:t>
          </w:r>
          <w:proofErr w:type="spellEnd"/>
          <w:r w:rsidRPr="006A59B4">
            <w:rPr>
              <w:rFonts w:ascii="Times New Roman" w:hAnsi="Times New Roman" w:cs="Times New Roman"/>
              <w:color w:val="000000"/>
              <w:sz w:val="24"/>
              <w:szCs w:val="24"/>
              <w:shd w:val="clear" w:color="auto" w:fill="FFFFFF"/>
            </w:rPr>
            <w:t xml:space="preserve">, R. D., &amp; </w:t>
          </w:r>
          <w:proofErr w:type="spellStart"/>
          <w:r w:rsidRPr="006A59B4">
            <w:rPr>
              <w:rFonts w:ascii="Times New Roman" w:hAnsi="Times New Roman" w:cs="Times New Roman"/>
              <w:color w:val="000000"/>
              <w:sz w:val="24"/>
              <w:szCs w:val="24"/>
              <w:shd w:val="clear" w:color="auto" w:fill="FFFFFF"/>
            </w:rPr>
            <w:t>DaSilva</w:t>
          </w:r>
          <w:proofErr w:type="spellEnd"/>
          <w:r w:rsidRPr="006A59B4">
            <w:rPr>
              <w:rFonts w:ascii="Times New Roman" w:hAnsi="Times New Roman" w:cs="Times New Roman"/>
              <w:color w:val="000000"/>
              <w:sz w:val="24"/>
              <w:szCs w:val="24"/>
              <w:shd w:val="clear" w:color="auto" w:fill="FFFFFF"/>
            </w:rPr>
            <w:t>, C. M. 2015.</w:t>
          </w:r>
          <w:proofErr w:type="gramEnd"/>
          <w:r w:rsidRPr="006A59B4">
            <w:rPr>
              <w:rFonts w:ascii="Times New Roman" w:hAnsi="Times New Roman" w:cs="Times New Roman"/>
              <w:color w:val="000000"/>
              <w:sz w:val="24"/>
              <w:szCs w:val="24"/>
              <w:shd w:val="clear" w:color="auto" w:fill="FFFFFF"/>
            </w:rPr>
            <w:t> </w:t>
          </w:r>
          <w:r w:rsidRPr="006A59B4">
            <w:rPr>
              <w:rFonts w:ascii="Times New Roman" w:hAnsi="Times New Roman" w:cs="Times New Roman"/>
              <w:i/>
              <w:iCs/>
              <w:color w:val="000000"/>
              <w:sz w:val="24"/>
              <w:szCs w:val="24"/>
              <w:shd w:val="clear" w:color="auto" w:fill="FFFFFF"/>
            </w:rPr>
            <w:t>Entrepreneurial finance: A global perspective</w:t>
          </w:r>
          <w:r w:rsidRPr="006A59B4">
            <w:rPr>
              <w:rFonts w:ascii="Times New Roman" w:hAnsi="Times New Roman" w:cs="Times New Roman"/>
              <w:color w:val="000000"/>
              <w:sz w:val="24"/>
              <w:szCs w:val="24"/>
              <w:shd w:val="clear" w:color="auto" w:fill="FFFFFF"/>
            </w:rPr>
            <w:t xml:space="preserve">. Los Angeles, California: Sage. </w:t>
          </w:r>
        </w:p>
        <w:p w:rsidR="00135C49" w:rsidRPr="006A59B4" w:rsidRDefault="00135C49" w:rsidP="00064FB0">
          <w:pPr>
            <w:spacing w:line="480" w:lineRule="auto"/>
            <w:ind w:left="720" w:hanging="720"/>
            <w:jc w:val="both"/>
            <w:rPr>
              <w:rFonts w:ascii="Times New Roman" w:hAnsi="Times New Roman" w:cs="Times New Roman"/>
              <w:color w:val="000000"/>
              <w:sz w:val="24"/>
              <w:szCs w:val="24"/>
              <w:shd w:val="clear" w:color="auto" w:fill="FFFFFF"/>
            </w:rPr>
          </w:pPr>
          <w:proofErr w:type="spellStart"/>
          <w:r w:rsidRPr="006A59B4">
            <w:rPr>
              <w:rFonts w:ascii="Times New Roman" w:hAnsi="Times New Roman" w:cs="Times New Roman"/>
              <w:color w:val="000000"/>
              <w:sz w:val="24"/>
              <w:szCs w:val="24"/>
              <w:shd w:val="clear" w:color="auto" w:fill="FFFFFF"/>
            </w:rPr>
            <w:t>Coulon</w:t>
          </w:r>
          <w:proofErr w:type="spellEnd"/>
          <w:r w:rsidRPr="006A59B4">
            <w:rPr>
              <w:rFonts w:ascii="Times New Roman" w:hAnsi="Times New Roman" w:cs="Times New Roman"/>
              <w:color w:val="000000"/>
              <w:sz w:val="24"/>
              <w:szCs w:val="24"/>
              <w:shd w:val="clear" w:color="auto" w:fill="FFFFFF"/>
            </w:rPr>
            <w:t>, Y. 2020. </w:t>
          </w:r>
          <w:r w:rsidRPr="006A59B4">
            <w:rPr>
              <w:rFonts w:ascii="Times New Roman" w:hAnsi="Times New Roman" w:cs="Times New Roman"/>
              <w:i/>
              <w:iCs/>
              <w:color w:val="000000"/>
              <w:sz w:val="24"/>
              <w:szCs w:val="24"/>
              <w:shd w:val="clear" w:color="auto" w:fill="FFFFFF"/>
            </w:rPr>
            <w:t>Rational investing with ratios: Implementing ratios with enterprise value and behavioural finance</w:t>
          </w:r>
          <w:r w:rsidRPr="006A59B4">
            <w:rPr>
              <w:rFonts w:ascii="Times New Roman" w:hAnsi="Times New Roman" w:cs="Times New Roman"/>
              <w:color w:val="000000"/>
              <w:sz w:val="24"/>
              <w:szCs w:val="24"/>
              <w:shd w:val="clear" w:color="auto" w:fill="FFFFFF"/>
            </w:rPr>
            <w:t xml:space="preserve">. Cham, Switzerland: Palgrave Macmillan. </w:t>
          </w:r>
        </w:p>
        <w:p w:rsidR="00135C49" w:rsidRPr="006A59B4" w:rsidRDefault="00135C49" w:rsidP="00064FB0">
          <w:pPr>
            <w:spacing w:line="480" w:lineRule="auto"/>
            <w:ind w:left="720" w:hanging="720"/>
            <w:jc w:val="both"/>
            <w:rPr>
              <w:rFonts w:ascii="Times New Roman" w:hAnsi="Times New Roman" w:cs="Times New Roman"/>
              <w:color w:val="000000"/>
              <w:sz w:val="24"/>
              <w:szCs w:val="24"/>
              <w:shd w:val="clear" w:color="auto" w:fill="FFFFFF"/>
            </w:rPr>
          </w:pPr>
          <w:proofErr w:type="gramStart"/>
          <w:r w:rsidRPr="006A59B4">
            <w:rPr>
              <w:rFonts w:ascii="Times New Roman" w:hAnsi="Times New Roman" w:cs="Times New Roman"/>
              <w:color w:val="000000"/>
              <w:sz w:val="24"/>
              <w:szCs w:val="24"/>
              <w:shd w:val="clear" w:color="auto" w:fill="FFFFFF"/>
            </w:rPr>
            <w:t>Kidwell, D. S., &amp; Bates, T. W. 2012.</w:t>
          </w:r>
          <w:proofErr w:type="gramEnd"/>
          <w:r w:rsidRPr="006A59B4">
            <w:rPr>
              <w:rFonts w:ascii="Times New Roman" w:hAnsi="Times New Roman" w:cs="Times New Roman"/>
              <w:color w:val="000000"/>
              <w:sz w:val="24"/>
              <w:szCs w:val="24"/>
              <w:shd w:val="clear" w:color="auto" w:fill="FFFFFF"/>
            </w:rPr>
            <w:t> </w:t>
          </w:r>
          <w:proofErr w:type="gramStart"/>
          <w:r w:rsidRPr="006A59B4">
            <w:rPr>
              <w:rFonts w:ascii="Times New Roman" w:hAnsi="Times New Roman" w:cs="Times New Roman"/>
              <w:i/>
              <w:iCs/>
              <w:color w:val="000000"/>
              <w:sz w:val="24"/>
              <w:szCs w:val="24"/>
              <w:shd w:val="clear" w:color="auto" w:fill="FFFFFF"/>
            </w:rPr>
            <w:t>Fundamentals of corporate finance</w:t>
          </w:r>
          <w:r w:rsidRPr="006A59B4">
            <w:rPr>
              <w:rFonts w:ascii="Times New Roman" w:hAnsi="Times New Roman" w:cs="Times New Roman"/>
              <w:color w:val="000000"/>
              <w:sz w:val="24"/>
              <w:szCs w:val="24"/>
              <w:shd w:val="clear" w:color="auto" w:fill="FFFFFF"/>
            </w:rPr>
            <w:t>.</w:t>
          </w:r>
          <w:proofErr w:type="gramEnd"/>
          <w:r w:rsidRPr="006A59B4">
            <w:rPr>
              <w:rFonts w:ascii="Times New Roman" w:hAnsi="Times New Roman" w:cs="Times New Roman"/>
              <w:color w:val="000000"/>
              <w:sz w:val="24"/>
              <w:szCs w:val="24"/>
              <w:shd w:val="clear" w:color="auto" w:fill="FFFFFF"/>
            </w:rPr>
            <w:t xml:space="preserve"> Hoboken, NJ: Wiley.</w:t>
          </w:r>
        </w:p>
        <w:p w:rsidR="00135C49" w:rsidRPr="00010DA6" w:rsidRDefault="00135C49" w:rsidP="00064FB0">
          <w:pPr>
            <w:shd w:val="clear" w:color="auto" w:fill="FFFFFF"/>
            <w:spacing w:after="0" w:line="480" w:lineRule="auto"/>
            <w:ind w:left="720" w:right="375" w:hanging="720"/>
            <w:jc w:val="both"/>
            <w:rPr>
              <w:rFonts w:ascii="Times New Roman" w:eastAsia="Times New Roman" w:hAnsi="Times New Roman" w:cs="Times New Roman"/>
              <w:color w:val="000000"/>
              <w:sz w:val="24"/>
              <w:szCs w:val="24"/>
            </w:rPr>
          </w:pPr>
          <w:proofErr w:type="gramStart"/>
          <w:r w:rsidRPr="00010DA6">
            <w:rPr>
              <w:rFonts w:ascii="Times New Roman" w:eastAsia="Times New Roman" w:hAnsi="Times New Roman" w:cs="Times New Roman"/>
              <w:color w:val="000000"/>
              <w:sz w:val="24"/>
              <w:szCs w:val="24"/>
            </w:rPr>
            <w:t>Coombs, H., Hobbs, D., &amp; Jenkins, E. 2005.</w:t>
          </w:r>
          <w:proofErr w:type="gramEnd"/>
          <w:r w:rsidRPr="00010DA6">
            <w:rPr>
              <w:rFonts w:ascii="Times New Roman" w:eastAsia="Times New Roman" w:hAnsi="Times New Roman" w:cs="Times New Roman"/>
              <w:color w:val="000000"/>
              <w:sz w:val="24"/>
              <w:szCs w:val="24"/>
            </w:rPr>
            <w:t> </w:t>
          </w:r>
          <w:r w:rsidRPr="00010DA6">
            <w:rPr>
              <w:rFonts w:ascii="Times New Roman" w:eastAsia="Times New Roman" w:hAnsi="Times New Roman" w:cs="Times New Roman"/>
              <w:i/>
              <w:iCs/>
              <w:color w:val="000000"/>
              <w:sz w:val="24"/>
              <w:szCs w:val="24"/>
            </w:rPr>
            <w:t>Management accounting: Principles and applications</w:t>
          </w:r>
          <w:r w:rsidRPr="00010DA6">
            <w:rPr>
              <w:rFonts w:ascii="Times New Roman" w:eastAsia="Times New Roman" w:hAnsi="Times New Roman" w:cs="Times New Roman"/>
              <w:color w:val="000000"/>
              <w:sz w:val="24"/>
              <w:szCs w:val="24"/>
            </w:rPr>
            <w:t xml:space="preserve">. </w:t>
          </w:r>
          <w:proofErr w:type="gramStart"/>
          <w:r w:rsidRPr="00010DA6">
            <w:rPr>
              <w:rFonts w:ascii="Times New Roman" w:eastAsia="Times New Roman" w:hAnsi="Times New Roman" w:cs="Times New Roman"/>
              <w:color w:val="000000"/>
              <w:sz w:val="24"/>
              <w:szCs w:val="24"/>
            </w:rPr>
            <w:t>SAGE.</w:t>
          </w:r>
          <w:proofErr w:type="gramEnd"/>
        </w:p>
        <w:p w:rsidR="00135C49" w:rsidRPr="00010DA6" w:rsidRDefault="00135C49" w:rsidP="00064FB0">
          <w:pPr>
            <w:shd w:val="clear" w:color="auto" w:fill="FFFFFF"/>
            <w:spacing w:after="0" w:line="480" w:lineRule="auto"/>
            <w:ind w:left="720" w:right="375" w:hanging="720"/>
            <w:jc w:val="both"/>
            <w:rPr>
              <w:rFonts w:ascii="Times New Roman" w:eastAsia="Times New Roman" w:hAnsi="Times New Roman" w:cs="Times New Roman"/>
              <w:color w:val="000000"/>
              <w:sz w:val="24"/>
              <w:szCs w:val="24"/>
            </w:rPr>
          </w:pPr>
          <w:proofErr w:type="gramStart"/>
          <w:r w:rsidRPr="00010DA6">
            <w:rPr>
              <w:rFonts w:ascii="Times New Roman" w:eastAsia="Times New Roman" w:hAnsi="Times New Roman" w:cs="Times New Roman"/>
              <w:color w:val="000000"/>
              <w:sz w:val="24"/>
              <w:szCs w:val="24"/>
            </w:rPr>
            <w:t>Marr, B. 2012.</w:t>
          </w:r>
          <w:proofErr w:type="gramEnd"/>
          <w:r w:rsidRPr="00010DA6">
            <w:rPr>
              <w:rFonts w:ascii="Times New Roman" w:eastAsia="Times New Roman" w:hAnsi="Times New Roman" w:cs="Times New Roman"/>
              <w:color w:val="000000"/>
              <w:sz w:val="24"/>
              <w:szCs w:val="24"/>
            </w:rPr>
            <w:t> </w:t>
          </w:r>
          <w:r w:rsidRPr="00010DA6">
            <w:rPr>
              <w:rFonts w:ascii="Times New Roman" w:eastAsia="Times New Roman" w:hAnsi="Times New Roman" w:cs="Times New Roman"/>
              <w:i/>
              <w:iCs/>
              <w:color w:val="000000"/>
              <w:sz w:val="24"/>
              <w:szCs w:val="24"/>
            </w:rPr>
            <w:t>Key performance indicators (KPI): The 75 measures every manager needs to know</w:t>
          </w:r>
          <w:r w:rsidRPr="00010DA6">
            <w:rPr>
              <w:rFonts w:ascii="Times New Roman" w:eastAsia="Times New Roman" w:hAnsi="Times New Roman" w:cs="Times New Roman"/>
              <w:color w:val="000000"/>
              <w:sz w:val="24"/>
              <w:szCs w:val="24"/>
            </w:rPr>
            <w:t>. Pearson UK.</w:t>
          </w:r>
        </w:p>
        <w:p w:rsidR="00135C49" w:rsidRPr="00010DA6" w:rsidRDefault="00135C49" w:rsidP="00064FB0">
          <w:pPr>
            <w:shd w:val="clear" w:color="auto" w:fill="FFFFFF"/>
            <w:spacing w:after="0" w:line="480" w:lineRule="auto"/>
            <w:ind w:left="720" w:right="375" w:hanging="720"/>
            <w:jc w:val="both"/>
            <w:rPr>
              <w:rFonts w:ascii="Times New Roman" w:eastAsia="Times New Roman" w:hAnsi="Times New Roman" w:cs="Times New Roman"/>
              <w:color w:val="000000"/>
              <w:sz w:val="24"/>
              <w:szCs w:val="24"/>
            </w:rPr>
          </w:pPr>
          <w:proofErr w:type="spellStart"/>
          <w:proofErr w:type="gramStart"/>
          <w:r w:rsidRPr="00010DA6">
            <w:rPr>
              <w:rFonts w:ascii="Times New Roman" w:eastAsia="Times New Roman" w:hAnsi="Times New Roman" w:cs="Times New Roman"/>
              <w:color w:val="000000"/>
              <w:sz w:val="24"/>
              <w:szCs w:val="24"/>
            </w:rPr>
            <w:t>ReadyRatios</w:t>
          </w:r>
          <w:proofErr w:type="spellEnd"/>
          <w:r w:rsidRPr="00010DA6">
            <w:rPr>
              <w:rFonts w:ascii="Times New Roman" w:eastAsia="Times New Roman" w:hAnsi="Times New Roman" w:cs="Times New Roman"/>
              <w:color w:val="000000"/>
              <w:sz w:val="24"/>
              <w:szCs w:val="24"/>
            </w:rPr>
            <w:t>.</w:t>
          </w:r>
          <w:proofErr w:type="gramEnd"/>
          <w:r w:rsidRPr="00010DA6">
            <w:rPr>
              <w:rFonts w:ascii="Times New Roman" w:eastAsia="Times New Roman" w:hAnsi="Times New Roman" w:cs="Times New Roman"/>
              <w:color w:val="000000"/>
              <w:sz w:val="24"/>
              <w:szCs w:val="24"/>
            </w:rPr>
            <w:t xml:space="preserve"> </w:t>
          </w:r>
          <w:proofErr w:type="spellStart"/>
          <w:proofErr w:type="gramStart"/>
          <w:r w:rsidRPr="00010DA6">
            <w:rPr>
              <w:rFonts w:ascii="Times New Roman" w:eastAsia="Times New Roman" w:hAnsi="Times New Roman" w:cs="Times New Roman"/>
              <w:color w:val="000000"/>
              <w:sz w:val="24"/>
              <w:szCs w:val="24"/>
            </w:rPr>
            <w:t>n.d</w:t>
          </w:r>
          <w:proofErr w:type="spellEnd"/>
          <w:proofErr w:type="gramEnd"/>
          <w:r w:rsidRPr="00010DA6">
            <w:rPr>
              <w:rFonts w:ascii="Times New Roman" w:eastAsia="Times New Roman" w:hAnsi="Times New Roman" w:cs="Times New Roman"/>
              <w:color w:val="000000"/>
              <w:sz w:val="24"/>
              <w:szCs w:val="24"/>
            </w:rPr>
            <w:t>. </w:t>
          </w:r>
          <w:r w:rsidRPr="00010DA6">
            <w:rPr>
              <w:rFonts w:ascii="Times New Roman" w:eastAsia="Times New Roman" w:hAnsi="Times New Roman" w:cs="Times New Roman"/>
              <w:i/>
              <w:iCs/>
              <w:color w:val="000000"/>
              <w:sz w:val="24"/>
              <w:szCs w:val="24"/>
            </w:rPr>
            <w:t>Hotels, rooming houses, camps, and other lodging places: Industry financial ratios benchmarking</w:t>
          </w:r>
          <w:r w:rsidRPr="00010DA6">
            <w:rPr>
              <w:rFonts w:ascii="Times New Roman" w:eastAsia="Times New Roman" w:hAnsi="Times New Roman" w:cs="Times New Roman"/>
              <w:color w:val="000000"/>
              <w:sz w:val="24"/>
              <w:szCs w:val="24"/>
            </w:rPr>
            <w:t xml:space="preserve">. </w:t>
          </w:r>
          <w:proofErr w:type="gramStart"/>
          <w:r w:rsidRPr="00010DA6">
            <w:rPr>
              <w:rFonts w:ascii="Times New Roman" w:eastAsia="Times New Roman" w:hAnsi="Times New Roman" w:cs="Times New Roman"/>
              <w:color w:val="000000"/>
              <w:sz w:val="24"/>
              <w:szCs w:val="24"/>
            </w:rPr>
            <w:t>Financial Analysis Software | Financial Analysis | Financial Statements | Current Ratio | Financial Ratio | ReadyRatios.com.</w:t>
          </w:r>
          <w:proofErr w:type="gramEnd"/>
          <w:r w:rsidRPr="00010DA6">
            <w:rPr>
              <w:rFonts w:ascii="Times New Roman" w:eastAsia="Times New Roman" w:hAnsi="Times New Roman" w:cs="Times New Roman"/>
              <w:color w:val="000000"/>
              <w:sz w:val="24"/>
              <w:szCs w:val="24"/>
            </w:rPr>
            <w:t> </w:t>
          </w:r>
          <w:hyperlink r:id="rId16" w:history="1">
            <w:r w:rsidRPr="00010DA6">
              <w:rPr>
                <w:rFonts w:ascii="Times New Roman" w:eastAsia="Times New Roman" w:hAnsi="Times New Roman" w:cs="Times New Roman"/>
                <w:color w:val="000000"/>
                <w:sz w:val="24"/>
                <w:szCs w:val="24"/>
                <w:u w:val="single"/>
              </w:rPr>
              <w:t>https://www.readyratios.com/sec/industry/70/</w:t>
            </w:r>
          </w:hyperlink>
        </w:p>
        <w:p w:rsidR="00135C49" w:rsidRPr="00010DA6" w:rsidRDefault="00135C49" w:rsidP="00064FB0">
          <w:pPr>
            <w:shd w:val="clear" w:color="auto" w:fill="FFFFFF"/>
            <w:spacing w:after="0" w:line="480" w:lineRule="auto"/>
            <w:ind w:left="720" w:right="375" w:hanging="720"/>
            <w:jc w:val="both"/>
            <w:rPr>
              <w:rFonts w:ascii="Times New Roman" w:eastAsia="Times New Roman" w:hAnsi="Times New Roman" w:cs="Times New Roman"/>
              <w:color w:val="000000"/>
              <w:sz w:val="24"/>
              <w:szCs w:val="24"/>
            </w:rPr>
          </w:pPr>
          <w:proofErr w:type="gramStart"/>
          <w:r w:rsidRPr="00010DA6">
            <w:rPr>
              <w:rFonts w:ascii="Times New Roman" w:eastAsia="Times New Roman" w:hAnsi="Times New Roman" w:cs="Times New Roman"/>
              <w:color w:val="000000"/>
              <w:sz w:val="24"/>
              <w:szCs w:val="24"/>
            </w:rPr>
            <w:t>Sonar, J. 2020.</w:t>
          </w:r>
          <w:proofErr w:type="gramEnd"/>
          <w:r w:rsidRPr="00010DA6">
            <w:rPr>
              <w:rFonts w:ascii="Times New Roman" w:eastAsia="Times New Roman" w:hAnsi="Times New Roman" w:cs="Times New Roman"/>
              <w:color w:val="000000"/>
              <w:sz w:val="24"/>
              <w:szCs w:val="24"/>
            </w:rPr>
            <w:t> </w:t>
          </w:r>
          <w:r w:rsidRPr="00010DA6">
            <w:rPr>
              <w:rFonts w:ascii="Times New Roman" w:eastAsia="Times New Roman" w:hAnsi="Times New Roman" w:cs="Times New Roman"/>
              <w:i/>
              <w:iCs/>
              <w:color w:val="000000"/>
              <w:sz w:val="24"/>
              <w:szCs w:val="24"/>
            </w:rPr>
            <w:t xml:space="preserve">Financial statement analysis by Dr. </w:t>
          </w:r>
          <w:proofErr w:type="spellStart"/>
          <w:r w:rsidRPr="00010DA6">
            <w:rPr>
              <w:rFonts w:ascii="Times New Roman" w:eastAsia="Times New Roman" w:hAnsi="Times New Roman" w:cs="Times New Roman"/>
              <w:i/>
              <w:iCs/>
              <w:color w:val="000000"/>
              <w:sz w:val="24"/>
              <w:szCs w:val="24"/>
            </w:rPr>
            <w:t>Jitendra</w:t>
          </w:r>
          <w:proofErr w:type="spellEnd"/>
          <w:r w:rsidRPr="00010DA6">
            <w:rPr>
              <w:rFonts w:ascii="Times New Roman" w:eastAsia="Times New Roman" w:hAnsi="Times New Roman" w:cs="Times New Roman"/>
              <w:i/>
              <w:iCs/>
              <w:color w:val="000000"/>
              <w:sz w:val="24"/>
              <w:szCs w:val="24"/>
            </w:rPr>
            <w:t xml:space="preserve"> sonar - (English): SBPD publications</w:t>
          </w:r>
          <w:r w:rsidRPr="00010DA6">
            <w:rPr>
              <w:rFonts w:ascii="Times New Roman" w:eastAsia="Times New Roman" w:hAnsi="Times New Roman" w:cs="Times New Roman"/>
              <w:color w:val="000000"/>
              <w:sz w:val="24"/>
              <w:szCs w:val="24"/>
            </w:rPr>
            <w:t xml:space="preserve">. </w:t>
          </w:r>
          <w:proofErr w:type="gramStart"/>
          <w:r w:rsidRPr="00010DA6">
            <w:rPr>
              <w:rFonts w:ascii="Times New Roman" w:eastAsia="Times New Roman" w:hAnsi="Times New Roman" w:cs="Times New Roman"/>
              <w:color w:val="000000"/>
              <w:sz w:val="24"/>
              <w:szCs w:val="24"/>
            </w:rPr>
            <w:t>SBPD Publications.</w:t>
          </w:r>
          <w:proofErr w:type="gramEnd"/>
        </w:p>
        <w:p w:rsidR="00135C49" w:rsidRPr="00010DA6" w:rsidRDefault="00135C49" w:rsidP="00064FB0">
          <w:pPr>
            <w:shd w:val="clear" w:color="auto" w:fill="FFFFFF"/>
            <w:spacing w:after="0" w:line="480" w:lineRule="auto"/>
            <w:ind w:left="720" w:right="375" w:hanging="720"/>
            <w:jc w:val="both"/>
            <w:rPr>
              <w:rFonts w:ascii="Times New Roman" w:eastAsia="Times New Roman" w:hAnsi="Times New Roman" w:cs="Times New Roman"/>
              <w:color w:val="000000"/>
              <w:sz w:val="24"/>
              <w:szCs w:val="24"/>
            </w:rPr>
          </w:pPr>
          <w:r w:rsidRPr="00010DA6">
            <w:rPr>
              <w:rFonts w:ascii="Times New Roman" w:eastAsia="Times New Roman" w:hAnsi="Times New Roman" w:cs="Times New Roman"/>
              <w:color w:val="000000"/>
              <w:sz w:val="24"/>
              <w:szCs w:val="24"/>
            </w:rPr>
            <w:t>Walsh, C. 2010. </w:t>
          </w:r>
          <w:r w:rsidRPr="00010DA6">
            <w:rPr>
              <w:rFonts w:ascii="Times New Roman" w:eastAsia="Times New Roman" w:hAnsi="Times New Roman" w:cs="Times New Roman"/>
              <w:i/>
              <w:iCs/>
              <w:color w:val="000000"/>
              <w:sz w:val="24"/>
              <w:szCs w:val="24"/>
            </w:rPr>
            <w:t>Key management ratios: The 100+ ratios every manager needs to know</w:t>
          </w:r>
          <w:r w:rsidRPr="00010DA6">
            <w:rPr>
              <w:rFonts w:ascii="Times New Roman" w:eastAsia="Times New Roman" w:hAnsi="Times New Roman" w:cs="Times New Roman"/>
              <w:color w:val="000000"/>
              <w:sz w:val="24"/>
              <w:szCs w:val="24"/>
            </w:rPr>
            <w:t> (4th </w:t>
          </w:r>
          <w:proofErr w:type="gramStart"/>
          <w:r w:rsidRPr="00010DA6">
            <w:rPr>
              <w:rFonts w:ascii="Times New Roman" w:eastAsia="Times New Roman" w:hAnsi="Times New Roman" w:cs="Times New Roman"/>
              <w:color w:val="000000"/>
              <w:sz w:val="24"/>
              <w:szCs w:val="24"/>
            </w:rPr>
            <w:t>ed</w:t>
          </w:r>
          <w:proofErr w:type="gramEnd"/>
          <w:r w:rsidRPr="00010DA6">
            <w:rPr>
              <w:rFonts w:ascii="Times New Roman" w:eastAsia="Times New Roman" w:hAnsi="Times New Roman" w:cs="Times New Roman"/>
              <w:color w:val="000000"/>
              <w:sz w:val="24"/>
              <w:szCs w:val="24"/>
            </w:rPr>
            <w:t xml:space="preserve">.). </w:t>
          </w:r>
          <w:proofErr w:type="gramStart"/>
          <w:r w:rsidRPr="00010DA6">
            <w:rPr>
              <w:rFonts w:ascii="Times New Roman" w:eastAsia="Times New Roman" w:hAnsi="Times New Roman" w:cs="Times New Roman"/>
              <w:color w:val="000000"/>
              <w:sz w:val="24"/>
              <w:szCs w:val="24"/>
            </w:rPr>
            <w:t>Prentice-Hall.</w:t>
          </w:r>
          <w:proofErr w:type="gramEnd"/>
        </w:p>
        <w:p w:rsidR="00CA09F3" w:rsidRDefault="00135C49" w:rsidP="00064FB0">
          <w:pPr>
            <w:shd w:val="clear" w:color="auto" w:fill="FFFFFF"/>
            <w:spacing w:line="480" w:lineRule="auto"/>
            <w:ind w:left="720" w:right="375" w:hanging="720"/>
            <w:jc w:val="both"/>
          </w:pPr>
          <w:proofErr w:type="gramStart"/>
          <w:r w:rsidRPr="00010DA6">
            <w:rPr>
              <w:rFonts w:ascii="Times New Roman" w:eastAsia="Times New Roman" w:hAnsi="Times New Roman" w:cs="Times New Roman"/>
              <w:color w:val="000000"/>
              <w:sz w:val="24"/>
              <w:szCs w:val="24"/>
            </w:rPr>
            <w:t>Yahoo Finance.</w:t>
          </w:r>
          <w:proofErr w:type="gramEnd"/>
          <w:r w:rsidRPr="00010DA6">
            <w:rPr>
              <w:rFonts w:ascii="Times New Roman" w:eastAsia="Times New Roman" w:hAnsi="Times New Roman" w:cs="Times New Roman"/>
              <w:color w:val="000000"/>
              <w:sz w:val="24"/>
              <w:szCs w:val="24"/>
            </w:rPr>
            <w:t xml:space="preserve"> </w:t>
          </w:r>
          <w:proofErr w:type="spellStart"/>
          <w:proofErr w:type="gramStart"/>
          <w:r w:rsidRPr="00010DA6">
            <w:rPr>
              <w:rFonts w:ascii="Times New Roman" w:eastAsia="Times New Roman" w:hAnsi="Times New Roman" w:cs="Times New Roman"/>
              <w:color w:val="000000"/>
              <w:sz w:val="24"/>
              <w:szCs w:val="24"/>
            </w:rPr>
            <w:t>n.d</w:t>
          </w:r>
          <w:proofErr w:type="spellEnd"/>
          <w:proofErr w:type="gramEnd"/>
          <w:r w:rsidRPr="00010DA6">
            <w:rPr>
              <w:rFonts w:ascii="Times New Roman" w:eastAsia="Times New Roman" w:hAnsi="Times New Roman" w:cs="Times New Roman"/>
              <w:color w:val="000000"/>
              <w:sz w:val="24"/>
              <w:szCs w:val="24"/>
            </w:rPr>
            <w:t>. </w:t>
          </w:r>
          <w:r w:rsidRPr="00010DA6">
            <w:rPr>
              <w:rFonts w:ascii="Times New Roman" w:eastAsia="Times New Roman" w:hAnsi="Times New Roman" w:cs="Times New Roman"/>
              <w:i/>
              <w:iCs/>
              <w:color w:val="000000"/>
              <w:sz w:val="24"/>
              <w:szCs w:val="24"/>
            </w:rPr>
            <w:t>Hilton Worldwide Holdings Inc. (HLT)</w:t>
          </w:r>
          <w:r w:rsidRPr="00010DA6">
            <w:rPr>
              <w:rFonts w:ascii="Times New Roman" w:eastAsia="Times New Roman" w:hAnsi="Times New Roman" w:cs="Times New Roman"/>
              <w:color w:val="000000"/>
              <w:sz w:val="24"/>
              <w:szCs w:val="24"/>
            </w:rPr>
            <w:t xml:space="preserve">. </w:t>
          </w:r>
          <w:proofErr w:type="gramStart"/>
          <w:r w:rsidRPr="00010DA6">
            <w:rPr>
              <w:rFonts w:ascii="Times New Roman" w:eastAsia="Times New Roman" w:hAnsi="Times New Roman" w:cs="Times New Roman"/>
              <w:color w:val="000000"/>
              <w:sz w:val="24"/>
              <w:szCs w:val="24"/>
            </w:rPr>
            <w:t>Yahoo Finance - Stock Market Live, Quotes, Business &amp; Finance News.</w:t>
          </w:r>
          <w:proofErr w:type="gramEnd"/>
          <w:r w:rsidRPr="00010DA6">
            <w:rPr>
              <w:rFonts w:ascii="Times New Roman" w:eastAsia="Times New Roman" w:hAnsi="Times New Roman" w:cs="Times New Roman"/>
              <w:color w:val="000000"/>
              <w:sz w:val="24"/>
              <w:szCs w:val="24"/>
            </w:rPr>
            <w:t> </w:t>
          </w:r>
          <w:hyperlink r:id="rId17" w:history="1">
            <w:r w:rsidRPr="00010DA6">
              <w:rPr>
                <w:rFonts w:ascii="Times New Roman" w:eastAsia="Times New Roman" w:hAnsi="Times New Roman" w:cs="Times New Roman"/>
                <w:color w:val="000000"/>
                <w:sz w:val="24"/>
                <w:szCs w:val="24"/>
                <w:u w:val="single"/>
              </w:rPr>
              <w:t>https://finance.yahoo.com/quote/HLT/balance-sheet?p=HLT</w:t>
            </w:r>
          </w:hyperlink>
        </w:p>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3F0A0A"/>
    <w:multiLevelType w:val="hybridMultilevel"/>
    <w:tmpl w:val="D7B2488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74EF53C9"/>
    <w:multiLevelType w:val="hybridMultilevel"/>
    <w:tmpl w:val="63E0195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7D1947"/>
    <w:rsid w:val="00064FB0"/>
    <w:rsid w:val="00115B96"/>
    <w:rsid w:val="00135C49"/>
    <w:rsid w:val="00186E26"/>
    <w:rsid w:val="00203775"/>
    <w:rsid w:val="00324CCD"/>
    <w:rsid w:val="0039796F"/>
    <w:rsid w:val="004A11F6"/>
    <w:rsid w:val="004D519C"/>
    <w:rsid w:val="004F0508"/>
    <w:rsid w:val="00513A60"/>
    <w:rsid w:val="007054A3"/>
    <w:rsid w:val="00736328"/>
    <w:rsid w:val="007D1947"/>
    <w:rsid w:val="00844DB7"/>
    <w:rsid w:val="008F48B4"/>
    <w:rsid w:val="009B4C98"/>
    <w:rsid w:val="009C1CE2"/>
    <w:rsid w:val="00AA2A91"/>
    <w:rsid w:val="00AB4A0A"/>
    <w:rsid w:val="00B417A3"/>
    <w:rsid w:val="00B807DB"/>
    <w:rsid w:val="00C508AD"/>
    <w:rsid w:val="00C71FB5"/>
    <w:rsid w:val="00CA09F3"/>
    <w:rsid w:val="00D35D97"/>
    <w:rsid w:val="00D854A5"/>
    <w:rsid w:val="00DB6A70"/>
    <w:rsid w:val="00EB364C"/>
    <w:rsid w:val="00F351B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6328"/>
  </w:style>
  <w:style w:type="paragraph" w:styleId="Heading1">
    <w:name w:val="heading 1"/>
    <w:basedOn w:val="Normal"/>
    <w:next w:val="Normal"/>
    <w:link w:val="Heading1Char"/>
    <w:uiPriority w:val="9"/>
    <w:qFormat/>
    <w:rsid w:val="00EB364C"/>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EB364C"/>
    <w:pPr>
      <w:keepNext/>
      <w:keepLines/>
      <w:spacing w:before="40" w:after="0"/>
      <w:outlineLvl w:val="1"/>
    </w:pPr>
    <w:rPr>
      <w:rFonts w:ascii="Times New Roman" w:eastAsiaTheme="majorEastAsia" w:hAnsi="Times New Roman" w:cstheme="majorBidi"/>
      <w:b/>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EB364C"/>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EB364C"/>
    <w:rPr>
      <w:rFonts w:ascii="Times New Roman" w:eastAsiaTheme="majorEastAsia" w:hAnsi="Times New Roman" w:cstheme="majorBidi"/>
      <w:b/>
      <w:i/>
      <w:sz w:val="24"/>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64F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FB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B364C"/>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EB364C"/>
    <w:pPr>
      <w:keepNext/>
      <w:keepLines/>
      <w:spacing w:before="40" w:after="0"/>
      <w:outlineLvl w:val="1"/>
    </w:pPr>
    <w:rPr>
      <w:rFonts w:ascii="Times New Roman" w:eastAsiaTheme="majorEastAsia" w:hAnsi="Times New Roman" w:cstheme="majorBidi"/>
      <w:b/>
      <w: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EB364C"/>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EB364C"/>
    <w:rPr>
      <w:rFonts w:ascii="Times New Roman" w:eastAsiaTheme="majorEastAsia" w:hAnsi="Times New Roman" w:cstheme="majorBidi"/>
      <w:b/>
      <w:i/>
      <w:sz w:val="24"/>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64F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4FB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396969999">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 w:id="1864395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hyperlink" Target="https://finance.yahoo.com/quote/HLT/balance-sheet?p=HLT" TargetMode="External"/><Relationship Id="rId2" Type="http://schemas.openxmlformats.org/officeDocument/2006/relationships/customXml" Target="../customXml/item2.xml"/><Relationship Id="rId16" Type="http://schemas.openxmlformats.org/officeDocument/2006/relationships/hyperlink" Target="https://www.readyratios.com/sec/industry/70/" TargetMode="External"/><Relationship Id="rId20" Type="http://schemas.microsoft.com/office/2007/relationships/stylesWithEffects" Target="stylesWithEffects.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chart" Target="charts/chart4.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Profitability</a:t>
            </a:r>
            <a:r>
              <a:rPr lang="en-US" baseline="0"/>
              <a:t> ratios</a:t>
            </a:r>
            <a:endParaRPr lang="en-US"/>
          </a:p>
        </c:rich>
      </c:tx>
      <c:spPr>
        <a:noFill/>
        <a:ln>
          <a:noFill/>
        </a:ln>
        <a:effectLst/>
      </c:spPr>
    </c:title>
    <c:plotArea>
      <c:layout/>
      <c:barChart>
        <c:barDir val="col"/>
        <c:grouping val="clustered"/>
        <c:ser>
          <c:idx val="0"/>
          <c:order val="0"/>
          <c:tx>
            <c:strRef>
              <c:f>Sheet2!$A$2</c:f>
              <c:strCache>
                <c:ptCount val="1"/>
                <c:pt idx="0">
                  <c:v>Gross profit margin</c:v>
                </c:pt>
              </c:strCache>
            </c:strRef>
          </c:tx>
          <c:spPr>
            <a:solidFill>
              <a:schemeClr val="accent1"/>
            </a:solidFill>
            <a:ln>
              <a:noFill/>
            </a:ln>
            <a:effectLst/>
          </c:spPr>
          <c:cat>
            <c:numRef>
              <c:f>Sheet2!$C$1:$D$1</c:f>
              <c:numCache>
                <c:formatCode>General</c:formatCode>
                <c:ptCount val="2"/>
                <c:pt idx="0">
                  <c:v>2019</c:v>
                </c:pt>
                <c:pt idx="1">
                  <c:v>2020</c:v>
                </c:pt>
              </c:numCache>
            </c:numRef>
          </c:cat>
          <c:val>
            <c:numRef>
              <c:f>Sheet2!$C$2:$D$2</c:f>
              <c:numCache>
                <c:formatCode>General</c:formatCode>
                <c:ptCount val="2"/>
                <c:pt idx="0">
                  <c:v>25.759999999999987</c:v>
                </c:pt>
                <c:pt idx="1">
                  <c:v>13.54</c:v>
                </c:pt>
              </c:numCache>
            </c:numRef>
          </c:val>
          <c:extLst xmlns:c16r2="http://schemas.microsoft.com/office/drawing/2015/06/chart">
            <c:ext xmlns:c16="http://schemas.microsoft.com/office/drawing/2014/chart" uri="{C3380CC4-5D6E-409C-BE32-E72D297353CC}">
              <c16:uniqueId val="{00000000-CEA3-444F-8461-65B90A26ED4B}"/>
            </c:ext>
          </c:extLst>
        </c:ser>
        <c:ser>
          <c:idx val="1"/>
          <c:order val="1"/>
          <c:tx>
            <c:strRef>
              <c:f>Sheet2!$A$3</c:f>
              <c:strCache>
                <c:ptCount val="1"/>
                <c:pt idx="0">
                  <c:v>Net profit margin</c:v>
                </c:pt>
              </c:strCache>
            </c:strRef>
          </c:tx>
          <c:spPr>
            <a:solidFill>
              <a:schemeClr val="accent2"/>
            </a:solidFill>
            <a:ln>
              <a:noFill/>
            </a:ln>
            <a:effectLst/>
          </c:spPr>
          <c:cat>
            <c:numRef>
              <c:f>Sheet2!$C$1:$D$1</c:f>
              <c:numCache>
                <c:formatCode>General</c:formatCode>
                <c:ptCount val="2"/>
                <c:pt idx="0">
                  <c:v>2019</c:v>
                </c:pt>
                <c:pt idx="1">
                  <c:v>2020</c:v>
                </c:pt>
              </c:numCache>
            </c:numRef>
          </c:cat>
          <c:val>
            <c:numRef>
              <c:f>Sheet2!$C$3:$D$3</c:f>
              <c:numCache>
                <c:formatCode>General</c:formatCode>
                <c:ptCount val="2"/>
                <c:pt idx="0">
                  <c:v>9.32</c:v>
                </c:pt>
                <c:pt idx="1">
                  <c:v>-16.600000000000001</c:v>
                </c:pt>
              </c:numCache>
            </c:numRef>
          </c:val>
          <c:extLst xmlns:c16r2="http://schemas.microsoft.com/office/drawing/2015/06/chart">
            <c:ext xmlns:c16="http://schemas.microsoft.com/office/drawing/2014/chart" uri="{C3380CC4-5D6E-409C-BE32-E72D297353CC}">
              <c16:uniqueId val="{00000001-CEA3-444F-8461-65B90A26ED4B}"/>
            </c:ext>
          </c:extLst>
        </c:ser>
        <c:gapWidth val="219"/>
        <c:overlap val="-27"/>
        <c:axId val="51170688"/>
        <c:axId val="51352320"/>
      </c:barChart>
      <c:catAx>
        <c:axId val="51170688"/>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52320"/>
        <c:crosses val="autoZero"/>
        <c:auto val="1"/>
        <c:lblAlgn val="ctr"/>
        <c:lblOffset val="100"/>
      </c:catAx>
      <c:valAx>
        <c:axId val="51352320"/>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70688"/>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Liquidity ratios</a:t>
            </a:r>
          </a:p>
        </c:rich>
      </c:tx>
      <c:spPr>
        <a:noFill/>
        <a:ln>
          <a:noFill/>
        </a:ln>
        <a:effectLst/>
      </c:spPr>
    </c:title>
    <c:plotArea>
      <c:layout/>
      <c:barChart>
        <c:barDir val="col"/>
        <c:grouping val="clustered"/>
        <c:ser>
          <c:idx val="0"/>
          <c:order val="0"/>
          <c:tx>
            <c:strRef>
              <c:f>Sheet2!$A$7</c:f>
              <c:strCache>
                <c:ptCount val="1"/>
                <c:pt idx="0">
                  <c:v>Current ratio</c:v>
                </c:pt>
              </c:strCache>
            </c:strRef>
          </c:tx>
          <c:spPr>
            <a:solidFill>
              <a:schemeClr val="accent1"/>
            </a:solidFill>
            <a:ln>
              <a:noFill/>
            </a:ln>
            <a:effectLst/>
          </c:spPr>
          <c:cat>
            <c:numRef>
              <c:f>Sheet2!$C$6:$D$6</c:f>
              <c:numCache>
                <c:formatCode>General</c:formatCode>
                <c:ptCount val="2"/>
                <c:pt idx="0">
                  <c:v>2019</c:v>
                </c:pt>
                <c:pt idx="1">
                  <c:v>2020</c:v>
                </c:pt>
              </c:numCache>
            </c:numRef>
          </c:cat>
          <c:val>
            <c:numRef>
              <c:f>Sheet2!$C$7:$D$7</c:f>
              <c:numCache>
                <c:formatCode>General</c:formatCode>
                <c:ptCount val="2"/>
                <c:pt idx="0">
                  <c:v>0.73000000000000043</c:v>
                </c:pt>
                <c:pt idx="1">
                  <c:v>1.73</c:v>
                </c:pt>
              </c:numCache>
            </c:numRef>
          </c:val>
          <c:extLst xmlns:c16r2="http://schemas.microsoft.com/office/drawing/2015/06/chart">
            <c:ext xmlns:c16="http://schemas.microsoft.com/office/drawing/2014/chart" uri="{C3380CC4-5D6E-409C-BE32-E72D297353CC}">
              <c16:uniqueId val="{00000000-318B-4192-A166-55629C7B88D3}"/>
            </c:ext>
          </c:extLst>
        </c:ser>
        <c:ser>
          <c:idx val="1"/>
          <c:order val="1"/>
          <c:tx>
            <c:strRef>
              <c:f>Sheet2!$A$8</c:f>
              <c:strCache>
                <c:ptCount val="1"/>
                <c:pt idx="0">
                  <c:v>Cash ratio</c:v>
                </c:pt>
              </c:strCache>
            </c:strRef>
          </c:tx>
          <c:spPr>
            <a:solidFill>
              <a:schemeClr val="accent2"/>
            </a:solidFill>
            <a:ln>
              <a:noFill/>
            </a:ln>
            <a:effectLst/>
          </c:spPr>
          <c:cat>
            <c:numRef>
              <c:f>Sheet2!$C$6:$D$6</c:f>
              <c:numCache>
                <c:formatCode>General</c:formatCode>
                <c:ptCount val="2"/>
                <c:pt idx="0">
                  <c:v>2019</c:v>
                </c:pt>
                <c:pt idx="1">
                  <c:v>2020</c:v>
                </c:pt>
              </c:numCache>
            </c:numRef>
          </c:cat>
          <c:val>
            <c:numRef>
              <c:f>Sheet2!$C$8:$D$8</c:f>
              <c:numCache>
                <c:formatCode>General</c:formatCode>
                <c:ptCount val="2"/>
                <c:pt idx="0">
                  <c:v>0.19</c:v>
                </c:pt>
                <c:pt idx="1">
                  <c:v>1.32</c:v>
                </c:pt>
              </c:numCache>
            </c:numRef>
          </c:val>
          <c:extLst xmlns:c16r2="http://schemas.microsoft.com/office/drawing/2015/06/chart">
            <c:ext xmlns:c16="http://schemas.microsoft.com/office/drawing/2014/chart" uri="{C3380CC4-5D6E-409C-BE32-E72D297353CC}">
              <c16:uniqueId val="{00000001-318B-4192-A166-55629C7B88D3}"/>
            </c:ext>
          </c:extLst>
        </c:ser>
        <c:gapWidth val="219"/>
        <c:overlap val="-27"/>
        <c:axId val="83788928"/>
        <c:axId val="87293952"/>
      </c:barChart>
      <c:catAx>
        <c:axId val="83788928"/>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93952"/>
        <c:crosses val="autoZero"/>
        <c:auto val="1"/>
        <c:lblAlgn val="ctr"/>
        <c:lblOffset val="100"/>
      </c:catAx>
      <c:valAx>
        <c:axId val="87293952"/>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788928"/>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Activity</a:t>
            </a:r>
            <a:r>
              <a:rPr lang="en-US" baseline="0"/>
              <a:t> ratios</a:t>
            </a:r>
            <a:endParaRPr lang="en-US"/>
          </a:p>
        </c:rich>
      </c:tx>
      <c:spPr>
        <a:noFill/>
        <a:ln>
          <a:noFill/>
        </a:ln>
        <a:effectLst/>
      </c:spPr>
    </c:title>
    <c:plotArea>
      <c:layout>
        <c:manualLayout>
          <c:layoutTarget val="inner"/>
          <c:xMode val="edge"/>
          <c:yMode val="edge"/>
          <c:x val="5.3914260717410324E-2"/>
          <c:y val="0.16245370370370368"/>
          <c:w val="0.9155301837270331"/>
          <c:h val="0.6149843248760567"/>
        </c:manualLayout>
      </c:layout>
      <c:barChart>
        <c:barDir val="col"/>
        <c:grouping val="clustered"/>
        <c:ser>
          <c:idx val="0"/>
          <c:order val="0"/>
          <c:tx>
            <c:strRef>
              <c:f>Sheet2!$A$11</c:f>
              <c:strCache>
                <c:ptCount val="1"/>
                <c:pt idx="0">
                  <c:v>Receivable turnover</c:v>
                </c:pt>
              </c:strCache>
            </c:strRef>
          </c:tx>
          <c:spPr>
            <a:solidFill>
              <a:schemeClr val="accent1"/>
            </a:solidFill>
            <a:ln>
              <a:noFill/>
            </a:ln>
            <a:effectLst/>
          </c:spPr>
          <c:cat>
            <c:numRef>
              <c:f>Sheet2!$C$10:$D$10</c:f>
              <c:numCache>
                <c:formatCode>General</c:formatCode>
                <c:ptCount val="2"/>
                <c:pt idx="0">
                  <c:v>2019</c:v>
                </c:pt>
                <c:pt idx="1">
                  <c:v>2020</c:v>
                </c:pt>
              </c:numCache>
            </c:numRef>
          </c:cat>
          <c:val>
            <c:numRef>
              <c:f>Sheet2!$C$11:$D$11</c:f>
              <c:numCache>
                <c:formatCode>General</c:formatCode>
                <c:ptCount val="2"/>
                <c:pt idx="0">
                  <c:v>1.9400000000000008</c:v>
                </c:pt>
                <c:pt idx="1">
                  <c:v>1.06</c:v>
                </c:pt>
              </c:numCache>
            </c:numRef>
          </c:val>
          <c:extLst xmlns:c16r2="http://schemas.microsoft.com/office/drawing/2015/06/chart">
            <c:ext xmlns:c16="http://schemas.microsoft.com/office/drawing/2014/chart" uri="{C3380CC4-5D6E-409C-BE32-E72D297353CC}">
              <c16:uniqueId val="{00000000-BD70-4BBF-9057-2EC170A36ABB}"/>
            </c:ext>
          </c:extLst>
        </c:ser>
        <c:ser>
          <c:idx val="1"/>
          <c:order val="1"/>
          <c:tx>
            <c:strRef>
              <c:f>Sheet2!$A$12</c:f>
              <c:strCache>
                <c:ptCount val="1"/>
                <c:pt idx="0">
                  <c:v>Payables turnover</c:v>
                </c:pt>
              </c:strCache>
            </c:strRef>
          </c:tx>
          <c:spPr>
            <a:solidFill>
              <a:schemeClr val="accent2"/>
            </a:solidFill>
            <a:ln>
              <a:noFill/>
            </a:ln>
            <a:effectLst/>
          </c:spPr>
          <c:cat>
            <c:numRef>
              <c:f>Sheet2!$C$10:$D$10</c:f>
              <c:numCache>
                <c:formatCode>General</c:formatCode>
                <c:ptCount val="2"/>
                <c:pt idx="0">
                  <c:v>2019</c:v>
                </c:pt>
                <c:pt idx="1">
                  <c:v>2020</c:v>
                </c:pt>
              </c:numCache>
            </c:numRef>
          </c:cat>
          <c:val>
            <c:numRef>
              <c:f>Sheet2!$C$12:$D$12</c:f>
              <c:numCache>
                <c:formatCode>General</c:formatCode>
                <c:ptCount val="2"/>
                <c:pt idx="0">
                  <c:v>6.6599999999999975</c:v>
                </c:pt>
                <c:pt idx="1">
                  <c:v>1.6600000000000001</c:v>
                </c:pt>
              </c:numCache>
            </c:numRef>
          </c:val>
          <c:extLst xmlns:c16r2="http://schemas.microsoft.com/office/drawing/2015/06/chart">
            <c:ext xmlns:c16="http://schemas.microsoft.com/office/drawing/2014/chart" uri="{C3380CC4-5D6E-409C-BE32-E72D297353CC}">
              <c16:uniqueId val="{00000001-BD70-4BBF-9057-2EC170A36ABB}"/>
            </c:ext>
          </c:extLst>
        </c:ser>
        <c:gapWidth val="219"/>
        <c:overlap val="-27"/>
        <c:axId val="87492864"/>
        <c:axId val="112145920"/>
      </c:barChart>
      <c:catAx>
        <c:axId val="87492864"/>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145920"/>
        <c:crosses val="autoZero"/>
        <c:auto val="1"/>
        <c:lblAlgn val="ctr"/>
        <c:lblOffset val="100"/>
      </c:catAx>
      <c:valAx>
        <c:axId val="112145920"/>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492864"/>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US"/>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Leverage</a:t>
            </a:r>
            <a:r>
              <a:rPr lang="en-US" baseline="0"/>
              <a:t> Ratio</a:t>
            </a:r>
            <a:endParaRPr lang="en-US"/>
          </a:p>
        </c:rich>
      </c:tx>
      <c:spPr>
        <a:noFill/>
        <a:ln>
          <a:noFill/>
        </a:ln>
        <a:effectLst/>
      </c:spPr>
    </c:title>
    <c:plotArea>
      <c:layout/>
      <c:barChart>
        <c:barDir val="col"/>
        <c:grouping val="clustered"/>
        <c:ser>
          <c:idx val="0"/>
          <c:order val="0"/>
          <c:tx>
            <c:strRef>
              <c:f>Sheet2!$A$16</c:f>
              <c:strCache>
                <c:ptCount val="1"/>
                <c:pt idx="0">
                  <c:v>Debt ratio</c:v>
                </c:pt>
              </c:strCache>
            </c:strRef>
          </c:tx>
          <c:spPr>
            <a:solidFill>
              <a:schemeClr val="accent1"/>
            </a:solidFill>
            <a:ln>
              <a:noFill/>
            </a:ln>
            <a:effectLst/>
          </c:spPr>
          <c:cat>
            <c:numRef>
              <c:f>Sheet2!$C$15:$D$15</c:f>
              <c:numCache>
                <c:formatCode>General</c:formatCode>
                <c:ptCount val="2"/>
                <c:pt idx="0">
                  <c:v>2019</c:v>
                </c:pt>
                <c:pt idx="1">
                  <c:v>2020</c:v>
                </c:pt>
              </c:numCache>
            </c:numRef>
          </c:cat>
          <c:val>
            <c:numRef>
              <c:f>Sheet2!$C$16:$D$16</c:f>
              <c:numCache>
                <c:formatCode>General</c:formatCode>
                <c:ptCount val="2"/>
                <c:pt idx="0">
                  <c:v>0.61000000000000043</c:v>
                </c:pt>
                <c:pt idx="1">
                  <c:v>0.69000000000000039</c:v>
                </c:pt>
              </c:numCache>
            </c:numRef>
          </c:val>
          <c:extLst xmlns:c16r2="http://schemas.microsoft.com/office/drawing/2015/06/chart">
            <c:ext xmlns:c16="http://schemas.microsoft.com/office/drawing/2014/chart" uri="{C3380CC4-5D6E-409C-BE32-E72D297353CC}">
              <c16:uniqueId val="{00000000-9A22-4DD7-ACE5-5E8F9A605F8B}"/>
            </c:ext>
          </c:extLst>
        </c:ser>
        <c:ser>
          <c:idx val="1"/>
          <c:order val="1"/>
          <c:tx>
            <c:strRef>
              <c:f>Sheet2!$A$17</c:f>
              <c:strCache>
                <c:ptCount val="1"/>
                <c:pt idx="0">
                  <c:v>Debt-equity ratio</c:v>
                </c:pt>
              </c:strCache>
            </c:strRef>
          </c:tx>
          <c:spPr>
            <a:solidFill>
              <a:schemeClr val="accent2"/>
            </a:solidFill>
            <a:ln>
              <a:noFill/>
            </a:ln>
            <a:effectLst/>
          </c:spPr>
          <c:cat>
            <c:numRef>
              <c:f>Sheet2!$C$15:$D$15</c:f>
              <c:numCache>
                <c:formatCode>General</c:formatCode>
                <c:ptCount val="2"/>
                <c:pt idx="0">
                  <c:v>2019</c:v>
                </c:pt>
                <c:pt idx="1">
                  <c:v>2020</c:v>
                </c:pt>
              </c:numCache>
            </c:numRef>
          </c:cat>
          <c:val>
            <c:numRef>
              <c:f>Sheet2!$C$17:$D$17</c:f>
              <c:numCache>
                <c:formatCode>General</c:formatCode>
                <c:ptCount val="2"/>
                <c:pt idx="0">
                  <c:v>19.010000000000005</c:v>
                </c:pt>
                <c:pt idx="1">
                  <c:v>7.8</c:v>
                </c:pt>
              </c:numCache>
            </c:numRef>
          </c:val>
          <c:extLst xmlns:c16r2="http://schemas.microsoft.com/office/drawing/2015/06/chart">
            <c:ext xmlns:c16="http://schemas.microsoft.com/office/drawing/2014/chart" uri="{C3380CC4-5D6E-409C-BE32-E72D297353CC}">
              <c16:uniqueId val="{00000001-9A22-4DD7-ACE5-5E8F9A605F8B}"/>
            </c:ext>
          </c:extLst>
        </c:ser>
        <c:gapWidth val="219"/>
        <c:overlap val="-27"/>
        <c:axId val="83769216"/>
        <c:axId val="83770752"/>
      </c:barChart>
      <c:catAx>
        <c:axId val="83769216"/>
        <c:scaling>
          <c:orientation val="minMax"/>
        </c:scaling>
        <c:axPos val="b"/>
        <c:numFmt formatCode="General" sourceLinked="1"/>
        <c:maj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770752"/>
        <c:crosses val="autoZero"/>
        <c:auto val="1"/>
        <c:lblAlgn val="ctr"/>
        <c:lblOffset val="100"/>
      </c:catAx>
      <c:valAx>
        <c:axId val="83770752"/>
        <c:scaling>
          <c:orientation val="minMax"/>
        </c:scaling>
        <c:axPos val="l"/>
        <c:majorGridlines>
          <c:spPr>
            <a:ln w="9525" cap="flat" cmpd="sng" algn="ctr">
              <a:solidFill>
                <a:schemeClr val="tx1">
                  <a:lumMod val="15000"/>
                  <a:lumOff val="85000"/>
                </a:schemeClr>
              </a:solidFill>
              <a:round/>
            </a:ln>
            <a:effectLst/>
          </c:spPr>
        </c:majorGridlines>
        <c:numFmt formatCode="General" sourceLinked="1"/>
        <c:maj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769216"/>
        <c:crosses val="autoZero"/>
        <c:crossBetween val="between"/>
      </c:valAx>
      <c:spPr>
        <a:noFill/>
        <a:ln>
          <a:noFill/>
        </a:ln>
        <a:effectLst/>
      </c:spPr>
    </c:plotArea>
    <c:legend>
      <c:legendPos val="b"/>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2022-06-01T00:00:00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84C94B-2F23-4710-8FBB-D1F972122EE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4601369-8EFB-4313-B8B6-887C00BFFF9C}">
  <ds:schemaRefs>
    <ds:schemaRef ds:uri="http://schemas.microsoft.com/sharepoint/v3/contenttype/forms"/>
  </ds:schemaRefs>
</ds:datastoreItem>
</file>

<file path=customXml/itemProps4.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8500F568-4579-43A4-A027-D8171B1DE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13</Pages>
  <Words>2305</Words>
  <Characters>13144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15419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Hilton Hotel</dc:title>
  <dc:subject>Financial Analysis </dc:subject>
  <dc:creator>Admin</dc:creator>
  <cp:lastModifiedBy>dragos porumb</cp:lastModifiedBy>
  <cp:revision>3</cp:revision>
  <dcterms:created xsi:type="dcterms:W3CDTF">2022-06-01T15:10:00Z</dcterms:created>
  <dcterms:modified xsi:type="dcterms:W3CDTF">2022-06-01T15:36:00Z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