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BCF0C" w14:textId="77777777" w:rsidR="0068165C" w:rsidRDefault="0068165C" w:rsidP="00B17C23">
      <w:pPr>
        <w:spacing w:line="480" w:lineRule="auto"/>
        <w:jc w:val="both"/>
        <w:rPr>
          <w:rFonts w:ascii="Times New Roman" w:hAnsi="Times New Roman" w:cs="Times New Roman"/>
          <w:sz w:val="24"/>
          <w:szCs w:val="24"/>
        </w:rPr>
      </w:pPr>
    </w:p>
    <w:p w14:paraId="14D2D082" w14:textId="77777777" w:rsidR="0068165C" w:rsidRDefault="0068165C" w:rsidP="00B17C23">
      <w:pPr>
        <w:spacing w:line="480" w:lineRule="auto"/>
        <w:jc w:val="both"/>
        <w:rPr>
          <w:rFonts w:ascii="Times New Roman" w:hAnsi="Times New Roman" w:cs="Times New Roman"/>
          <w:sz w:val="24"/>
          <w:szCs w:val="24"/>
        </w:rPr>
      </w:pPr>
    </w:p>
    <w:p w14:paraId="7695DA33" w14:textId="77777777" w:rsidR="0068165C" w:rsidRPr="00B34828" w:rsidRDefault="0068165C" w:rsidP="00B17C23">
      <w:pPr>
        <w:spacing w:line="480" w:lineRule="auto"/>
        <w:jc w:val="both"/>
        <w:rPr>
          <w:rFonts w:ascii="Times New Roman" w:hAnsi="Times New Roman" w:cs="Times New Roman"/>
          <w:sz w:val="32"/>
          <w:szCs w:val="32"/>
        </w:rPr>
      </w:pPr>
    </w:p>
    <w:p w14:paraId="62925F39" w14:textId="2C6FB93D" w:rsidR="00663A76" w:rsidRDefault="00B34828" w:rsidP="00663A76">
      <w:pPr>
        <w:tabs>
          <w:tab w:val="left" w:pos="4185"/>
        </w:tabs>
        <w:spacing w:line="480" w:lineRule="auto"/>
        <w:jc w:val="both"/>
        <w:rPr>
          <w:rFonts w:ascii="Times New Roman" w:hAnsi="Times New Roman" w:cs="Times New Roman"/>
          <w:sz w:val="24"/>
          <w:szCs w:val="24"/>
          <w:lang w:val="it-IT"/>
        </w:rPr>
      </w:pPr>
      <w:r w:rsidRPr="00B34828">
        <w:rPr>
          <w:rFonts w:ascii="Times New Roman" w:hAnsi="Times New Roman" w:cs="Times New Roman"/>
          <w:sz w:val="24"/>
          <w:szCs w:val="24"/>
          <w:lang w:val="it-IT"/>
        </w:rPr>
        <w:t>Student Name: Roxana Alexandra Po</w:t>
      </w:r>
      <w:r>
        <w:rPr>
          <w:rFonts w:ascii="Times New Roman" w:hAnsi="Times New Roman" w:cs="Times New Roman"/>
          <w:sz w:val="24"/>
          <w:szCs w:val="24"/>
          <w:lang w:val="it-IT"/>
        </w:rPr>
        <w:t xml:space="preserve">pa </w:t>
      </w:r>
    </w:p>
    <w:p w14:paraId="55221DCC" w14:textId="57917551" w:rsidR="00B34828" w:rsidRDefault="00B34828" w:rsidP="00663A76">
      <w:pPr>
        <w:tabs>
          <w:tab w:val="left" w:pos="4185"/>
        </w:tabs>
        <w:spacing w:line="480" w:lineRule="auto"/>
        <w:jc w:val="both"/>
        <w:rPr>
          <w:rFonts w:ascii="Times New Roman" w:hAnsi="Times New Roman" w:cs="Times New Roman"/>
          <w:sz w:val="24"/>
          <w:szCs w:val="24"/>
          <w:lang w:val="it-IT"/>
        </w:rPr>
      </w:pPr>
      <w:r>
        <w:rPr>
          <w:rFonts w:ascii="Times New Roman" w:hAnsi="Times New Roman" w:cs="Times New Roman"/>
          <w:sz w:val="24"/>
          <w:szCs w:val="24"/>
          <w:lang w:val="it-IT"/>
        </w:rPr>
        <w:t>Sudent ID: 2030768</w:t>
      </w:r>
    </w:p>
    <w:p w14:paraId="024E8BAE" w14:textId="332924C9" w:rsidR="00B34828" w:rsidRDefault="00B34828" w:rsidP="00663A76">
      <w:pPr>
        <w:tabs>
          <w:tab w:val="left" w:pos="4185"/>
        </w:tabs>
        <w:spacing w:line="480" w:lineRule="auto"/>
        <w:jc w:val="both"/>
        <w:rPr>
          <w:rFonts w:ascii="Times New Roman" w:hAnsi="Times New Roman" w:cs="Times New Roman"/>
          <w:sz w:val="24"/>
          <w:szCs w:val="24"/>
          <w:lang w:val="en-GB"/>
        </w:rPr>
      </w:pPr>
      <w:r w:rsidRPr="00B34828">
        <w:rPr>
          <w:rFonts w:ascii="Times New Roman" w:hAnsi="Times New Roman" w:cs="Times New Roman"/>
          <w:sz w:val="24"/>
          <w:szCs w:val="24"/>
          <w:lang w:val="en-GB"/>
        </w:rPr>
        <w:t xml:space="preserve">Module Name : Effective Team </w:t>
      </w:r>
      <w:r>
        <w:rPr>
          <w:rFonts w:ascii="Times New Roman" w:hAnsi="Times New Roman" w:cs="Times New Roman"/>
          <w:sz w:val="24"/>
          <w:szCs w:val="24"/>
          <w:lang w:val="en-GB"/>
        </w:rPr>
        <w:t xml:space="preserve">Working and Communication </w:t>
      </w:r>
    </w:p>
    <w:p w14:paraId="4C750F55" w14:textId="3BF0017F" w:rsidR="00B34828" w:rsidRDefault="00B34828" w:rsidP="00663A76">
      <w:pPr>
        <w:tabs>
          <w:tab w:val="left" w:pos="4185"/>
        </w:tabs>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Module Code: BMSW4002</w:t>
      </w:r>
    </w:p>
    <w:p w14:paraId="01763697" w14:textId="488FE58C" w:rsidR="00B34828" w:rsidRPr="00B34828" w:rsidRDefault="00594CCE" w:rsidP="00663A76">
      <w:pPr>
        <w:tabs>
          <w:tab w:val="left" w:pos="4185"/>
        </w:tabs>
        <w:spacing w:line="480" w:lineRule="auto"/>
        <w:jc w:val="both"/>
        <w:rPr>
          <w:rFonts w:ascii="Arial" w:hAnsi="Arial" w:cs="Arial"/>
          <w:sz w:val="32"/>
          <w:szCs w:val="32"/>
          <w:lang w:val="en-GB"/>
        </w:rPr>
      </w:pPr>
      <w:r>
        <w:rPr>
          <w:rFonts w:ascii="Times New Roman" w:hAnsi="Times New Roman" w:cs="Times New Roman"/>
          <w:sz w:val="24"/>
          <w:szCs w:val="24"/>
          <w:lang w:val="en-GB"/>
        </w:rPr>
        <w:t>DATE: 03.01.2022</w:t>
      </w:r>
    </w:p>
    <w:p w14:paraId="245C0692" w14:textId="77777777" w:rsidR="0068165C" w:rsidRPr="00B34828" w:rsidRDefault="0068165C" w:rsidP="00B17C23">
      <w:pPr>
        <w:spacing w:line="480" w:lineRule="auto"/>
        <w:jc w:val="both"/>
        <w:rPr>
          <w:rFonts w:ascii="Times New Roman" w:hAnsi="Times New Roman" w:cs="Times New Roman"/>
          <w:sz w:val="24"/>
          <w:szCs w:val="24"/>
          <w:lang w:val="en-GB"/>
        </w:rPr>
      </w:pPr>
    </w:p>
    <w:p w14:paraId="7974C1FD" w14:textId="77777777" w:rsidR="0068165C" w:rsidRPr="00B34828" w:rsidRDefault="0068165C" w:rsidP="00B17C23">
      <w:pPr>
        <w:spacing w:line="480" w:lineRule="auto"/>
        <w:jc w:val="both"/>
        <w:rPr>
          <w:rFonts w:ascii="Times New Roman" w:hAnsi="Times New Roman" w:cs="Times New Roman"/>
          <w:sz w:val="24"/>
          <w:szCs w:val="24"/>
          <w:lang w:val="en-GB"/>
        </w:rPr>
      </w:pPr>
    </w:p>
    <w:p w14:paraId="0F42F489" w14:textId="77777777" w:rsidR="0068165C" w:rsidRPr="00B34828" w:rsidRDefault="0068165C" w:rsidP="00B17C23">
      <w:pPr>
        <w:spacing w:line="480" w:lineRule="auto"/>
        <w:jc w:val="both"/>
        <w:rPr>
          <w:rFonts w:ascii="Times New Roman" w:hAnsi="Times New Roman" w:cs="Times New Roman"/>
          <w:sz w:val="24"/>
          <w:szCs w:val="24"/>
          <w:lang w:val="en-GB"/>
        </w:rPr>
      </w:pPr>
    </w:p>
    <w:p w14:paraId="16ABD55C" w14:textId="77777777" w:rsidR="0068165C" w:rsidRPr="00B34828" w:rsidRDefault="0068165C" w:rsidP="00B17C23">
      <w:pPr>
        <w:spacing w:line="480" w:lineRule="auto"/>
        <w:jc w:val="both"/>
        <w:rPr>
          <w:rFonts w:ascii="Times New Roman" w:hAnsi="Times New Roman" w:cs="Times New Roman"/>
          <w:sz w:val="24"/>
          <w:szCs w:val="24"/>
          <w:lang w:val="en-GB"/>
        </w:rPr>
      </w:pPr>
    </w:p>
    <w:p w14:paraId="5924D6A1" w14:textId="77777777" w:rsidR="0068165C" w:rsidRPr="00B34828" w:rsidRDefault="0068165C" w:rsidP="00B17C23">
      <w:pPr>
        <w:spacing w:line="480" w:lineRule="auto"/>
        <w:jc w:val="both"/>
        <w:rPr>
          <w:rFonts w:ascii="Times New Roman" w:hAnsi="Times New Roman" w:cs="Times New Roman"/>
          <w:sz w:val="24"/>
          <w:szCs w:val="24"/>
          <w:lang w:val="en-GB"/>
        </w:rPr>
      </w:pPr>
    </w:p>
    <w:p w14:paraId="754ABEC5" w14:textId="77777777" w:rsidR="0068165C" w:rsidRPr="00B34828" w:rsidRDefault="0068165C" w:rsidP="00B17C23">
      <w:pPr>
        <w:spacing w:line="480" w:lineRule="auto"/>
        <w:jc w:val="both"/>
        <w:rPr>
          <w:rFonts w:ascii="Times New Roman" w:hAnsi="Times New Roman" w:cs="Times New Roman"/>
          <w:sz w:val="24"/>
          <w:szCs w:val="24"/>
          <w:lang w:val="en-GB"/>
        </w:rPr>
      </w:pPr>
    </w:p>
    <w:p w14:paraId="4F857511" w14:textId="77777777" w:rsidR="00663A76" w:rsidRPr="00B34828" w:rsidRDefault="00663A76" w:rsidP="00B17C23">
      <w:pPr>
        <w:spacing w:line="480" w:lineRule="auto"/>
        <w:jc w:val="both"/>
        <w:rPr>
          <w:rFonts w:ascii="Times New Roman" w:hAnsi="Times New Roman" w:cs="Times New Roman"/>
          <w:sz w:val="24"/>
          <w:szCs w:val="24"/>
          <w:lang w:val="en-GB"/>
        </w:rPr>
      </w:pPr>
    </w:p>
    <w:p w14:paraId="4DE8DD6C" w14:textId="77777777" w:rsidR="0068165C" w:rsidRPr="0068165C" w:rsidRDefault="00FF43F5" w:rsidP="00B17C23">
      <w:pPr>
        <w:spacing w:line="480" w:lineRule="auto"/>
        <w:jc w:val="both"/>
        <w:rPr>
          <w:rFonts w:ascii="Times New Roman" w:hAnsi="Times New Roman" w:cs="Times New Roman"/>
          <w:b/>
          <w:sz w:val="24"/>
          <w:szCs w:val="24"/>
        </w:rPr>
      </w:pPr>
      <w:r w:rsidRPr="0068165C">
        <w:rPr>
          <w:rFonts w:ascii="Times New Roman" w:hAnsi="Times New Roman" w:cs="Times New Roman"/>
          <w:b/>
          <w:sz w:val="24"/>
          <w:szCs w:val="24"/>
        </w:rPr>
        <w:t xml:space="preserve">Introduction </w:t>
      </w:r>
    </w:p>
    <w:p w14:paraId="798366AD" w14:textId="77777777" w:rsidR="00497955" w:rsidRDefault="00FF43F5" w:rsidP="00B17C23">
      <w:pPr>
        <w:spacing w:line="480" w:lineRule="auto"/>
        <w:jc w:val="both"/>
      </w:pPr>
      <w:r w:rsidRPr="00B17C23">
        <w:rPr>
          <w:rFonts w:ascii="Times New Roman" w:hAnsi="Times New Roman" w:cs="Times New Roman"/>
          <w:sz w:val="24"/>
          <w:szCs w:val="24"/>
        </w:rPr>
        <w:lastRenderedPageBreak/>
        <w:t>Communication is a complicated process that entails creating, interpreting, and negotiating the meaning of a message.  Communication models simplify the process by visualizing the various components of communication interaction. Even the most complicated model cannot stimulate even a single minute of communication connection. Students can utilize communication models since they assist in defining communication and the application of communication principles. Understanding communication is critical in making</w:t>
      </w:r>
      <w:r w:rsidR="00B17C23" w:rsidRPr="00B17C23">
        <w:rPr>
          <w:rFonts w:ascii="Times New Roman" w:hAnsi="Times New Roman" w:cs="Times New Roman"/>
          <w:sz w:val="24"/>
          <w:szCs w:val="24"/>
        </w:rPr>
        <w:t xml:space="preserve"> better</w:t>
      </w:r>
      <w:r w:rsidRPr="00B17C23">
        <w:rPr>
          <w:rFonts w:ascii="Times New Roman" w:hAnsi="Times New Roman" w:cs="Times New Roman"/>
          <w:sz w:val="24"/>
          <w:szCs w:val="24"/>
        </w:rPr>
        <w:t xml:space="preserve"> </w:t>
      </w:r>
      <w:r w:rsidR="00B17C23" w:rsidRPr="00B17C23">
        <w:rPr>
          <w:rFonts w:ascii="Times New Roman" w:hAnsi="Times New Roman" w:cs="Times New Roman"/>
          <w:sz w:val="24"/>
          <w:szCs w:val="24"/>
        </w:rPr>
        <w:t xml:space="preserve">future conversation </w:t>
      </w:r>
      <w:r w:rsidRPr="00B17C23">
        <w:rPr>
          <w:rFonts w:ascii="Times New Roman" w:hAnsi="Times New Roman" w:cs="Times New Roman"/>
          <w:sz w:val="24"/>
          <w:szCs w:val="24"/>
        </w:rPr>
        <w:t xml:space="preserve">plans </w:t>
      </w:r>
      <w:r w:rsidR="00B17C23" w:rsidRPr="00B17C23">
        <w:rPr>
          <w:rFonts w:ascii="Times New Roman" w:hAnsi="Times New Roman" w:cs="Times New Roman"/>
          <w:sz w:val="24"/>
          <w:szCs w:val="24"/>
        </w:rPr>
        <w:t>and learning from prior communication</w:t>
      </w:r>
      <w:r w:rsidR="00B17C23">
        <w:t xml:space="preserve">. </w:t>
      </w:r>
    </w:p>
    <w:p w14:paraId="4106F103" w14:textId="77777777" w:rsidR="00B17C23" w:rsidRPr="007671C9" w:rsidRDefault="00FF43F5" w:rsidP="00B17C23">
      <w:pPr>
        <w:spacing w:line="480" w:lineRule="auto"/>
        <w:jc w:val="both"/>
        <w:rPr>
          <w:rFonts w:ascii="Times New Roman" w:hAnsi="Times New Roman" w:cs="Times New Roman"/>
          <w:b/>
          <w:sz w:val="24"/>
          <w:szCs w:val="24"/>
        </w:rPr>
      </w:pPr>
      <w:r w:rsidRPr="007671C9">
        <w:rPr>
          <w:rFonts w:ascii="Times New Roman" w:hAnsi="Times New Roman" w:cs="Times New Roman"/>
          <w:b/>
          <w:sz w:val="24"/>
          <w:szCs w:val="24"/>
        </w:rPr>
        <w:t xml:space="preserve">Models of Communication </w:t>
      </w:r>
    </w:p>
    <w:p w14:paraId="4258C4CD" w14:textId="77777777" w:rsidR="007671C9" w:rsidRDefault="00FF43F5" w:rsidP="0068165C">
      <w:pPr>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Communication models are grouped into three major categories: transmission, interaction, and transactional models. While these models vary, they have common aspects. The transmission and interaction models include the participants, messages, encoding decoding, and channels. The participants are the recipients or senders of the messages in the communication models. The recipient receives a message from the sender.</w:t>
      </w:r>
      <w:r>
        <w:rPr>
          <w:rFonts w:ascii="Times New Roman" w:eastAsia="Times New Roman" w:hAnsi="Times New Roman" w:cs="Times New Roman"/>
          <w:sz w:val="24"/>
          <w:szCs w:val="24"/>
        </w:rPr>
        <w:t xml:space="preserve"> An illustration would be </w:t>
      </w:r>
      <w:r w:rsidRPr="007671C9">
        <w:rPr>
          <w:rFonts w:ascii="Times New Roman" w:eastAsia="Times New Roman" w:hAnsi="Times New Roman" w:cs="Times New Roman"/>
          <w:sz w:val="24"/>
          <w:szCs w:val="24"/>
        </w:rPr>
        <w:t xml:space="preserve">when you greet a buddy with “Hello!” you are delivering greeting information. These processes enable people to transmit, receive, and comprehend communications. Encoding transforms ideas into words. </w:t>
      </w:r>
      <w:r w:rsidR="0068165C" w:rsidRPr="007671C9">
        <w:rPr>
          <w:rFonts w:ascii="Times New Roman" w:eastAsia="Times New Roman" w:hAnsi="Times New Roman" w:cs="Times New Roman"/>
          <w:sz w:val="24"/>
          <w:szCs w:val="24"/>
        </w:rPr>
        <w:t>Encoding</w:t>
      </w:r>
      <w:r w:rsidRPr="007671C9">
        <w:rPr>
          <w:rFonts w:ascii="Times New Roman" w:eastAsia="Times New Roman" w:hAnsi="Times New Roman" w:cs="Times New Roman"/>
          <w:sz w:val="24"/>
          <w:szCs w:val="24"/>
        </w:rPr>
        <w:t xml:space="preserve"> signals require varying levels of conscious thinking. Decoding converts communication into thinking </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&lt;EndNote&gt;&lt;Cite&gt;&lt;Author&gt;Macnamara&lt;/Author&gt;&lt;Year&gt;2018&lt;/Year&gt;&lt;RecNum&gt;122&lt;/RecNum&gt;&lt;DisplayText&gt;(Macnamara, 2018)&lt;/DisplayText&gt;&lt;record&gt;&lt;rec-number&gt;122&lt;/rec-number&gt;&lt;foreign-keys&gt;&lt;key app="EN" db-id="52p2wzer7952fsees5yvxsrixrz2es5pt0pr" timestamp="1639561010"&gt;122&lt;/key&gt;&lt;/foreign-keys&gt;&lt;ref-type name="Journal Article"&gt;17&lt;/ref-type&gt;&lt;contributors&gt;&lt;authors&gt;&lt;author&gt;Macnamara, Jim&lt;/author&gt;&lt;/authors&gt;&lt;/contributors&gt;&lt;titles&gt;&lt;title&gt;A review of new evaluation models for strategic communication: Progress and gaps&lt;/title&gt;&lt;secondary-title&gt;International Journal of Strategic Communication&lt;/secondary-title&gt;&lt;/titles&gt;&lt;periodical&gt;&lt;full-title&gt;International Journal of Strategic Communication&lt;/full-title&gt;&lt;/periodical&gt;&lt;pages&gt;180-195&lt;/pages&gt;&lt;volume&gt;12&lt;/volume&gt;&lt;number&gt;2&lt;/number&gt;&lt;dates&gt;&lt;year&gt;2018&lt;/year&gt;&lt;/dates&gt;&lt;isbn&gt;1553-118X&lt;/isbn&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(Macnamara, 2018)</w:t>
      </w:r>
      <w:r w:rsidR="00872D77">
        <w:rPr>
          <w:rFonts w:ascii="Times New Roman" w:eastAsia="Times New Roman" w:hAnsi="Times New Roman" w:cs="Times New Roman"/>
          <w:sz w:val="24"/>
          <w:szCs w:val="24"/>
        </w:rPr>
        <w:fldChar w:fldCharType="end"/>
      </w:r>
      <w:r w:rsidR="00872D77">
        <w:rPr>
          <w:rFonts w:ascii="Times New Roman" w:eastAsia="Times New Roman" w:hAnsi="Times New Roman" w:cs="Times New Roman"/>
          <w:sz w:val="24"/>
          <w:szCs w:val="24"/>
        </w:rPr>
        <w:t>.</w:t>
      </w:r>
    </w:p>
    <w:p w14:paraId="6282B59A" w14:textId="77777777" w:rsidR="00D97CEF" w:rsidRPr="00D97CEF" w:rsidRDefault="00FF43F5" w:rsidP="00D97CEF">
      <w:pPr>
        <w:spacing w:after="0" w:line="480" w:lineRule="auto"/>
        <w:jc w:val="both"/>
        <w:rPr>
          <w:rFonts w:ascii="Times New Roman" w:eastAsia="Times New Roman" w:hAnsi="Times New Roman" w:cs="Times New Roman"/>
          <w:b/>
          <w:sz w:val="24"/>
          <w:szCs w:val="24"/>
        </w:rPr>
      </w:pPr>
      <w:r w:rsidRPr="00D97CEF">
        <w:rPr>
          <w:rFonts w:ascii="Times New Roman" w:eastAsia="Times New Roman" w:hAnsi="Times New Roman" w:cs="Times New Roman"/>
          <w:b/>
          <w:sz w:val="24"/>
          <w:szCs w:val="24"/>
        </w:rPr>
        <w:t>Model Lasswell (1948)</w:t>
      </w:r>
    </w:p>
    <w:p w14:paraId="4B7DB993" w14:textId="77777777" w:rsidR="00D97CEF" w:rsidRPr="00D97CEF" w:rsidRDefault="00FF43F5" w:rsidP="00D97CEF">
      <w:pPr>
        <w:spacing w:after="0" w:line="480" w:lineRule="auto"/>
        <w:jc w:val="both"/>
        <w:rPr>
          <w:rFonts w:ascii="Times New Roman" w:eastAsia="Times New Roman" w:hAnsi="Times New Roman" w:cs="Times New Roman"/>
          <w:sz w:val="24"/>
          <w:szCs w:val="24"/>
        </w:rPr>
      </w:pPr>
      <w:r w:rsidRPr="00D97CEF">
        <w:rPr>
          <w:rFonts w:ascii="Times New Roman" w:eastAsia="Times New Roman" w:hAnsi="Times New Roman" w:cs="Times New Roman"/>
          <w:sz w:val="24"/>
          <w:szCs w:val="24"/>
        </w:rPr>
        <w:t xml:space="preserve"> Harold D. Lasswell, an American sociologist, and psychologist is best known for his work on the linear model of communication. The critical elements to consider in this model are who is speaking, what sort of channels are being utilized to communicate the message, who the message </w:t>
      </w:r>
      <w:r w:rsidRPr="00D97CEF">
        <w:rPr>
          <w:rFonts w:ascii="Times New Roman" w:eastAsia="Times New Roman" w:hAnsi="Times New Roman" w:cs="Times New Roman"/>
          <w:sz w:val="24"/>
          <w:szCs w:val="24"/>
        </w:rPr>
        <w:lastRenderedPageBreak/>
        <w:t>is intended at, and which channel should be used to send the message. Verbal communication is the kind of communicatio</w:t>
      </w:r>
      <w:r w:rsidR="00872D77">
        <w:rPr>
          <w:rFonts w:ascii="Times New Roman" w:eastAsia="Times New Roman" w:hAnsi="Times New Roman" w:cs="Times New Roman"/>
          <w:sz w:val="24"/>
          <w:szCs w:val="24"/>
        </w:rPr>
        <w:t xml:space="preserve">n that this paradigm describes </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&lt;EndNote&gt;&lt;Cite&gt;&lt;Author&gt;Mulder&lt;/Author&gt;&lt;Year&gt;2020&lt;/Year&gt;&lt;RecNum&gt;123&lt;/RecNum&gt;&lt;DisplayText&gt;(Mulder, 2020)&lt;/DisplayText&gt;&lt;record&gt;&lt;rec-number&gt;123&lt;/rec-number&gt;&lt;foreign-keys&gt;&lt;key app="EN" db-id="52p2wzer7952fsees5yvxsrixrz2es5pt0pr" timestamp="1639561091"&gt;123&lt;/key&gt;&lt;/foreign-keys&gt;&lt;ref-type name="Generic"&gt;13&lt;/ref-type&gt;&lt;contributors&gt;&lt;authors&gt;&lt;author&gt;Mulder, P&lt;/author&gt;&lt;/authors&gt;&lt;/contributors&gt;&lt;titles&gt;&lt;title&gt;Lasswell Communication Model&lt;/title&gt;&lt;/titles&gt;&lt;dates&gt;&lt;year&gt;2020&lt;/year&gt;&lt;/dates&gt;&lt;publisher&gt;Data de consulta&lt;/publisher&gt;&lt;urls&gt;&lt;/urls&gt;&lt;/record&gt;&lt;/Cite&gt;&lt;/EndNote&gt;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(Mulder, 2020)</w:t>
      </w:r>
      <w:r w:rsidR="00872D77">
        <w:rPr>
          <w:rFonts w:ascii="Times New Roman" w:eastAsia="Times New Roman" w:hAnsi="Times New Roman" w:cs="Times New Roman"/>
          <w:sz w:val="24"/>
          <w:szCs w:val="24"/>
        </w:rPr>
        <w:fldChar w:fldCharType="end"/>
      </w:r>
      <w:r w:rsidR="00872D77">
        <w:rPr>
          <w:rFonts w:ascii="Times New Roman" w:eastAsia="Times New Roman" w:hAnsi="Times New Roman" w:cs="Times New Roman"/>
          <w:sz w:val="24"/>
          <w:szCs w:val="24"/>
        </w:rPr>
        <w:t>.</w:t>
      </w:r>
    </w:p>
    <w:p w14:paraId="31451412" w14:textId="77777777" w:rsidR="00D97CEF" w:rsidRDefault="00FF43F5" w:rsidP="00D97CEF">
      <w:pPr>
        <w:spacing w:after="0" w:line="480" w:lineRule="auto"/>
        <w:jc w:val="both"/>
        <w:rPr>
          <w:rFonts w:ascii="Times New Roman" w:eastAsia="Times New Roman" w:hAnsi="Times New Roman" w:cs="Times New Roman"/>
          <w:sz w:val="24"/>
          <w:szCs w:val="24"/>
        </w:rPr>
      </w:pPr>
      <w:r w:rsidRPr="00D97CEF">
        <w:rPr>
          <w:rFonts w:ascii="Times New Roman" w:eastAsia="Times New Roman" w:hAnsi="Times New Roman" w:cs="Times New Roman"/>
          <w:sz w:val="24"/>
          <w:szCs w:val="24"/>
        </w:rPr>
        <w:t>The Lasswell model is widely considered one of the first communication models. It was created by political scientist Harold D. Lasswell, who examined communication via a variety of different forms of inquiry. In other words, as people communicate with one another, the questions of who, what, via which channel, to whom, and with what result become universal. The fundamental model of communication considers the components of communication. Additionally, this model suggests that the message would be sent across many channels. This model was deemed to be simplistic since it inferred the communicator's and message's existence.</w:t>
      </w:r>
      <w:r w:rsidR="001F3EB6">
        <w:rPr>
          <w:rFonts w:ascii="Times New Roman" w:eastAsia="Times New Roman" w:hAnsi="Times New Roman" w:cs="Times New Roman"/>
          <w:sz w:val="24"/>
          <w:szCs w:val="24"/>
        </w:rPr>
        <w:t xml:space="preserve"> This communication model is illustrated in the figure below.</w:t>
      </w:r>
    </w:p>
    <w:p w14:paraId="421FBDF2" w14:textId="77777777" w:rsidR="001F3EB6" w:rsidRDefault="00FF43F5" w:rsidP="00D97CE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1:</w:t>
      </w:r>
      <w:r w:rsidRPr="001F3EB6">
        <w:rPr>
          <w:rFonts w:ascii="Times New Roman" w:eastAsia="Times New Roman" w:hAnsi="Times New Roman" w:cs="Times New Roman"/>
          <w:sz w:val="24"/>
          <w:szCs w:val="24"/>
        </w:rPr>
        <w:t xml:space="preserve"> </w:t>
      </w:r>
      <w:r w:rsidR="00D97CEF" w:rsidRPr="00D97CEF">
        <w:rPr>
          <w:rFonts w:ascii="Times New Roman" w:eastAsia="Times New Roman" w:hAnsi="Times New Roman" w:cs="Times New Roman"/>
          <w:sz w:val="24"/>
          <w:szCs w:val="24"/>
        </w:rPr>
        <w:t>Lasswell</w:t>
      </w:r>
      <w:r>
        <w:rPr>
          <w:rFonts w:ascii="Times New Roman" w:eastAsia="Times New Roman" w:hAnsi="Times New Roman" w:cs="Times New Roman"/>
          <w:sz w:val="24"/>
          <w:szCs w:val="24"/>
        </w:rPr>
        <w:t xml:space="preserve"> Model</w:t>
      </w:r>
    </w:p>
    <w:p w14:paraId="56C6CAB9" w14:textId="77777777" w:rsidR="001F3EB6" w:rsidRDefault="00FF43F5" w:rsidP="00D97CE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73A8236" wp14:editId="3AA217AD">
            <wp:extent cx="2466975" cy="1847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sswell.png"/>
                    <pic:cNvPicPr/>
                  </pic:nvPicPr>
                  <pic:blipFill>
                    <a:blip r:embed="rId4">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235C04EF" w14:textId="77777777" w:rsidR="00D97CEF" w:rsidRDefault="00D97CEF" w:rsidP="00D97CEF">
      <w:pPr>
        <w:spacing w:after="0" w:line="480" w:lineRule="auto"/>
        <w:jc w:val="both"/>
        <w:rPr>
          <w:rFonts w:ascii="Times New Roman" w:eastAsia="Times New Roman" w:hAnsi="Times New Roman" w:cs="Times New Roman"/>
          <w:b/>
          <w:sz w:val="24"/>
          <w:szCs w:val="24"/>
        </w:rPr>
      </w:pPr>
    </w:p>
    <w:p w14:paraId="1C36039E" w14:textId="77777777" w:rsidR="00D97CEF" w:rsidRPr="00D97CEF" w:rsidRDefault="00FF43F5" w:rsidP="00D97CEF">
      <w:pPr>
        <w:spacing w:after="0" w:line="480" w:lineRule="auto"/>
        <w:jc w:val="both"/>
        <w:rPr>
          <w:rFonts w:ascii="Times New Roman" w:eastAsia="Times New Roman" w:hAnsi="Times New Roman" w:cs="Times New Roman"/>
          <w:b/>
          <w:sz w:val="24"/>
          <w:szCs w:val="24"/>
        </w:rPr>
      </w:pPr>
      <w:r w:rsidRPr="00D97CEF">
        <w:rPr>
          <w:rFonts w:ascii="Times New Roman" w:eastAsia="Times New Roman" w:hAnsi="Times New Roman" w:cs="Times New Roman"/>
          <w:b/>
          <w:sz w:val="24"/>
          <w:szCs w:val="24"/>
        </w:rPr>
        <w:t xml:space="preserve">Shannon-Weaver Model (1949) </w:t>
      </w:r>
    </w:p>
    <w:p w14:paraId="5F35801D" w14:textId="77777777" w:rsidR="00D97CEF" w:rsidRDefault="00FF43F5" w:rsidP="00D97CEF">
      <w:pPr>
        <w:spacing w:after="0" w:line="480" w:lineRule="auto"/>
        <w:jc w:val="both"/>
        <w:rPr>
          <w:rFonts w:ascii="Times New Roman" w:eastAsia="Times New Roman" w:hAnsi="Times New Roman" w:cs="Times New Roman"/>
          <w:sz w:val="24"/>
          <w:szCs w:val="24"/>
        </w:rPr>
      </w:pPr>
      <w:r w:rsidRPr="00D97CEF">
        <w:rPr>
          <w:rFonts w:ascii="Times New Roman" w:eastAsia="Times New Roman" w:hAnsi="Times New Roman" w:cs="Times New Roman"/>
          <w:sz w:val="24"/>
          <w:szCs w:val="24"/>
        </w:rPr>
        <w:t xml:space="preserve">Claude Shannon and Warren Weaver created this model. It is one of the most essential communication models. It has also been used effectively in the creation of other models. This model's main advantage is that it incorporates signal transmission. In this paradigm, the transmitter sends a message to the receiver over a channel. The message is delivered by the recipient. In this paradigm, the information source is used to construct a message from a </w:t>
      </w:r>
      <w:r w:rsidRPr="00D97CEF">
        <w:rPr>
          <w:rFonts w:ascii="Times New Roman" w:eastAsia="Times New Roman" w:hAnsi="Times New Roman" w:cs="Times New Roman"/>
          <w:sz w:val="24"/>
          <w:szCs w:val="24"/>
        </w:rPr>
        <w:lastRenderedPageBreak/>
        <w:t>collection of potential messages. The messages might be written or spoken. In this paradigm, the information sources choose the desired message from a collection of possible messages. This model included notions like noise, disruptions, and transmission failures. The essential balance between entropy (degree of uncertainty) and redundancy (uniqueness of information) must be maintained. This meant that the more noise in the transmission, the more redundancy is required. Repetition of the message reduces relative entropy or the communication's uncertainty. This methodology was criticized for relying on technology built for technical challenges rather than human communication</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&lt;EndNote&gt;&lt;Cite&gt;&lt;Author&gt;Gillespie&lt;/Author&gt;&lt;Year&gt;2018&lt;/Year&gt;&lt;RecNum&gt;124&lt;/RecNum&gt;&lt;DisplayText&gt;(Gillespie &amp;amp; Schiffman, 2018)&lt;/DisplayText&gt;&lt;record&gt;&lt;rec-number&gt;124&lt;/rec-number&gt;&lt;foreign-keys&gt;&lt;key app="EN" db-id="52p2wzer7952fsees5yvxsrixrz2es5pt0pr" timestamp="1639561195"&gt;124&lt;/key&gt;&lt;/foreign-keys&gt;&lt;ref-type name="Journal Article"&gt;17&lt;/ref-type&gt;&lt;contributors&gt;&lt;authors&gt;&lt;author&gt;Gillespie, Debra J&lt;/author&gt;&lt;author&gt;Schiffman, Rachel&lt;/author&gt;&lt;/authors&gt;&lt;/contributors&gt;&lt;titles&gt;&lt;title&gt;A critique of the Shannon-Weaver theory of communication and its implications for nursing&lt;/title&gt;&lt;secondary-title&gt;Research and theory for nursing practice&lt;/secondary-title&gt;&lt;/titles&gt;&lt;periodical&gt;&lt;full-title&gt;Research and theory for nursing practice&lt;/full-title&gt;&lt;/periodical&gt;&lt;pages&gt;216-225&lt;/pages&gt;&lt;volume&gt;32&lt;/volume&gt;&lt;number&gt;2&lt;/number&gt;&lt;dates&gt;&lt;year&gt;2018&lt;/year&gt;&lt;/dates&gt;&lt;isbn&gt;1541-6577&lt;/isbn&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(Gillespie &amp; Schiffman, 2018)</w:t>
      </w:r>
      <w:r w:rsidR="00872D77">
        <w:rPr>
          <w:rFonts w:ascii="Times New Roman" w:eastAsia="Times New Roman" w:hAnsi="Times New Roman" w:cs="Times New Roman"/>
          <w:sz w:val="24"/>
          <w:szCs w:val="24"/>
        </w:rPr>
        <w:fldChar w:fldCharType="end"/>
      </w:r>
      <w:r w:rsidRPr="00D97CEF">
        <w:rPr>
          <w:rFonts w:ascii="Times New Roman" w:eastAsia="Times New Roman" w:hAnsi="Times New Roman" w:cs="Times New Roman"/>
          <w:sz w:val="24"/>
          <w:szCs w:val="24"/>
        </w:rPr>
        <w:t xml:space="preserve">. </w:t>
      </w:r>
      <w:r w:rsidR="006E4374">
        <w:rPr>
          <w:rFonts w:ascii="Times New Roman" w:eastAsia="Times New Roman" w:hAnsi="Times New Roman" w:cs="Times New Roman"/>
          <w:sz w:val="24"/>
          <w:szCs w:val="24"/>
        </w:rPr>
        <w:t>The model is illustrated in the figure below:</w:t>
      </w:r>
    </w:p>
    <w:p w14:paraId="2280CFD3" w14:textId="77777777" w:rsidR="006E4374" w:rsidRDefault="00FF43F5" w:rsidP="00D97CEF">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Figure 2: </w:t>
      </w:r>
      <w:r w:rsidRPr="006E4374">
        <w:rPr>
          <w:rFonts w:ascii="Times New Roman" w:hAnsi="Times New Roman" w:cs="Times New Roman"/>
          <w:sz w:val="24"/>
          <w:szCs w:val="24"/>
        </w:rPr>
        <w:t>Shannon-Weaver Model</w:t>
      </w:r>
    </w:p>
    <w:p w14:paraId="42B18BB9" w14:textId="77777777" w:rsidR="006E4374" w:rsidRPr="006E4374" w:rsidRDefault="00FF43F5" w:rsidP="00D97CEF">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731B51" wp14:editId="15EBD99B">
            <wp:extent cx="3028950" cy="1514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on.png"/>
                    <pic:cNvPicPr/>
                  </pic:nvPicPr>
                  <pic:blipFill>
                    <a:blip r:embed="rId5">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304A0948" w14:textId="77777777" w:rsidR="006E4374" w:rsidRPr="00D97CEF" w:rsidRDefault="006E4374" w:rsidP="00D97CEF">
      <w:pPr>
        <w:spacing w:after="0" w:line="480" w:lineRule="auto"/>
        <w:jc w:val="both"/>
        <w:rPr>
          <w:rFonts w:ascii="Times New Roman" w:eastAsia="Times New Roman" w:hAnsi="Times New Roman" w:cs="Times New Roman"/>
          <w:sz w:val="24"/>
          <w:szCs w:val="24"/>
        </w:rPr>
      </w:pPr>
    </w:p>
    <w:p w14:paraId="2352D72A" w14:textId="77777777"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The Osgood Model (1954)</w:t>
      </w:r>
    </w:p>
    <w:p w14:paraId="3C152F17" w14:textId="77777777" w:rsid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 xml:space="preserve"> According to Charles Osgood's approach, communication is a dynamic process involving both sender and receiver. When people communicate, they send and receive messages. It is a two-way process. Individuals must conclude the communication procedures by making final statements. This paradigm teaches people to use ways of encoding, decoding and interpreting signals while communicating. This is done via several feedback systems</w:t>
      </w:r>
      <w:r w:rsidR="00872D77">
        <w:rPr>
          <w:rFonts w:ascii="Times New Roman" w:eastAsia="Times New Roman" w:hAnsi="Times New Roman" w:cs="Times New Roman"/>
          <w:sz w:val="24"/>
          <w:szCs w:val="24"/>
        </w:rPr>
        <w:t xml:space="preserve"> </w:t>
      </w:r>
      <w:r w:rsidR="00872D77">
        <w:rPr>
          <w:rFonts w:ascii="Times New Roman" w:eastAsia="Times New Roman" w:hAnsi="Times New Roman" w:cs="Times New Roman"/>
          <w:sz w:val="24"/>
          <w:szCs w:val="24"/>
        </w:rPr>
        <w:fldChar w:fldCharType="begin"/>
      </w:r>
      <w:r w:rsidR="00872D77">
        <w:rPr>
          <w:rFonts w:ascii="Times New Roman" w:eastAsia="Times New Roman" w:hAnsi="Times New Roman" w:cs="Times New Roman"/>
          <w:sz w:val="24"/>
          <w:szCs w:val="24"/>
        </w:rPr>
        <w:instrText xml:space="preserve"> ADDIN EN.CITE &lt;EndNote&gt;&lt;Cite&gt;&lt;Author&gt;Anatolyevich&lt;/Author&gt;&lt;Year&gt;2019&lt;/Year&gt;&lt;RecNum&gt;125&lt;/RecNum&gt;&lt;DisplayText&gt;(Anatolyevich &amp;amp; Yakovlevna, 2019)&lt;/DisplayText&gt;&lt;record&gt;&lt;rec-number&gt;125&lt;/rec-number&gt;&lt;foreign-keys&gt;&lt;key app="EN" db-id="52p2wzer7952fsees5yvxsrixrz2es5pt0pr" timestamp="1639561407"&gt;125&lt;/key&gt;&lt;/foreign-keys&gt;&lt;ref-type name="Journal Article"&gt;17&lt;/ref-type&gt;&lt;contributors&gt;&lt;authors&gt;&lt;author&gt;Anatolyevich, Belov Petr&lt;/author&gt;&lt;author&gt;Yakovlevna, Golovina Natalya&lt;/author&gt;&lt;/authors&gt;&lt;/contributors&gt;&lt;titles&gt;&lt;title&gt;Generalization of the Ramberg–Osgood Model for Elastoplastic Materials&lt;/title&gt;&lt;secondary-title&gt;Journal of Materials Engineering and Performance&lt;/secondary-title&gt;&lt;/titles&gt;&lt;periodical&gt;&lt;full-title&gt;Journal of Materials Engineering and Performance&lt;/full-title&gt;&lt;/periodical&gt;&lt;pages&gt;7342-7346&lt;/pages&gt;&lt;volume&gt;28&lt;/volume&gt;&lt;number&gt;12&lt;/number&gt;&lt;dates&gt;&lt;year&gt;2019&lt;/year&gt;&lt;/dates&gt;&lt;isbn&gt;1544-1024&lt;/isbn&gt;&lt;urls&gt;&lt;/urls&gt;&lt;/record&gt;&lt;/Cite&gt;&lt;/EndNote&gt;</w:instrText>
      </w:r>
      <w:r w:rsidR="00872D77">
        <w:rPr>
          <w:rFonts w:ascii="Times New Roman" w:eastAsia="Times New Roman" w:hAnsi="Times New Roman" w:cs="Times New Roman"/>
          <w:sz w:val="24"/>
          <w:szCs w:val="24"/>
        </w:rPr>
        <w:fldChar w:fldCharType="separate"/>
      </w:r>
      <w:r w:rsidR="00872D77">
        <w:rPr>
          <w:rFonts w:ascii="Times New Roman" w:eastAsia="Times New Roman" w:hAnsi="Times New Roman" w:cs="Times New Roman"/>
          <w:noProof/>
          <w:sz w:val="24"/>
          <w:szCs w:val="24"/>
        </w:rPr>
        <w:t>(Anatolyevich &amp; Yakovlevna, 2019)</w:t>
      </w:r>
      <w:r w:rsidR="00872D77">
        <w:rPr>
          <w:rFonts w:ascii="Times New Roman" w:eastAsia="Times New Roman" w:hAnsi="Times New Roman" w:cs="Times New Roman"/>
          <w:sz w:val="24"/>
          <w:szCs w:val="24"/>
        </w:rPr>
        <w:fldChar w:fldCharType="end"/>
      </w:r>
      <w:r w:rsidRPr="004706BA">
        <w:rPr>
          <w:rFonts w:ascii="Times New Roman" w:eastAsia="Times New Roman" w:hAnsi="Times New Roman" w:cs="Times New Roman"/>
          <w:sz w:val="24"/>
          <w:szCs w:val="24"/>
        </w:rPr>
        <w:t xml:space="preserve">. This approach works well in interpersonal communication when the sender and recipient are both presents. For example, when a teacher informs students about class plans, they may engage </w:t>
      </w:r>
      <w:r w:rsidRPr="004706BA">
        <w:rPr>
          <w:rFonts w:ascii="Times New Roman" w:eastAsia="Times New Roman" w:hAnsi="Times New Roman" w:cs="Times New Roman"/>
          <w:sz w:val="24"/>
          <w:szCs w:val="24"/>
        </w:rPr>
        <w:lastRenderedPageBreak/>
        <w:t xml:space="preserve">by asking questions, discussing ideas, and so on. This approach for decoding a communication emphasizes the function of message interpretation. This paradigm emphasizes the necessity for people to communicate dynamically and enthusiastically. When people ask questions, others must respond for them to fully grasp the notions. In such instances, people must convey pleasant thoughts and provide feedback. Certain topics might be difficult to grasp. When people ask questions, they may not fully grasp the topics. In such instances, information senders must offer detailed explanations to ensure that recipients understand and that communication procedures are efficient. Thus, communication procedures must be active and vigorous. </w:t>
      </w:r>
      <w:r w:rsidR="006E4374">
        <w:rPr>
          <w:rFonts w:ascii="Times New Roman" w:eastAsia="Times New Roman" w:hAnsi="Times New Roman" w:cs="Times New Roman"/>
          <w:sz w:val="24"/>
          <w:szCs w:val="24"/>
        </w:rPr>
        <w:t>The figure below illustrates this model.</w:t>
      </w:r>
    </w:p>
    <w:p w14:paraId="13BC4E1D" w14:textId="77777777" w:rsidR="006E4374" w:rsidRDefault="00FF43F5" w:rsidP="004706BA">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Figure 3: </w:t>
      </w:r>
      <w:r w:rsidR="000C0F76" w:rsidRPr="000C0F76">
        <w:rPr>
          <w:rFonts w:ascii="Times New Roman" w:hAnsi="Times New Roman" w:cs="Times New Roman"/>
          <w:sz w:val="24"/>
          <w:szCs w:val="24"/>
        </w:rPr>
        <w:t>The Osgood Model</w:t>
      </w:r>
    </w:p>
    <w:p w14:paraId="3A0D7053" w14:textId="77777777" w:rsidR="000C0F76" w:rsidRDefault="00FF43F5" w:rsidP="004706BA">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07C76F" wp14:editId="097AA2AD">
            <wp:extent cx="2638425" cy="1733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sgood.png"/>
                    <pic:cNvPicPr/>
                  </pic:nvPicPr>
                  <pic:blipFill>
                    <a:blip r:embed="rId6">
                      <a:extLst>
                        <a:ext uri="{28A0092B-C50C-407E-A947-70E740481C1C}">
                          <a14:useLocalDpi xmlns:a14="http://schemas.microsoft.com/office/drawing/2010/main" val="0"/>
                        </a:ext>
                      </a:extLst>
                    </a:blip>
                    <a:stretch>
                      <a:fillRect/>
                    </a:stretch>
                  </pic:blipFill>
                  <pic:spPr>
                    <a:xfrm>
                      <a:off x="0" y="0"/>
                      <a:ext cx="2638425" cy="1733550"/>
                    </a:xfrm>
                    <a:prstGeom prst="rect">
                      <a:avLst/>
                    </a:prstGeom>
                  </pic:spPr>
                </pic:pic>
              </a:graphicData>
            </a:graphic>
          </wp:inline>
        </w:drawing>
      </w:r>
    </w:p>
    <w:p w14:paraId="309AE610" w14:textId="77777777" w:rsidR="000C0F76" w:rsidRPr="004706BA" w:rsidRDefault="000C0F76" w:rsidP="004706BA">
      <w:pPr>
        <w:spacing w:after="0" w:line="480" w:lineRule="auto"/>
        <w:jc w:val="both"/>
        <w:rPr>
          <w:rFonts w:ascii="Times New Roman" w:eastAsia="Times New Roman" w:hAnsi="Times New Roman" w:cs="Times New Roman"/>
          <w:sz w:val="24"/>
          <w:szCs w:val="24"/>
        </w:rPr>
      </w:pPr>
    </w:p>
    <w:p w14:paraId="4178B959" w14:textId="77777777"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 xml:space="preserve">Schramm Model (1954) </w:t>
      </w:r>
    </w:p>
    <w:p w14:paraId="4F6B5463" w14:textId="77777777"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 xml:space="preserve">Communication specialist Wilbur Schramm could not distinguish between technical and non-technical communication. But, motivated by Shannon and Osgoods, Wilbur Schramm developed a more complex communication model. The Shannon and Weaver Model is quite similar. In his second model, Wilbur Schramm depicted communication as a process of sharing and similarity of experience between people. This approach incorporated sender-receiver shared orientation. The primary idea is that the transmitter and receiver exchange information about their </w:t>
      </w:r>
      <w:r w:rsidRPr="004706BA">
        <w:rPr>
          <w:rFonts w:ascii="Times New Roman" w:eastAsia="Times New Roman" w:hAnsi="Times New Roman" w:cs="Times New Roman"/>
          <w:sz w:val="24"/>
          <w:szCs w:val="24"/>
        </w:rPr>
        <w:lastRenderedPageBreak/>
        <w:t xml:space="preserve">experiences. Communication becomes more productive and useful when they have comparable experiences. Unlike the linear models previously outlined, this model emphasizes the cumulative experience of two persons involved in communication processes. Interaction, feedback, and experience sharing are absent here. The source can encode and the destination can decode the individuals' experiences. People understand each other better when they have comparable work tasks, backgrounds, and experiences </w:t>
      </w:r>
    </w:p>
    <w:p w14:paraId="639137A0" w14:textId="77777777"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 xml:space="preserve">The Gerbner Model (1956) </w:t>
      </w:r>
    </w:p>
    <w:p w14:paraId="550FD0E9" w14:textId="77777777"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George Gerbner attempted to create a general-purpose model of communication, in which communication is seen as a means of message transfer. The model is significant in two respects. It connects the message to reality and allows people to think about perception and meaning. The perceptual and receptive aspects of communication are also considered, as are the means and control dimensions.</w:t>
      </w:r>
    </w:p>
    <w:p w14:paraId="5ACE680A" w14:textId="77777777" w:rsid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 xml:space="preserve">This concept explains communication in three steps. The horizontal, vertical, and horizontal stages. The first level is E, which stands for external reality. Because human perception is a complicated </w:t>
      </w:r>
      <w:r w:rsidR="000C0F76" w:rsidRPr="004706BA">
        <w:rPr>
          <w:rFonts w:ascii="Times New Roman" w:eastAsia="Times New Roman" w:hAnsi="Times New Roman" w:cs="Times New Roman"/>
          <w:sz w:val="24"/>
          <w:szCs w:val="24"/>
        </w:rPr>
        <w:t>phenomenon</w:t>
      </w:r>
      <w:r w:rsidRPr="004706BA">
        <w:rPr>
          <w:rFonts w:ascii="Times New Roman" w:eastAsia="Times New Roman" w:hAnsi="Times New Roman" w:cs="Times New Roman"/>
          <w:sz w:val="24"/>
          <w:szCs w:val="24"/>
        </w:rPr>
        <w:t>, it requires interaction and negotiation. In this technique, one tries to connect external inputs with internal thinking patterns or concepts to perceive an event. The second stage provides meaning to what has been perceived. The message is single. Individuals must choose acceptable avenues of communication in this circumstance. In this concept, channels are referred to as the key features that promote communication. The third stage follows the same pattern as the first. The message itself does not convey the message's meaning. Interaction and bargaining are essential elements at this level. These ideas are important i</w:t>
      </w:r>
      <w:r w:rsidR="0092508E">
        <w:rPr>
          <w:rFonts w:ascii="Times New Roman" w:eastAsia="Times New Roman" w:hAnsi="Times New Roman" w:cs="Times New Roman"/>
          <w:sz w:val="24"/>
          <w:szCs w:val="24"/>
        </w:rPr>
        <w:t xml:space="preserve">n supporting good communication. </w:t>
      </w:r>
    </w:p>
    <w:p w14:paraId="3B7A28F7" w14:textId="77777777" w:rsidR="0092508E" w:rsidRDefault="00FF43F5" w:rsidP="004706BA">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Figure 4: </w:t>
      </w:r>
      <w:r w:rsidRPr="0092508E">
        <w:rPr>
          <w:rFonts w:ascii="Times New Roman" w:hAnsi="Times New Roman" w:cs="Times New Roman"/>
          <w:sz w:val="24"/>
          <w:szCs w:val="24"/>
        </w:rPr>
        <w:t>The Gerbner Model</w:t>
      </w:r>
    </w:p>
    <w:p w14:paraId="588263B2" w14:textId="77777777" w:rsidR="0092508E" w:rsidRPr="0092508E" w:rsidRDefault="00FF43F5" w:rsidP="004706BA">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0BF86E9" wp14:editId="0EA77E1A">
            <wp:extent cx="2143125" cy="2133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ebner.png"/>
                    <pic:cNvPicPr/>
                  </pic:nvPicPr>
                  <pic:blipFill>
                    <a:blip r:embed="rId7">
                      <a:extLst>
                        <a:ext uri="{28A0092B-C50C-407E-A947-70E740481C1C}">
                          <a14:useLocalDpi xmlns:a14="http://schemas.microsoft.com/office/drawing/2010/main" val="0"/>
                        </a:ext>
                      </a:extLst>
                    </a:blip>
                    <a:stretch>
                      <a:fillRect/>
                    </a:stretch>
                  </pic:blipFill>
                  <pic:spPr>
                    <a:xfrm>
                      <a:off x="0" y="0"/>
                      <a:ext cx="2143125" cy="2133600"/>
                    </a:xfrm>
                    <a:prstGeom prst="rect">
                      <a:avLst/>
                    </a:prstGeom>
                  </pic:spPr>
                </pic:pic>
              </a:graphicData>
            </a:graphic>
          </wp:inline>
        </w:drawing>
      </w:r>
    </w:p>
    <w:p w14:paraId="1D3786F2" w14:textId="77777777" w:rsidR="0092508E" w:rsidRDefault="0092508E" w:rsidP="004706BA">
      <w:pPr>
        <w:spacing w:after="0" w:line="480" w:lineRule="auto"/>
        <w:jc w:val="both"/>
        <w:rPr>
          <w:rFonts w:ascii="Times New Roman" w:eastAsia="Times New Roman" w:hAnsi="Times New Roman" w:cs="Times New Roman"/>
          <w:b/>
          <w:sz w:val="24"/>
          <w:szCs w:val="24"/>
        </w:rPr>
      </w:pPr>
    </w:p>
    <w:p w14:paraId="7640BF3D" w14:textId="77777777"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Model of T. M. Newcomb (1953)</w:t>
      </w:r>
    </w:p>
    <w:p w14:paraId="2CF57262" w14:textId="77777777"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Theodore M. Newcomb helped develop social psychology as a research field between psychology and sociology. Theodore M. Newcomb's Model is unique in that it is a triangle. This model's fundamental relevance is that it attempts to explain the function of communication in society and social connections. Communication mechanisms, according to this paradigm, contribute significantly to social system equilibrium. In this approach, people communicate about the social environment. Several components of the social environment might help people communicate. This concept is crucial due to the individual's rising demands. In reality, people living in democratic countries must raise consciousness and broaden their grasp of social dynamics. This knowledge would help individuals solve diffi</w:t>
      </w:r>
      <w:r w:rsidR="0092508E">
        <w:rPr>
          <w:rFonts w:ascii="Times New Roman" w:eastAsia="Times New Roman" w:hAnsi="Times New Roman" w:cs="Times New Roman"/>
          <w:sz w:val="24"/>
          <w:szCs w:val="24"/>
        </w:rPr>
        <w:t>culties and enhance their lives.</w:t>
      </w:r>
    </w:p>
    <w:p w14:paraId="5F31F0BE" w14:textId="77777777" w:rsidR="004706BA" w:rsidRPr="004706BA" w:rsidRDefault="004706BA" w:rsidP="004706BA">
      <w:pPr>
        <w:spacing w:after="0" w:line="480" w:lineRule="auto"/>
        <w:jc w:val="both"/>
        <w:rPr>
          <w:rFonts w:ascii="Times New Roman" w:eastAsia="Times New Roman" w:hAnsi="Times New Roman" w:cs="Times New Roman"/>
          <w:sz w:val="24"/>
          <w:szCs w:val="24"/>
        </w:rPr>
      </w:pPr>
    </w:p>
    <w:p w14:paraId="19ED8C62" w14:textId="77777777" w:rsid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This approach helps people comprehend how crucial it is to create successful social communication concepts. It is critical to develop good communication terms to improve one's living situations and satisfy all demands. To achieve desired goals and maintain living circumstances, people must be able to communicate effectively within the social context. Thus, comprehending this paradigm has shown to be advantageous to people.</w:t>
      </w:r>
    </w:p>
    <w:p w14:paraId="492F3988" w14:textId="77777777" w:rsidR="00075F7D" w:rsidRPr="00075F7D" w:rsidRDefault="00FF43F5" w:rsidP="004706BA">
      <w:pPr>
        <w:spacing w:after="0" w:line="480" w:lineRule="auto"/>
        <w:jc w:val="both"/>
        <w:rPr>
          <w:rFonts w:ascii="Times New Roman" w:hAnsi="Times New Roman" w:cs="Times New Roman"/>
          <w:sz w:val="24"/>
          <w:szCs w:val="24"/>
        </w:rPr>
      </w:pPr>
      <w:r>
        <w:rPr>
          <w:rFonts w:ascii="Times New Roman" w:eastAsia="Times New Roman" w:hAnsi="Times New Roman" w:cs="Times New Roman"/>
          <w:sz w:val="24"/>
          <w:szCs w:val="24"/>
        </w:rPr>
        <w:lastRenderedPageBreak/>
        <w:t>Figure 5:</w:t>
      </w:r>
      <w:r w:rsidRPr="00075F7D">
        <w:rPr>
          <w:rFonts w:ascii="Times New Roman" w:eastAsia="Times New Roman" w:hAnsi="Times New Roman" w:cs="Times New Roman"/>
          <w:b/>
          <w:sz w:val="24"/>
          <w:szCs w:val="24"/>
        </w:rPr>
        <w:t xml:space="preserve"> </w:t>
      </w:r>
      <w:r w:rsidRPr="00075F7D">
        <w:rPr>
          <w:rFonts w:ascii="Times New Roman" w:hAnsi="Times New Roman" w:cs="Times New Roman"/>
          <w:sz w:val="24"/>
          <w:szCs w:val="24"/>
        </w:rPr>
        <w:t>Model of T. M. Newcomb</w:t>
      </w:r>
    </w:p>
    <w:p w14:paraId="33BEFD82" w14:textId="77777777" w:rsidR="004706BA" w:rsidRPr="004706BA" w:rsidRDefault="00FF43F5" w:rsidP="004706BA">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A9D5CAC" wp14:editId="11F9194A">
            <wp:extent cx="2466975" cy="1847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stly.png"/>
                    <pic:cNvPicPr/>
                  </pic:nvPicPr>
                  <pic:blipFill>
                    <a:blip r:embed="rId8">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41103BAB" w14:textId="77777777" w:rsidR="004706BA" w:rsidRPr="004706BA" w:rsidRDefault="00FF43F5" w:rsidP="004706BA">
      <w:pPr>
        <w:spacing w:after="0" w:line="480" w:lineRule="auto"/>
        <w:jc w:val="both"/>
        <w:rPr>
          <w:rFonts w:ascii="Times New Roman" w:eastAsia="Times New Roman" w:hAnsi="Times New Roman" w:cs="Times New Roman"/>
          <w:b/>
          <w:sz w:val="24"/>
          <w:szCs w:val="24"/>
        </w:rPr>
      </w:pPr>
      <w:r w:rsidRPr="004706BA">
        <w:rPr>
          <w:rFonts w:ascii="Times New Roman" w:eastAsia="Times New Roman" w:hAnsi="Times New Roman" w:cs="Times New Roman"/>
          <w:b/>
          <w:sz w:val="24"/>
          <w:szCs w:val="24"/>
        </w:rPr>
        <w:t>Model of Bruce H. Wesley and M.S. (1957)</w:t>
      </w:r>
    </w:p>
    <w:p w14:paraId="26CDE7FD" w14:textId="77777777" w:rsidR="004706BA" w:rsidRPr="004706BA" w:rsidRDefault="00FF43F5" w:rsidP="004706BA">
      <w:pPr>
        <w:spacing w:after="0" w:line="480" w:lineRule="auto"/>
        <w:jc w:val="both"/>
        <w:rPr>
          <w:rFonts w:ascii="Times New Roman" w:eastAsia="Times New Roman" w:hAnsi="Times New Roman" w:cs="Times New Roman"/>
          <w:sz w:val="24"/>
          <w:szCs w:val="24"/>
        </w:rPr>
      </w:pPr>
      <w:r w:rsidRPr="004706BA">
        <w:rPr>
          <w:rFonts w:ascii="Times New Roman" w:eastAsia="Times New Roman" w:hAnsi="Times New Roman" w:cs="Times New Roman"/>
          <w:sz w:val="24"/>
          <w:szCs w:val="24"/>
        </w:rPr>
        <w:t>Wesley and MacLean's model is an expansion of Newcomb's model. It's been modified for mass media. It assumes that communications in mass communication transit through many gatekeepers before reaching the intended audience. In other terms, a mediator helps to facilitate communication between senders and recipients. The gatekeeper notion is often employed in the media and connected with news. This approach emphasizes the need for gatekeepers in promoting communication. The gatekeepers' key job tasks include deciding what messages to send and how to modify the material.</w:t>
      </w:r>
    </w:p>
    <w:p w14:paraId="444998B8" w14:textId="77777777" w:rsidR="00075F7D" w:rsidRPr="00075F7D" w:rsidRDefault="00075F7D" w:rsidP="004706BA">
      <w:pPr>
        <w:spacing w:after="0" w:line="480" w:lineRule="auto"/>
        <w:jc w:val="both"/>
        <w:rPr>
          <w:rFonts w:ascii="Times New Roman" w:hAnsi="Times New Roman" w:cs="Times New Roman"/>
          <w:sz w:val="24"/>
          <w:szCs w:val="24"/>
        </w:rPr>
      </w:pPr>
    </w:p>
    <w:p w14:paraId="5674B371" w14:textId="77777777" w:rsidR="00AB5A8B" w:rsidRPr="00AB5A8B" w:rsidRDefault="00FF43F5" w:rsidP="00AB5A8B">
      <w:pPr>
        <w:spacing w:after="0" w:line="480" w:lineRule="auto"/>
        <w:jc w:val="center"/>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Communication Skills</w:t>
      </w:r>
    </w:p>
    <w:p w14:paraId="5614E5C5" w14:textId="77777777"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Communication abilities enable you to exchange and receive data. Indeed, communication skills are frequently ranked as one of the most sought-after abilities in 2020 job ads. Utilizing, honing, and showing your communication abilities will help you develop in your profession and remain competitive while job hunting</w:t>
      </w:r>
      <w:r w:rsidR="0070014F">
        <w:rPr>
          <w:rFonts w:ascii="Times New Roman" w:eastAsia="Times New Roman" w:hAnsi="Times New Roman" w:cs="Times New Roman"/>
          <w:sz w:val="24"/>
          <w:szCs w:val="24"/>
        </w:rPr>
        <w:t xml:space="preserve"> </w:t>
      </w:r>
      <w:r w:rsidR="0070014F">
        <w:rPr>
          <w:rFonts w:ascii="Times New Roman" w:eastAsia="Times New Roman" w:hAnsi="Times New Roman" w:cs="Times New Roman"/>
          <w:sz w:val="24"/>
          <w:szCs w:val="24"/>
        </w:rPr>
        <w:fldChar w:fldCharType="begin"/>
      </w:r>
      <w:r w:rsidR="0070014F">
        <w:rPr>
          <w:rFonts w:ascii="Times New Roman" w:eastAsia="Times New Roman" w:hAnsi="Times New Roman" w:cs="Times New Roman"/>
          <w:sz w:val="24"/>
          <w:szCs w:val="24"/>
        </w:rPr>
        <w:instrText xml:space="preserve"> ADDIN EN.CITE &lt;EndNote&gt;&lt;Cite&gt;&lt;Author&gt;Hargie&lt;/Author&gt;&lt;Year&gt;2017&lt;/Year&gt;&lt;RecNum&gt;126&lt;/RecNum&gt;&lt;DisplayText&gt;(Hargie et al., 2017)&lt;/DisplayText&gt;&lt;record&gt;&lt;rec-number&gt;126&lt;/rec-number&gt;&lt;foreign-keys&gt;&lt;key app="EN" db-id="52p2wzer7952fsees5yvxsrixrz2es5pt0pr" timestamp="1639561514"&gt;126&lt;/key&gt;&lt;/foreign-keys&gt;&lt;ref-type name="Book"&gt;6&lt;/ref-type&gt;&lt;contributors&gt;&lt;authors&gt;&lt;author&gt;Hargie, Owen&lt;/author&gt;&lt;author&gt;Dickson, David&lt;/author&gt;&lt;author&gt;Tourish, Dennis&lt;/author&gt;&lt;/authors&gt;&lt;/contributors&gt;&lt;titles&gt;&lt;title&gt;Communication skills for effective management&lt;/title&gt;&lt;/titles&gt;&lt;dates&gt;&lt;year&gt;2017&lt;/year&gt;&lt;/dates&gt;&lt;publisher&gt;Macmillan International Higher Education&lt;/publisher&gt;&lt;isbn&gt;1403938938&lt;/isbn&gt;&lt;urls&gt;&lt;/urls&gt;&lt;/record&gt;&lt;/Cite&gt;&lt;/EndNote&gt;</w:instrText>
      </w:r>
      <w:r w:rsidR="0070014F">
        <w:rPr>
          <w:rFonts w:ascii="Times New Roman" w:eastAsia="Times New Roman" w:hAnsi="Times New Roman" w:cs="Times New Roman"/>
          <w:sz w:val="24"/>
          <w:szCs w:val="24"/>
        </w:rPr>
        <w:fldChar w:fldCharType="separate"/>
      </w:r>
      <w:r w:rsidR="0070014F">
        <w:rPr>
          <w:rFonts w:ascii="Times New Roman" w:eastAsia="Times New Roman" w:hAnsi="Times New Roman" w:cs="Times New Roman"/>
          <w:noProof/>
          <w:sz w:val="24"/>
          <w:szCs w:val="24"/>
        </w:rPr>
        <w:t>(Hargie et al., 2017)</w:t>
      </w:r>
      <w:r w:rsidR="0070014F">
        <w:rPr>
          <w:rFonts w:ascii="Times New Roman" w:eastAsia="Times New Roman" w:hAnsi="Times New Roman" w:cs="Times New Roman"/>
          <w:sz w:val="24"/>
          <w:szCs w:val="24"/>
        </w:rPr>
        <w:fldChar w:fldCharType="end"/>
      </w:r>
      <w:r w:rsidRPr="00AB5A8B">
        <w:rPr>
          <w:rFonts w:ascii="Times New Roman" w:eastAsia="Times New Roman" w:hAnsi="Times New Roman" w:cs="Times New Roman"/>
          <w:sz w:val="24"/>
          <w:szCs w:val="24"/>
        </w:rPr>
        <w:t>. Employers may look for the following communication skills:</w:t>
      </w:r>
    </w:p>
    <w:p w14:paraId="7ABF89BC" w14:textId="77777777"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Mode of communication</w:t>
      </w:r>
    </w:p>
    <w:p w14:paraId="2113E2F7" w14:textId="77777777"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lastRenderedPageBreak/>
        <w:t>It is critical to communicate well with people. Emails, phone conversations, in-person meetings, and text messages all have their own set of perks and downsides. When communicating, it is necessary to evaluate your audience, the information to be communicated, and the most effective method of sharing it. A professional email may be required to communicate with an employer.</w:t>
      </w:r>
    </w:p>
    <w:p w14:paraId="12F6E657" w14:textId="77777777"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Listening attentively</w:t>
      </w:r>
    </w:p>
    <w:p w14:paraId="24EF4B75" w14:textId="77777777"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It entails paying great attention to the person with whom you are talking by participating in conversation, asking questions, and rephrasing. Active listening may help you develop respect for your colleagues and boost workplace understanding.</w:t>
      </w:r>
    </w:p>
    <w:p w14:paraId="0B2E95A8" w14:textId="77777777"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Friendliness</w:t>
      </w:r>
    </w:p>
    <w:p w14:paraId="153012D2" w14:textId="77777777"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When interacting at work, friendly characteristics such as honesty and friendliness may help create trust and understanding. Communicate with a good attitude, have an open mind, and ask questions to better comprehend their point of view. Small gestures such as inquiring how someone is doing, smiling as they talk, or providing an appreciation for a job well done may all contribute to the development of healthy connections with colleagues.</w:t>
      </w:r>
    </w:p>
    <w:p w14:paraId="704EAC06" w14:textId="77777777"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Confidence</w:t>
      </w:r>
    </w:p>
    <w:p w14:paraId="152A42B1" w14:textId="77777777"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Individuals are more receptive to ideas that are given with confidence. There are several techniques to project confidence, like maintaining eye contact with your audience while speaking, sitting up straight with your shoulders wide, and preparing ahead of time so that your ideas are polished and you are prepared to answer any questions. Confident communication skills are advantageous in the workplace and during job interviews.</w:t>
      </w:r>
    </w:p>
    <w:p w14:paraId="114D31FB" w14:textId="77777777" w:rsidR="00AB5A8B" w:rsidRPr="00AB5A8B" w:rsidRDefault="00FF43F5" w:rsidP="00AB5A8B">
      <w:pPr>
        <w:spacing w:after="0" w:line="480" w:lineRule="auto"/>
        <w:jc w:val="both"/>
        <w:rPr>
          <w:rFonts w:ascii="Times New Roman" w:eastAsia="Times New Roman" w:hAnsi="Times New Roman" w:cs="Times New Roman"/>
          <w:b/>
          <w:sz w:val="24"/>
          <w:szCs w:val="24"/>
        </w:rPr>
      </w:pPr>
      <w:r w:rsidRPr="00AB5A8B">
        <w:rPr>
          <w:rFonts w:ascii="Times New Roman" w:eastAsia="Times New Roman" w:hAnsi="Times New Roman" w:cs="Times New Roman"/>
          <w:b/>
          <w:sz w:val="24"/>
          <w:szCs w:val="24"/>
        </w:rPr>
        <w:t>Respect</w:t>
      </w:r>
    </w:p>
    <w:p w14:paraId="59832E11" w14:textId="77777777" w:rsidR="00AB5A8B" w:rsidRPr="00AB5A8B" w:rsidRDefault="00FF43F5" w:rsidP="00AB5A8B">
      <w:pPr>
        <w:spacing w:after="0" w:line="480" w:lineRule="auto"/>
        <w:jc w:val="both"/>
        <w:rPr>
          <w:rFonts w:ascii="Times New Roman" w:eastAsia="Times New Roman" w:hAnsi="Times New Roman" w:cs="Times New Roman"/>
          <w:sz w:val="24"/>
          <w:szCs w:val="24"/>
        </w:rPr>
      </w:pPr>
      <w:r w:rsidRPr="00AB5A8B">
        <w:rPr>
          <w:rFonts w:ascii="Times New Roman" w:eastAsia="Times New Roman" w:hAnsi="Times New Roman" w:cs="Times New Roman"/>
          <w:sz w:val="24"/>
          <w:szCs w:val="24"/>
        </w:rPr>
        <w:t xml:space="preserve">Respect requires an awareness of when to begin a dialogue and when to reply. Allowing people to talk uninterrupted in a group situation is seen as a fundamental communication skill associated </w:t>
      </w:r>
      <w:r w:rsidRPr="00AB5A8B">
        <w:rPr>
          <w:rFonts w:ascii="Times New Roman" w:eastAsia="Times New Roman" w:hAnsi="Times New Roman" w:cs="Times New Roman"/>
          <w:sz w:val="24"/>
          <w:szCs w:val="24"/>
        </w:rPr>
        <w:lastRenderedPageBreak/>
        <w:t>with respect. Respectful communication also entails managing your time with another person well, which includes remaining on topic, asking specific questions, and replying thoroughly to any questions you are asked.</w:t>
      </w:r>
    </w:p>
    <w:p w14:paraId="188B31BF" w14:textId="77777777" w:rsidR="0068165C" w:rsidRDefault="0068165C" w:rsidP="0068165C">
      <w:pPr>
        <w:spacing w:after="0" w:line="480" w:lineRule="auto"/>
        <w:jc w:val="center"/>
        <w:rPr>
          <w:rFonts w:ascii="Times New Roman" w:eastAsia="Times New Roman" w:hAnsi="Times New Roman" w:cs="Times New Roman"/>
          <w:b/>
          <w:sz w:val="24"/>
          <w:szCs w:val="24"/>
        </w:rPr>
      </w:pPr>
    </w:p>
    <w:p w14:paraId="2F00319F" w14:textId="77777777" w:rsidR="0068165C" w:rsidRDefault="0068165C" w:rsidP="0068165C">
      <w:pPr>
        <w:spacing w:after="0" w:line="480" w:lineRule="auto"/>
        <w:jc w:val="center"/>
        <w:rPr>
          <w:rFonts w:ascii="Times New Roman" w:eastAsia="Times New Roman" w:hAnsi="Times New Roman" w:cs="Times New Roman"/>
          <w:b/>
          <w:sz w:val="24"/>
          <w:szCs w:val="24"/>
        </w:rPr>
      </w:pPr>
    </w:p>
    <w:p w14:paraId="357C744F" w14:textId="77777777" w:rsidR="0068165C" w:rsidRPr="0068165C" w:rsidRDefault="00FF43F5" w:rsidP="0068165C">
      <w:pPr>
        <w:spacing w:after="0" w:line="480" w:lineRule="auto"/>
        <w:jc w:val="center"/>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Poor Communication Examples</w:t>
      </w:r>
    </w:p>
    <w:p w14:paraId="0286C27C"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Poor communication occurs when one person's message is misunderstood by another. This occurs when information is delivered in an incorrect, hurried, or convoluted way. There is no one sort of individual that fails to communicate in an organization. For example, supervisors may miscommunicate with their subordinates, and employees may miscommunicate with their superiors</w:t>
      </w:r>
      <w:r w:rsidR="0070014F">
        <w:rPr>
          <w:rFonts w:ascii="Times New Roman" w:eastAsia="Times New Roman" w:hAnsi="Times New Roman" w:cs="Times New Roman"/>
          <w:sz w:val="24"/>
          <w:szCs w:val="24"/>
        </w:rPr>
        <w:t xml:space="preserve"> </w:t>
      </w:r>
      <w:r w:rsidR="0070014F">
        <w:rPr>
          <w:rFonts w:ascii="Times New Roman" w:eastAsia="Times New Roman" w:hAnsi="Times New Roman" w:cs="Times New Roman"/>
          <w:sz w:val="24"/>
          <w:szCs w:val="24"/>
        </w:rPr>
        <w:fldChar w:fldCharType="begin"/>
      </w:r>
      <w:r w:rsidR="0070014F">
        <w:rPr>
          <w:rFonts w:ascii="Times New Roman" w:eastAsia="Times New Roman" w:hAnsi="Times New Roman" w:cs="Times New Roman"/>
          <w:sz w:val="24"/>
          <w:szCs w:val="24"/>
        </w:rPr>
        <w:instrText xml:space="preserve"> ADDIN EN.CITE &lt;EndNote&gt;&lt;Cite&gt;&lt;Author&gt;Rahman&lt;/Author&gt;&lt;Year&gt;2019&lt;/Year&gt;&lt;RecNum&gt;127&lt;/RecNum&gt;&lt;DisplayText&gt;(Rahman &amp;amp; Gamil, 2019)&lt;/DisplayText&gt;&lt;record&gt;&lt;rec-number&gt;127&lt;/rec-number&gt;&lt;foreign-keys&gt;&lt;key app="EN" db-id="52p2wzer7952fsees5yvxsrixrz2es5pt0pr" timestamp="1639561585"&gt;127&lt;/key&gt;&lt;/foreign-keys&gt;&lt;ref-type name="Conference Proceedings"&gt;10&lt;/ref-type&gt;&lt;contributors&gt;&lt;authors&gt;&lt;author&gt;Rahman, Ismail Abdul&lt;/author&gt;&lt;author&gt;Gamil, Yaser&lt;/author&gt;&lt;/authors&gt;&lt;/contributors&gt;&lt;titles&gt;&lt;title&gt;Assessment of cause and effect factors of poor communication in construction industry&lt;/title&gt;&lt;secondary-title&gt;IOP Conference Series: Materials Science and Engineering&lt;/secondary-title&gt;&lt;/titles&gt;&lt;pages&gt;012014&lt;/pages&gt;&lt;volume&gt;601&lt;/volume&gt;&lt;number&gt;1&lt;/number&gt;&lt;dates&gt;&lt;year&gt;2019&lt;/year&gt;&lt;/dates&gt;&lt;publisher&gt;IOP Publishing&lt;/publisher&gt;&lt;isbn&gt;1757-899X&lt;/isbn&gt;&lt;urls&gt;&lt;/urls&gt;&lt;/record&gt;&lt;/Cite&gt;&lt;/EndNote&gt;</w:instrText>
      </w:r>
      <w:r w:rsidR="0070014F">
        <w:rPr>
          <w:rFonts w:ascii="Times New Roman" w:eastAsia="Times New Roman" w:hAnsi="Times New Roman" w:cs="Times New Roman"/>
          <w:sz w:val="24"/>
          <w:szCs w:val="24"/>
        </w:rPr>
        <w:fldChar w:fldCharType="separate"/>
      </w:r>
      <w:r w:rsidR="0070014F">
        <w:rPr>
          <w:rFonts w:ascii="Times New Roman" w:eastAsia="Times New Roman" w:hAnsi="Times New Roman" w:cs="Times New Roman"/>
          <w:noProof/>
          <w:sz w:val="24"/>
          <w:szCs w:val="24"/>
        </w:rPr>
        <w:t>(Rahman &amp; Gamil, 2019)</w:t>
      </w:r>
      <w:r w:rsidR="0070014F">
        <w:rPr>
          <w:rFonts w:ascii="Times New Roman" w:eastAsia="Times New Roman" w:hAnsi="Times New Roman" w:cs="Times New Roman"/>
          <w:sz w:val="24"/>
          <w:szCs w:val="24"/>
        </w:rPr>
        <w:fldChar w:fldCharType="end"/>
      </w:r>
      <w:r w:rsidRPr="0068165C">
        <w:rPr>
          <w:rFonts w:ascii="Times New Roman" w:eastAsia="Times New Roman" w:hAnsi="Times New Roman" w:cs="Times New Roman"/>
          <w:sz w:val="24"/>
          <w:szCs w:val="24"/>
        </w:rPr>
        <w:t>. Poor workplace communication may take various forms:</w:t>
      </w:r>
    </w:p>
    <w:p w14:paraId="06DFC2FA"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t>Gossip</w:t>
      </w:r>
      <w:r w:rsidRPr="0068165C">
        <w:rPr>
          <w:rFonts w:ascii="Times New Roman" w:eastAsia="Times New Roman" w:hAnsi="Times New Roman" w:cs="Times New Roman"/>
          <w:sz w:val="24"/>
          <w:szCs w:val="24"/>
        </w:rPr>
        <w:t>: Rumors are still a prevalent example of bad communication. Anyone in the firm may be a source of gossip, from the CEO to the new interns. Even if individuals don't mean it, gossip is full of falsehoods and exaggerations. One example of out-of-control gossip is a coworker circulating rumors about restructuring leading to layoffs.</w:t>
      </w:r>
    </w:p>
    <w:p w14:paraId="51479F94"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t>Written Communication</w:t>
      </w:r>
      <w:r w:rsidRPr="0068165C">
        <w:rPr>
          <w:rFonts w:ascii="Times New Roman" w:eastAsia="Times New Roman" w:hAnsi="Times New Roman" w:cs="Times New Roman"/>
          <w:sz w:val="24"/>
          <w:szCs w:val="24"/>
        </w:rPr>
        <w:t>: Face-to-face contact is becoming less usual as remote employment becomes the norm. Without verbal clues, individuals might misinterpret written information. If a manager emails an employee, the employee may take the communication as angry and dissatisfied.</w:t>
      </w:r>
    </w:p>
    <w:p w14:paraId="43C1C86C"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t>Absence of Confirmation</w:t>
      </w:r>
      <w:r w:rsidRPr="0068165C">
        <w:rPr>
          <w:rFonts w:ascii="Times New Roman" w:eastAsia="Times New Roman" w:hAnsi="Times New Roman" w:cs="Times New Roman"/>
          <w:sz w:val="24"/>
          <w:szCs w:val="24"/>
        </w:rPr>
        <w:t>: That's why individuals must verify the information. But too many individuals miss this step, leading to further confusion. If an employee emails a colleague requesting assistance on a project, the teammate should respond confirming their availability. Assume your colleague can assist you right now.</w:t>
      </w:r>
    </w:p>
    <w:p w14:paraId="7C32B5B7"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b/>
          <w:sz w:val="24"/>
          <w:szCs w:val="24"/>
        </w:rPr>
        <w:lastRenderedPageBreak/>
        <w:t>Lack of Reviews</w:t>
      </w:r>
      <w:r w:rsidRPr="0068165C">
        <w:rPr>
          <w:rFonts w:ascii="Times New Roman" w:eastAsia="Times New Roman" w:hAnsi="Times New Roman" w:cs="Times New Roman"/>
          <w:sz w:val="24"/>
          <w:szCs w:val="24"/>
        </w:rPr>
        <w:t>: Communication might get complicated if individuals don't evaluate their communications. The sender may have missed countless mistakes and errors if they had just examined the email before sending it.</w:t>
      </w:r>
    </w:p>
    <w:p w14:paraId="40722F8E" w14:textId="77777777" w:rsidR="0068165C" w:rsidRPr="0068165C" w:rsidRDefault="00FF43F5" w:rsidP="0068165C">
      <w:pPr>
        <w:spacing w:after="0" w:line="480" w:lineRule="auto"/>
        <w:jc w:val="center"/>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Fixing Poor Communication</w:t>
      </w:r>
    </w:p>
    <w:p w14:paraId="77974103" w14:textId="77777777"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Set Expectations and Standards</w:t>
      </w:r>
    </w:p>
    <w:p w14:paraId="00A5F58C"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Leaders must set the correct expectations and standards. Question for a leader: "Does everyone utilize the same platform?" According to a recent Zogby study, 41% of workers said their company "doesn't have (or doesn't make known) a standard set of mobile communication tools." In such instances, defining expectations and norms must come first.</w:t>
      </w:r>
    </w:p>
    <w:p w14:paraId="79C9AD3C" w14:textId="77777777"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Analyze Culture</w:t>
      </w:r>
    </w:p>
    <w:p w14:paraId="4907CB89"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The business culture may cause poor communication. Make sure the culture promotes open communication. Regardless of the problem, everyone should feel free to express themselves.</w:t>
      </w:r>
    </w:p>
    <w:p w14:paraId="4B182BFF" w14:textId="77777777"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Confirm and Define</w:t>
      </w:r>
    </w:p>
    <w:p w14:paraId="795CBEAF"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Follow-up emails, like any significant message, should corroborate what you said. This is also a chance to ask for further information. These messages clear up misconceptions and save time. Remember that it's never safe to presume what someone is saying, particularly since so much communication is now written.</w:t>
      </w:r>
    </w:p>
    <w:p w14:paraId="760C32BC" w14:textId="77777777"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t>Value Meetings</w:t>
      </w:r>
    </w:p>
    <w:p w14:paraId="4D035D8B" w14:textId="77777777" w:rsidR="0068165C" w:rsidRPr="0068165C" w:rsidRDefault="00FF43F5" w:rsidP="0068165C">
      <w:pPr>
        <w:spacing w:after="0" w:line="480" w:lineRule="auto"/>
        <w:jc w:val="both"/>
        <w:rPr>
          <w:rFonts w:ascii="Times New Roman" w:eastAsia="Times New Roman" w:hAnsi="Times New Roman" w:cs="Times New Roman"/>
          <w:sz w:val="24"/>
          <w:szCs w:val="24"/>
        </w:rPr>
      </w:pPr>
      <w:r w:rsidRPr="0068165C">
        <w:rPr>
          <w:rFonts w:ascii="Times New Roman" w:eastAsia="Times New Roman" w:hAnsi="Times New Roman" w:cs="Times New Roman"/>
          <w:sz w:val="24"/>
          <w:szCs w:val="24"/>
        </w:rPr>
        <w:t>Meetings are generally disliked. While it may be tempting to skip meetings, they are crucial to keep things moving. Meetings are where a lot of crucial information is conveyed, therefore doing them correctly is critical. When meetings do occur, make sure they are well-organized with clear objectives and action plans. Also, make sure everyone is on the same page and provide time for questions.</w:t>
      </w:r>
    </w:p>
    <w:p w14:paraId="15287218" w14:textId="77777777" w:rsidR="0068165C" w:rsidRPr="0068165C" w:rsidRDefault="00FF43F5" w:rsidP="0068165C">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b/>
          <w:sz w:val="24"/>
          <w:szCs w:val="24"/>
        </w:rPr>
        <w:lastRenderedPageBreak/>
        <w:t>Give Feedback</w:t>
      </w:r>
    </w:p>
    <w:p w14:paraId="4BADB8F7" w14:textId="77777777" w:rsidR="0068165C" w:rsidRPr="0068165C" w:rsidRDefault="00FF43F5" w:rsidP="0070014F">
      <w:pPr>
        <w:spacing w:after="0" w:line="480" w:lineRule="auto"/>
        <w:jc w:val="both"/>
        <w:rPr>
          <w:rFonts w:ascii="Times New Roman" w:eastAsia="Times New Roman" w:hAnsi="Times New Roman" w:cs="Times New Roman"/>
          <w:b/>
          <w:sz w:val="24"/>
          <w:szCs w:val="24"/>
        </w:rPr>
      </w:pPr>
      <w:r w:rsidRPr="0068165C">
        <w:rPr>
          <w:rFonts w:ascii="Times New Roman" w:eastAsia="Times New Roman" w:hAnsi="Times New Roman" w:cs="Times New Roman"/>
          <w:sz w:val="24"/>
          <w:szCs w:val="24"/>
        </w:rPr>
        <w:t xml:space="preserve">Communication feedback is vital in assessing people's current performance. Include this input in weekly one-on-ones. Poor communicators may just require coaching and training. Give constructive comments that stimulate progress and growth. At </w:t>
      </w:r>
      <w:r w:rsidR="0070014F">
        <w:rPr>
          <w:rFonts w:ascii="Times New Roman" w:eastAsia="Times New Roman" w:hAnsi="Times New Roman" w:cs="Times New Roman"/>
          <w:sz w:val="24"/>
          <w:szCs w:val="24"/>
        </w:rPr>
        <w:t xml:space="preserve">the same time, hold individuals </w:t>
      </w:r>
      <w:r w:rsidRPr="0068165C">
        <w:rPr>
          <w:rFonts w:ascii="Times New Roman" w:eastAsia="Times New Roman" w:hAnsi="Times New Roman" w:cs="Times New Roman"/>
          <w:sz w:val="24"/>
          <w:szCs w:val="24"/>
        </w:rPr>
        <w:t>responsible if communication issues persist</w:t>
      </w:r>
      <w:r w:rsidR="0070014F">
        <w:rPr>
          <w:rFonts w:ascii="Times New Roman" w:eastAsia="Times New Roman" w:hAnsi="Times New Roman" w:cs="Times New Roman"/>
          <w:sz w:val="24"/>
          <w:szCs w:val="24"/>
        </w:rPr>
        <w:t xml:space="preserve"> </w:t>
      </w:r>
      <w:r w:rsidR="0070014F">
        <w:rPr>
          <w:rFonts w:ascii="Times New Roman" w:eastAsia="Times New Roman" w:hAnsi="Times New Roman" w:cs="Times New Roman"/>
          <w:sz w:val="24"/>
          <w:szCs w:val="24"/>
        </w:rPr>
        <w:fldChar w:fldCharType="begin"/>
      </w:r>
      <w:r w:rsidR="0070014F">
        <w:rPr>
          <w:rFonts w:ascii="Times New Roman" w:eastAsia="Times New Roman" w:hAnsi="Times New Roman" w:cs="Times New Roman"/>
          <w:sz w:val="24"/>
          <w:szCs w:val="24"/>
        </w:rPr>
        <w:instrText xml:space="preserve"> ADDIN EN.CITE &lt;EndNote&gt;&lt;Cite&gt;&lt;Author&gt;Horner&lt;/Author&gt;&lt;Year&gt;2017&lt;/Year&gt;&lt;RecNum&gt;128&lt;/RecNum&gt;&lt;DisplayText&gt;(Horner &amp;amp; Ivacko, 2017)&lt;/DisplayText&gt;&lt;record&gt;&lt;rec-number&gt;128&lt;/rec-number&gt;&lt;foreign-keys&gt;&lt;key app="EN" db-id="52p2wzer7952fsees5yvxsrixrz2es5pt0pr" timestamp="1639561725"&gt;128&lt;/key&gt;&lt;/foreign-keys&gt;&lt;ref-type name="Journal Article"&gt;17&lt;/ref-type&gt;&lt;contributors&gt;&lt;authors&gt;&lt;author&gt;Horner, Debra&lt;/author&gt;&lt;author&gt;Ivacko, Thomas M&lt;/author&gt;&lt;/authors&gt;&lt;/contributors&gt;&lt;titles&gt;&lt;title&gt;Improving communication, building trust are seen as keys to fixing relationships between local jurisdictions and the State government&lt;/title&gt;&lt;secondary-title&gt;Michigan Public Policy Survey May&lt;/secondary-title&gt;&lt;/titles&gt;&lt;periodical&gt;&lt;full-title&gt;Michigan Public Policy Survey May&lt;/full-title&gt;&lt;/periodical&gt;&lt;dates&gt;&lt;year&gt;2017&lt;/year&gt;&lt;/dates&gt;&lt;urls&gt;&lt;/urls&gt;&lt;/record&gt;&lt;/Cite&gt;&lt;/EndNote&gt;</w:instrText>
      </w:r>
      <w:r w:rsidR="0070014F">
        <w:rPr>
          <w:rFonts w:ascii="Times New Roman" w:eastAsia="Times New Roman" w:hAnsi="Times New Roman" w:cs="Times New Roman"/>
          <w:sz w:val="24"/>
          <w:szCs w:val="24"/>
        </w:rPr>
        <w:fldChar w:fldCharType="separate"/>
      </w:r>
      <w:r w:rsidR="0070014F">
        <w:rPr>
          <w:rFonts w:ascii="Times New Roman" w:eastAsia="Times New Roman" w:hAnsi="Times New Roman" w:cs="Times New Roman"/>
          <w:noProof/>
          <w:sz w:val="24"/>
          <w:szCs w:val="24"/>
        </w:rPr>
        <w:t>(Horner &amp; Ivacko, 2017)</w:t>
      </w:r>
      <w:r w:rsidR="0070014F">
        <w:rPr>
          <w:rFonts w:ascii="Times New Roman" w:eastAsia="Times New Roman" w:hAnsi="Times New Roman" w:cs="Times New Roman"/>
          <w:sz w:val="24"/>
          <w:szCs w:val="24"/>
        </w:rPr>
        <w:fldChar w:fldCharType="end"/>
      </w:r>
      <w:r w:rsidR="0070014F">
        <w:rPr>
          <w:rFonts w:ascii="Times New Roman" w:eastAsia="Times New Roman" w:hAnsi="Times New Roman" w:cs="Times New Roman"/>
          <w:sz w:val="24"/>
          <w:szCs w:val="24"/>
        </w:rPr>
        <w:t>.</w:t>
      </w:r>
    </w:p>
    <w:p w14:paraId="629DC90D" w14:textId="77777777" w:rsidR="00AB5A8B" w:rsidRPr="004706BA" w:rsidRDefault="00AB5A8B" w:rsidP="004706BA">
      <w:pPr>
        <w:spacing w:after="0" w:line="480" w:lineRule="auto"/>
        <w:jc w:val="both"/>
        <w:rPr>
          <w:rFonts w:ascii="Times New Roman" w:eastAsia="Times New Roman" w:hAnsi="Times New Roman" w:cs="Times New Roman"/>
          <w:sz w:val="24"/>
          <w:szCs w:val="24"/>
        </w:rPr>
      </w:pPr>
    </w:p>
    <w:p w14:paraId="5A36D216" w14:textId="77777777" w:rsidR="00D97CEF" w:rsidRPr="00D97CEF" w:rsidRDefault="00D97CEF" w:rsidP="00D97CEF">
      <w:pPr>
        <w:spacing w:after="0" w:line="480" w:lineRule="auto"/>
        <w:jc w:val="both"/>
        <w:rPr>
          <w:rFonts w:ascii="Times New Roman" w:eastAsia="Times New Roman" w:hAnsi="Times New Roman" w:cs="Times New Roman"/>
          <w:sz w:val="24"/>
          <w:szCs w:val="24"/>
        </w:rPr>
      </w:pPr>
    </w:p>
    <w:p w14:paraId="04267215" w14:textId="77777777" w:rsidR="00D97CEF" w:rsidRPr="007671C9" w:rsidRDefault="00D97CEF" w:rsidP="00D97CEF">
      <w:pPr>
        <w:spacing w:line="480" w:lineRule="auto"/>
        <w:jc w:val="both"/>
        <w:rPr>
          <w:rFonts w:ascii="Times New Roman" w:eastAsia="Times New Roman" w:hAnsi="Times New Roman" w:cs="Times New Roman"/>
          <w:sz w:val="24"/>
          <w:szCs w:val="24"/>
        </w:rPr>
      </w:pPr>
    </w:p>
    <w:p w14:paraId="51F34C2C" w14:textId="77777777" w:rsidR="00663A76" w:rsidRDefault="00663A76" w:rsidP="00B17C23">
      <w:pPr>
        <w:spacing w:line="480" w:lineRule="auto"/>
        <w:jc w:val="both"/>
        <w:rPr>
          <w:rFonts w:ascii="Times New Roman" w:hAnsi="Times New Roman" w:cs="Times New Roman"/>
          <w:sz w:val="24"/>
          <w:szCs w:val="24"/>
        </w:rPr>
      </w:pPr>
    </w:p>
    <w:p w14:paraId="7DBE04D4" w14:textId="77777777" w:rsidR="00663A76" w:rsidRDefault="00663A76" w:rsidP="00B17C23">
      <w:pPr>
        <w:spacing w:line="480" w:lineRule="auto"/>
        <w:jc w:val="both"/>
        <w:rPr>
          <w:rFonts w:ascii="Times New Roman" w:hAnsi="Times New Roman" w:cs="Times New Roman"/>
          <w:sz w:val="24"/>
          <w:szCs w:val="24"/>
        </w:rPr>
      </w:pPr>
    </w:p>
    <w:p w14:paraId="7DCC38D7" w14:textId="77777777" w:rsidR="0070014F" w:rsidRDefault="0070014F" w:rsidP="0070014F">
      <w:pPr>
        <w:pStyle w:val="EndNoteBibliography"/>
        <w:ind w:left="720" w:hanging="720"/>
        <w:rPr>
          <w:rFonts w:ascii="Times New Roman" w:hAnsi="Times New Roman" w:cs="Times New Roman"/>
          <w:sz w:val="24"/>
          <w:szCs w:val="24"/>
        </w:rPr>
      </w:pPr>
    </w:p>
    <w:p w14:paraId="1EAD8BD0" w14:textId="77777777" w:rsidR="0070014F" w:rsidRDefault="0070014F" w:rsidP="0070014F">
      <w:pPr>
        <w:pStyle w:val="EndNoteBibliography"/>
        <w:ind w:left="720" w:hanging="720"/>
        <w:rPr>
          <w:rFonts w:ascii="Times New Roman" w:hAnsi="Times New Roman" w:cs="Times New Roman"/>
          <w:sz w:val="24"/>
          <w:szCs w:val="24"/>
        </w:rPr>
      </w:pPr>
    </w:p>
    <w:p w14:paraId="02D98036" w14:textId="77777777" w:rsidR="0070014F" w:rsidRDefault="0070014F" w:rsidP="0070014F">
      <w:pPr>
        <w:pStyle w:val="EndNoteBibliography"/>
        <w:ind w:left="720" w:hanging="720"/>
        <w:rPr>
          <w:rFonts w:ascii="Times New Roman" w:hAnsi="Times New Roman" w:cs="Times New Roman"/>
          <w:sz w:val="24"/>
          <w:szCs w:val="24"/>
        </w:rPr>
      </w:pPr>
    </w:p>
    <w:p w14:paraId="6D183C54" w14:textId="77777777" w:rsidR="0070014F" w:rsidRDefault="0070014F" w:rsidP="0070014F">
      <w:pPr>
        <w:pStyle w:val="EndNoteBibliography"/>
        <w:ind w:left="720" w:hanging="720"/>
        <w:rPr>
          <w:rFonts w:ascii="Times New Roman" w:hAnsi="Times New Roman" w:cs="Times New Roman"/>
          <w:sz w:val="24"/>
          <w:szCs w:val="24"/>
        </w:rPr>
      </w:pPr>
    </w:p>
    <w:p w14:paraId="55CF62DE" w14:textId="77777777" w:rsidR="0070014F" w:rsidRDefault="0070014F" w:rsidP="0070014F">
      <w:pPr>
        <w:pStyle w:val="EndNoteBibliography"/>
        <w:ind w:left="720" w:hanging="720"/>
        <w:rPr>
          <w:rFonts w:ascii="Times New Roman" w:hAnsi="Times New Roman" w:cs="Times New Roman"/>
          <w:sz w:val="24"/>
          <w:szCs w:val="24"/>
        </w:rPr>
      </w:pPr>
    </w:p>
    <w:p w14:paraId="1010D543" w14:textId="77777777" w:rsidR="0070014F" w:rsidRDefault="0070014F" w:rsidP="0070014F">
      <w:pPr>
        <w:pStyle w:val="EndNoteBibliography"/>
        <w:ind w:left="720" w:hanging="720"/>
        <w:rPr>
          <w:rFonts w:ascii="Times New Roman" w:hAnsi="Times New Roman" w:cs="Times New Roman"/>
          <w:sz w:val="24"/>
          <w:szCs w:val="24"/>
        </w:rPr>
      </w:pPr>
    </w:p>
    <w:p w14:paraId="70D2336B" w14:textId="77777777" w:rsidR="0070014F" w:rsidRDefault="0070014F" w:rsidP="0070014F">
      <w:pPr>
        <w:pStyle w:val="EndNoteBibliography"/>
        <w:ind w:left="720" w:hanging="720"/>
        <w:rPr>
          <w:rFonts w:ascii="Times New Roman" w:hAnsi="Times New Roman" w:cs="Times New Roman"/>
          <w:sz w:val="24"/>
          <w:szCs w:val="24"/>
        </w:rPr>
      </w:pPr>
    </w:p>
    <w:p w14:paraId="4B0B8608" w14:textId="77777777" w:rsidR="0070014F" w:rsidRDefault="0070014F" w:rsidP="0070014F">
      <w:pPr>
        <w:pStyle w:val="EndNoteBibliography"/>
        <w:ind w:left="720" w:hanging="720"/>
        <w:rPr>
          <w:rFonts w:ascii="Times New Roman" w:hAnsi="Times New Roman" w:cs="Times New Roman"/>
          <w:sz w:val="24"/>
          <w:szCs w:val="24"/>
        </w:rPr>
      </w:pPr>
    </w:p>
    <w:p w14:paraId="1421CBFB" w14:textId="77777777" w:rsidR="0070014F" w:rsidRDefault="0070014F" w:rsidP="0070014F">
      <w:pPr>
        <w:pStyle w:val="EndNoteBibliography"/>
        <w:ind w:left="720" w:hanging="720"/>
        <w:rPr>
          <w:rFonts w:ascii="Times New Roman" w:hAnsi="Times New Roman" w:cs="Times New Roman"/>
          <w:sz w:val="24"/>
          <w:szCs w:val="24"/>
        </w:rPr>
      </w:pPr>
    </w:p>
    <w:p w14:paraId="6F9B2550" w14:textId="77777777" w:rsidR="0070014F" w:rsidRDefault="0070014F" w:rsidP="0070014F">
      <w:pPr>
        <w:pStyle w:val="EndNoteBibliography"/>
        <w:ind w:left="720" w:hanging="720"/>
        <w:rPr>
          <w:rFonts w:ascii="Times New Roman" w:hAnsi="Times New Roman" w:cs="Times New Roman"/>
          <w:sz w:val="24"/>
          <w:szCs w:val="24"/>
        </w:rPr>
      </w:pPr>
    </w:p>
    <w:p w14:paraId="2DF352B1" w14:textId="77777777" w:rsidR="0070014F" w:rsidRDefault="0070014F" w:rsidP="0070014F">
      <w:pPr>
        <w:pStyle w:val="EndNoteBibliography"/>
        <w:ind w:left="720" w:hanging="720"/>
        <w:rPr>
          <w:rFonts w:ascii="Times New Roman" w:hAnsi="Times New Roman" w:cs="Times New Roman"/>
          <w:sz w:val="24"/>
          <w:szCs w:val="24"/>
        </w:rPr>
      </w:pPr>
    </w:p>
    <w:p w14:paraId="6AB8280A" w14:textId="77777777" w:rsidR="0070014F" w:rsidRDefault="0070014F" w:rsidP="0070014F">
      <w:pPr>
        <w:pStyle w:val="EndNoteBibliography"/>
        <w:ind w:left="720" w:hanging="720"/>
        <w:rPr>
          <w:rFonts w:ascii="Times New Roman" w:hAnsi="Times New Roman" w:cs="Times New Roman"/>
          <w:sz w:val="24"/>
          <w:szCs w:val="24"/>
        </w:rPr>
      </w:pPr>
    </w:p>
    <w:p w14:paraId="35E4FC5F" w14:textId="77777777" w:rsidR="00FF43F5" w:rsidRDefault="00FF43F5" w:rsidP="0070014F">
      <w:pPr>
        <w:pStyle w:val="EndNoteBibliography"/>
        <w:ind w:left="720" w:hanging="720"/>
        <w:jc w:val="center"/>
        <w:rPr>
          <w:rFonts w:ascii="Times New Roman" w:hAnsi="Times New Roman" w:cs="Times New Roman"/>
          <w:sz w:val="24"/>
          <w:szCs w:val="24"/>
        </w:rPr>
      </w:pPr>
    </w:p>
    <w:p w14:paraId="2CB2A234" w14:textId="77777777" w:rsidR="00FF43F5" w:rsidRDefault="00FF43F5" w:rsidP="0070014F">
      <w:pPr>
        <w:pStyle w:val="EndNoteBibliography"/>
        <w:ind w:left="720" w:hanging="720"/>
        <w:jc w:val="center"/>
        <w:rPr>
          <w:rFonts w:ascii="Times New Roman" w:hAnsi="Times New Roman" w:cs="Times New Roman"/>
          <w:sz w:val="24"/>
          <w:szCs w:val="24"/>
        </w:rPr>
      </w:pPr>
    </w:p>
    <w:p w14:paraId="5C0568A0" w14:textId="77777777" w:rsidR="0070014F" w:rsidRDefault="00FF43F5" w:rsidP="0070014F">
      <w:pPr>
        <w:pStyle w:val="EndNoteBibliography"/>
        <w:ind w:left="720" w:hanging="72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568BA3C1" w14:textId="77777777"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fldChar w:fldCharType="begin"/>
      </w:r>
      <w:r w:rsidRPr="0070014F">
        <w:rPr>
          <w:rFonts w:ascii="Times New Roman" w:hAnsi="Times New Roman" w:cs="Times New Roman"/>
          <w:sz w:val="24"/>
          <w:szCs w:val="24"/>
        </w:rPr>
        <w:instrText xml:space="preserve"> ADDIN EN.REFLIST </w:instrText>
      </w:r>
      <w:r w:rsidRPr="0070014F">
        <w:rPr>
          <w:rFonts w:ascii="Times New Roman" w:hAnsi="Times New Roman" w:cs="Times New Roman"/>
          <w:sz w:val="24"/>
          <w:szCs w:val="24"/>
        </w:rPr>
        <w:fldChar w:fldCharType="separate"/>
      </w:r>
      <w:r w:rsidRPr="0070014F">
        <w:rPr>
          <w:rFonts w:ascii="Times New Roman" w:hAnsi="Times New Roman" w:cs="Times New Roman"/>
          <w:sz w:val="24"/>
          <w:szCs w:val="24"/>
        </w:rPr>
        <w:t xml:space="preserve">Anatolyevich, B. P., &amp; Yakovlevna, G. N. (2019). Generalization of the Ramberg–Osgood Model for Elastoplastic Materials. </w:t>
      </w:r>
      <w:r w:rsidRPr="0070014F">
        <w:rPr>
          <w:rFonts w:ascii="Times New Roman" w:hAnsi="Times New Roman" w:cs="Times New Roman"/>
          <w:i/>
          <w:sz w:val="24"/>
          <w:szCs w:val="24"/>
        </w:rPr>
        <w:t>Journal of Materials Engineering and Performance, 28</w:t>
      </w:r>
      <w:r w:rsidRPr="0070014F">
        <w:rPr>
          <w:rFonts w:ascii="Times New Roman" w:hAnsi="Times New Roman" w:cs="Times New Roman"/>
          <w:sz w:val="24"/>
          <w:szCs w:val="24"/>
        </w:rPr>
        <w:t xml:space="preserve">(12), 7342-7346. </w:t>
      </w:r>
    </w:p>
    <w:p w14:paraId="461616F4" w14:textId="77777777" w:rsidR="0070014F" w:rsidRPr="0070014F" w:rsidRDefault="0070014F" w:rsidP="0070014F">
      <w:pPr>
        <w:pStyle w:val="EndNoteBibliography"/>
        <w:spacing w:after="0"/>
        <w:rPr>
          <w:rFonts w:ascii="Times New Roman" w:hAnsi="Times New Roman" w:cs="Times New Roman"/>
          <w:sz w:val="24"/>
          <w:szCs w:val="24"/>
        </w:rPr>
      </w:pPr>
    </w:p>
    <w:p w14:paraId="587B616F" w14:textId="77777777" w:rsidR="0070014F" w:rsidRPr="0070014F" w:rsidRDefault="00FF43F5" w:rsidP="0070014F">
      <w:pPr>
        <w:pStyle w:val="EndNoteBibliography"/>
        <w:ind w:left="720" w:hanging="720"/>
        <w:rPr>
          <w:rFonts w:ascii="Times New Roman" w:hAnsi="Times New Roman" w:cs="Times New Roman"/>
          <w:sz w:val="24"/>
          <w:szCs w:val="24"/>
        </w:rPr>
      </w:pPr>
      <w:r w:rsidRPr="00B34828">
        <w:rPr>
          <w:rFonts w:ascii="Times New Roman" w:hAnsi="Times New Roman" w:cs="Times New Roman"/>
          <w:sz w:val="24"/>
          <w:szCs w:val="24"/>
          <w:lang w:val="de-DE"/>
        </w:rPr>
        <w:t xml:space="preserve">Gillespie, D. J., &amp; Schiffman, R. (2018). </w:t>
      </w:r>
      <w:r w:rsidRPr="0070014F">
        <w:rPr>
          <w:rFonts w:ascii="Times New Roman" w:hAnsi="Times New Roman" w:cs="Times New Roman"/>
          <w:sz w:val="24"/>
          <w:szCs w:val="24"/>
        </w:rPr>
        <w:t xml:space="preserve">A critique of the Shannon-Weaver theory of communication and its implications for nursing. </w:t>
      </w:r>
      <w:r w:rsidRPr="0070014F">
        <w:rPr>
          <w:rFonts w:ascii="Times New Roman" w:hAnsi="Times New Roman" w:cs="Times New Roman"/>
          <w:i/>
          <w:sz w:val="24"/>
          <w:szCs w:val="24"/>
        </w:rPr>
        <w:t>Research and theory for nursing practice, 32</w:t>
      </w:r>
      <w:r w:rsidRPr="0070014F">
        <w:rPr>
          <w:rFonts w:ascii="Times New Roman" w:hAnsi="Times New Roman" w:cs="Times New Roman"/>
          <w:sz w:val="24"/>
          <w:szCs w:val="24"/>
        </w:rPr>
        <w:t xml:space="preserve">(2), 216-225. </w:t>
      </w:r>
    </w:p>
    <w:p w14:paraId="1055D484" w14:textId="77777777" w:rsidR="0070014F" w:rsidRPr="0070014F" w:rsidRDefault="0070014F" w:rsidP="0070014F">
      <w:pPr>
        <w:pStyle w:val="EndNoteBibliography"/>
        <w:spacing w:after="0"/>
        <w:rPr>
          <w:rFonts w:ascii="Times New Roman" w:hAnsi="Times New Roman" w:cs="Times New Roman"/>
          <w:sz w:val="24"/>
          <w:szCs w:val="24"/>
        </w:rPr>
      </w:pPr>
    </w:p>
    <w:p w14:paraId="47C682BA" w14:textId="77777777"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 xml:space="preserve">Hargie, O., Dickson, D., &amp; Tourish, D. (2017). </w:t>
      </w:r>
      <w:r w:rsidRPr="0070014F">
        <w:rPr>
          <w:rFonts w:ascii="Times New Roman" w:hAnsi="Times New Roman" w:cs="Times New Roman"/>
          <w:i/>
          <w:sz w:val="24"/>
          <w:szCs w:val="24"/>
        </w:rPr>
        <w:t>Communication skills for effective management</w:t>
      </w:r>
      <w:r w:rsidRPr="0070014F">
        <w:rPr>
          <w:rFonts w:ascii="Times New Roman" w:hAnsi="Times New Roman" w:cs="Times New Roman"/>
          <w:sz w:val="24"/>
          <w:szCs w:val="24"/>
        </w:rPr>
        <w:t xml:space="preserve">. Macmillan International Higher Education. </w:t>
      </w:r>
    </w:p>
    <w:p w14:paraId="2591EAF2" w14:textId="77777777" w:rsidR="0070014F" w:rsidRPr="0070014F" w:rsidRDefault="0070014F" w:rsidP="0070014F">
      <w:pPr>
        <w:pStyle w:val="EndNoteBibliography"/>
        <w:spacing w:after="0"/>
        <w:rPr>
          <w:rFonts w:ascii="Times New Roman" w:hAnsi="Times New Roman" w:cs="Times New Roman"/>
          <w:sz w:val="24"/>
          <w:szCs w:val="24"/>
        </w:rPr>
      </w:pPr>
    </w:p>
    <w:p w14:paraId="69EF036E" w14:textId="77777777"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 xml:space="preserve">Horner, D., &amp; Ivacko, T. M. (2017). Improving communication, building trust are seen as keys to fixing relationships between local jurisdictions and the State government. </w:t>
      </w:r>
      <w:r w:rsidRPr="0070014F">
        <w:rPr>
          <w:rFonts w:ascii="Times New Roman" w:hAnsi="Times New Roman" w:cs="Times New Roman"/>
          <w:i/>
          <w:sz w:val="24"/>
          <w:szCs w:val="24"/>
        </w:rPr>
        <w:t>Michigan Public Policy Survey May</w:t>
      </w:r>
      <w:r w:rsidRPr="0070014F">
        <w:rPr>
          <w:rFonts w:ascii="Times New Roman" w:hAnsi="Times New Roman" w:cs="Times New Roman"/>
          <w:sz w:val="24"/>
          <w:szCs w:val="24"/>
        </w:rPr>
        <w:t xml:space="preserve">. </w:t>
      </w:r>
    </w:p>
    <w:p w14:paraId="116371AC" w14:textId="77777777" w:rsidR="0070014F" w:rsidRPr="0070014F" w:rsidRDefault="0070014F" w:rsidP="0070014F">
      <w:pPr>
        <w:pStyle w:val="EndNoteBibliography"/>
        <w:spacing w:after="0"/>
        <w:rPr>
          <w:rFonts w:ascii="Times New Roman" w:hAnsi="Times New Roman" w:cs="Times New Roman"/>
          <w:sz w:val="24"/>
          <w:szCs w:val="24"/>
        </w:rPr>
      </w:pPr>
    </w:p>
    <w:p w14:paraId="2F0C9DBD" w14:textId="77777777"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 xml:space="preserve">Macnamara, J. (2018). A review of new evaluation models for strategic communication: Progress and gaps. </w:t>
      </w:r>
      <w:r w:rsidRPr="0070014F">
        <w:rPr>
          <w:rFonts w:ascii="Times New Roman" w:hAnsi="Times New Roman" w:cs="Times New Roman"/>
          <w:i/>
          <w:sz w:val="24"/>
          <w:szCs w:val="24"/>
        </w:rPr>
        <w:t>International Journal of Strategic Communication, 12</w:t>
      </w:r>
      <w:r w:rsidRPr="0070014F">
        <w:rPr>
          <w:rFonts w:ascii="Times New Roman" w:hAnsi="Times New Roman" w:cs="Times New Roman"/>
          <w:sz w:val="24"/>
          <w:szCs w:val="24"/>
        </w:rPr>
        <w:t xml:space="preserve">(2), 180-195. </w:t>
      </w:r>
    </w:p>
    <w:p w14:paraId="120C35BA" w14:textId="77777777" w:rsidR="0070014F" w:rsidRPr="0070014F" w:rsidRDefault="0070014F" w:rsidP="0070014F">
      <w:pPr>
        <w:pStyle w:val="EndNoteBibliography"/>
        <w:spacing w:after="0"/>
        <w:rPr>
          <w:rFonts w:ascii="Times New Roman" w:hAnsi="Times New Roman" w:cs="Times New Roman"/>
          <w:sz w:val="24"/>
          <w:szCs w:val="24"/>
        </w:rPr>
      </w:pPr>
    </w:p>
    <w:p w14:paraId="7975E0C8" w14:textId="77777777" w:rsidR="0070014F" w:rsidRPr="0070014F" w:rsidRDefault="00FF43F5" w:rsidP="0070014F">
      <w:pPr>
        <w:pStyle w:val="EndNoteBibliography"/>
        <w:ind w:left="720" w:hanging="720"/>
        <w:rPr>
          <w:rFonts w:ascii="Times New Roman" w:hAnsi="Times New Roman" w:cs="Times New Roman"/>
          <w:sz w:val="24"/>
          <w:szCs w:val="24"/>
        </w:rPr>
      </w:pPr>
      <w:r w:rsidRPr="0070014F">
        <w:rPr>
          <w:rFonts w:ascii="Times New Roman" w:hAnsi="Times New Roman" w:cs="Times New Roman"/>
          <w:sz w:val="24"/>
          <w:szCs w:val="24"/>
        </w:rPr>
        <w:t>[Record #123 is using a reference type undefined in this output style.]</w:t>
      </w:r>
    </w:p>
    <w:p w14:paraId="3A3D4C0C" w14:textId="77777777" w:rsidR="0070014F" w:rsidRPr="0070014F" w:rsidRDefault="0070014F" w:rsidP="0070014F">
      <w:pPr>
        <w:pStyle w:val="EndNoteBibliography"/>
        <w:spacing w:after="0"/>
        <w:rPr>
          <w:rFonts w:ascii="Times New Roman" w:hAnsi="Times New Roman" w:cs="Times New Roman"/>
          <w:sz w:val="24"/>
          <w:szCs w:val="24"/>
        </w:rPr>
      </w:pPr>
    </w:p>
    <w:p w14:paraId="5C9B37B5" w14:textId="77777777" w:rsidR="0070014F" w:rsidRPr="0070014F" w:rsidRDefault="00FF43F5" w:rsidP="0070014F">
      <w:pPr>
        <w:pStyle w:val="EndNoteBibliography"/>
        <w:ind w:left="720" w:hanging="720"/>
        <w:rPr>
          <w:rFonts w:ascii="Times New Roman" w:hAnsi="Times New Roman" w:cs="Times New Roman"/>
          <w:sz w:val="24"/>
          <w:szCs w:val="24"/>
        </w:rPr>
      </w:pPr>
      <w:r w:rsidRPr="00B34828">
        <w:rPr>
          <w:rFonts w:ascii="Times New Roman" w:hAnsi="Times New Roman" w:cs="Times New Roman"/>
          <w:sz w:val="24"/>
          <w:szCs w:val="24"/>
          <w:lang w:val="de-DE"/>
        </w:rPr>
        <w:t xml:space="preserve">Rahman, I. A., &amp; Gamil, Y. (2019). </w:t>
      </w:r>
      <w:r w:rsidRPr="0070014F">
        <w:rPr>
          <w:rFonts w:ascii="Times New Roman" w:hAnsi="Times New Roman" w:cs="Times New Roman"/>
          <w:sz w:val="24"/>
          <w:szCs w:val="24"/>
        </w:rPr>
        <w:t xml:space="preserve">Assessment of cause and effect factors of poor communication in construction industry. IOP Conference Series: Materials Science and Engineering, </w:t>
      </w:r>
    </w:p>
    <w:p w14:paraId="49B5024E" w14:textId="77777777" w:rsidR="0070014F" w:rsidRPr="0070014F" w:rsidRDefault="0070014F" w:rsidP="0070014F">
      <w:pPr>
        <w:pStyle w:val="EndNoteBibliography"/>
        <w:rPr>
          <w:rFonts w:ascii="Times New Roman" w:hAnsi="Times New Roman" w:cs="Times New Roman"/>
          <w:sz w:val="24"/>
          <w:szCs w:val="24"/>
        </w:rPr>
      </w:pPr>
    </w:p>
    <w:p w14:paraId="40264539" w14:textId="77777777" w:rsidR="00B17C23" w:rsidRPr="00B17C23" w:rsidRDefault="00FF43F5" w:rsidP="00872D77">
      <w:pPr>
        <w:rPr>
          <w:rFonts w:ascii="Times New Roman" w:hAnsi="Times New Roman" w:cs="Times New Roman"/>
          <w:sz w:val="24"/>
          <w:szCs w:val="24"/>
        </w:rPr>
      </w:pPr>
      <w:r w:rsidRPr="0070014F">
        <w:rPr>
          <w:rFonts w:ascii="Times New Roman" w:hAnsi="Times New Roman" w:cs="Times New Roman"/>
          <w:sz w:val="24"/>
          <w:szCs w:val="24"/>
        </w:rPr>
        <w:fldChar w:fldCharType="end"/>
      </w:r>
    </w:p>
    <w:sectPr w:rsidR="00B17C23" w:rsidRPr="00B17C2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2p2wzer7952fsees5yvxsrixrz2es5pt0pr&quot;&gt;My EndNote Library&lt;record-ids&gt;&lt;item&gt;122&lt;/item&gt;&lt;item&gt;123&lt;/item&gt;&lt;item&gt;124&lt;/item&gt;&lt;item&gt;125&lt;/item&gt;&lt;item&gt;126&lt;/item&gt;&lt;item&gt;127&lt;/item&gt;&lt;item&gt;128&lt;/item&gt;&lt;/record-ids&gt;&lt;/item&gt;&lt;/Libraries&gt;"/>
  </w:docVars>
  <w:rsids>
    <w:rsidRoot w:val="00B13931"/>
    <w:rsid w:val="00075F7D"/>
    <w:rsid w:val="000C0F76"/>
    <w:rsid w:val="001F3EB6"/>
    <w:rsid w:val="004706BA"/>
    <w:rsid w:val="00497955"/>
    <w:rsid w:val="00594CCE"/>
    <w:rsid w:val="00663A76"/>
    <w:rsid w:val="0068165C"/>
    <w:rsid w:val="006E4374"/>
    <w:rsid w:val="0070014F"/>
    <w:rsid w:val="007671C9"/>
    <w:rsid w:val="00872D77"/>
    <w:rsid w:val="0092508E"/>
    <w:rsid w:val="00AB5A8B"/>
    <w:rsid w:val="00B13931"/>
    <w:rsid w:val="00B17C23"/>
    <w:rsid w:val="00B34828"/>
    <w:rsid w:val="00D97CEF"/>
    <w:rsid w:val="00FF4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B1021"/>
  <w15:docId w15:val="{CF21E1A8-1584-4FCB-B127-B2ADA34F7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3E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EB6"/>
    <w:rPr>
      <w:rFonts w:ascii="Tahoma" w:hAnsi="Tahoma" w:cs="Tahoma"/>
      <w:sz w:val="16"/>
      <w:szCs w:val="16"/>
    </w:rPr>
  </w:style>
  <w:style w:type="paragraph" w:customStyle="1" w:styleId="EndNoteBibliographyTitle">
    <w:name w:val="EndNote Bibliography Title"/>
    <w:basedOn w:val="Normal"/>
    <w:link w:val="EndNoteBibliographyTitleChar"/>
    <w:rsid w:val="00663A76"/>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663A76"/>
    <w:rPr>
      <w:rFonts w:ascii="Calibri" w:hAnsi="Calibri" w:cs="Calibri"/>
      <w:noProof/>
    </w:rPr>
  </w:style>
  <w:style w:type="paragraph" w:customStyle="1" w:styleId="EndNoteBibliography">
    <w:name w:val="EndNote Bibliography"/>
    <w:basedOn w:val="Normal"/>
    <w:link w:val="EndNoteBibliographyChar"/>
    <w:rsid w:val="00663A76"/>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663A76"/>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3349</Words>
  <Characters>19090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Roxana-Alexandra Popa (2030768)</cp:lastModifiedBy>
  <cp:revision>4</cp:revision>
  <dcterms:created xsi:type="dcterms:W3CDTF">2021-12-15T10:00:00Z</dcterms:created>
  <dcterms:modified xsi:type="dcterms:W3CDTF">2022-01-03T21:57:00Z</dcterms:modified>
</cp:coreProperties>
</file>