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69ED6" w14:textId="027AC401" w:rsidR="00D730D5" w:rsidRDefault="00DE1D3D">
      <w:r>
        <w:t>Kristin Bremer</w:t>
      </w:r>
    </w:p>
    <w:p w14:paraId="45F9E7D0" w14:textId="69776C2F" w:rsidR="00DE1D3D" w:rsidRDefault="00DE1D3D">
      <w:r>
        <w:t>Past Peoples, Present Societies (HPHI 7016)</w:t>
      </w:r>
    </w:p>
    <w:p w14:paraId="257E4900" w14:textId="242C5C6B" w:rsidR="00DE1D3D" w:rsidRDefault="00DE1D3D">
      <w:r>
        <w:t>Assessment 4 – Visual Image Commentary</w:t>
      </w:r>
    </w:p>
    <w:p w14:paraId="54E23575" w14:textId="63F5EBCC" w:rsidR="00DE1D3D" w:rsidRDefault="00DE1D3D">
      <w:r>
        <w:t>12 December 2021</w:t>
      </w:r>
    </w:p>
    <w:p w14:paraId="6C63EB9D" w14:textId="5052E590" w:rsidR="00DE1D3D" w:rsidRDefault="00DE1D3D"/>
    <w:p w14:paraId="173DA526" w14:textId="20E04C34" w:rsidR="00DE1D3D" w:rsidRDefault="00DE1D3D">
      <w:r>
        <w:t>Paris, Louvre Collections MR 340</w:t>
      </w:r>
    </w:p>
    <w:p w14:paraId="57D828C0" w14:textId="12CC456C" w:rsidR="00DE1D3D" w:rsidRDefault="00DE1D3D">
      <w:r>
        <w:t>(</w:t>
      </w:r>
      <w:hyperlink r:id="rId6" w:history="1">
        <w:r w:rsidR="005E3FC2" w:rsidRPr="005B391A">
          <w:rPr>
            <w:rStyle w:val="Hyperlink"/>
          </w:rPr>
          <w:t>https://collections.louvre.fr/en/ark:/53355/cl010096614</w:t>
        </w:r>
      </w:hyperlink>
      <w:r w:rsidR="005E3FC2">
        <w:t>)</w:t>
      </w:r>
    </w:p>
    <w:p w14:paraId="3F58FDF7" w14:textId="419008EA" w:rsidR="005E3FC2" w:rsidRDefault="005E3FC2"/>
    <w:p w14:paraId="4DB2DA30" w14:textId="5E258229" w:rsidR="005E3FC2" w:rsidRDefault="005E3FC2">
      <w:r>
        <w:t xml:space="preserve">Title: Vase </w:t>
      </w:r>
      <w:proofErr w:type="spellStart"/>
      <w:r>
        <w:t>d’Alienor</w:t>
      </w:r>
      <w:proofErr w:type="spellEnd"/>
      <w:r>
        <w:t xml:space="preserve"> (Eleanor Vase)</w:t>
      </w:r>
    </w:p>
    <w:p w14:paraId="5FFF471E" w14:textId="5F583D23" w:rsidR="005E3FC2" w:rsidRDefault="005E3FC2"/>
    <w:p w14:paraId="794522B7" w14:textId="5DFD6BB9" w:rsidR="008C6E90" w:rsidRDefault="005E3FC2" w:rsidP="00BA310D">
      <w:pPr>
        <w:spacing w:line="480" w:lineRule="auto"/>
      </w:pPr>
      <w:r>
        <w:t>This beautiful, unusual, and unique vase has garnered fame not only from its materials and debated origins, but also from its 12</w:t>
      </w:r>
      <w:r w:rsidRPr="005E3FC2">
        <w:rPr>
          <w:vertAlign w:val="superscript"/>
        </w:rPr>
        <w:t>th</w:t>
      </w:r>
      <w:r>
        <w:t xml:space="preserve"> century owners and the historical symbolism.  </w:t>
      </w:r>
      <w:r w:rsidR="00CA3FB3">
        <w:t>The vase is produced from rock crystal and is a hardstone carving.</w:t>
      </w:r>
      <w:r w:rsidR="00CA3FB3">
        <w:rPr>
          <w:rStyle w:val="FootnoteReference"/>
        </w:rPr>
        <w:footnoteReference w:id="1"/>
      </w:r>
      <w:r w:rsidR="00433F11">
        <w:t xml:space="preserve"> The vase is pear-shaped and its design consists of concave circles carved into the rock crystal; these are known as a ‘honeycomb faceting.’</w:t>
      </w:r>
      <w:r w:rsidR="00433F11">
        <w:rPr>
          <w:rStyle w:val="FootnoteReference"/>
        </w:rPr>
        <w:footnoteReference w:id="2"/>
      </w:r>
      <w:r w:rsidR="003F54E8">
        <w:t xml:space="preserve">  Rock crystal </w:t>
      </w:r>
      <w:r w:rsidR="008C6D94">
        <w:t xml:space="preserve">is a type of semi-precious quartz that is desired for its clarity and translucence. </w:t>
      </w:r>
      <w:r w:rsidR="004A0748">
        <w:t xml:space="preserve"> It was thought </w:t>
      </w:r>
      <w:r w:rsidR="00FC0A0A">
        <w:t>in the Middle Ages</w:t>
      </w:r>
      <w:r w:rsidR="004A0748">
        <w:t xml:space="preserve"> that rock crystal was ‘crystallized water.’</w:t>
      </w:r>
      <w:r w:rsidR="004A0748">
        <w:rPr>
          <w:rStyle w:val="FootnoteReference"/>
        </w:rPr>
        <w:footnoteReference w:id="3"/>
      </w:r>
      <w:r w:rsidR="004A0748">
        <w:t xml:space="preserve"> </w:t>
      </w:r>
      <w:r w:rsidR="00DE0455">
        <w:t xml:space="preserve">No rock crystal </w:t>
      </w:r>
      <w:r w:rsidR="00BA310D">
        <w:t>objects were produced</w:t>
      </w:r>
      <w:r w:rsidR="00DE0455">
        <w:t xml:space="preserve"> in Western Europe in the 12</w:t>
      </w:r>
      <w:r w:rsidR="00DE0455" w:rsidRPr="00DE0455">
        <w:rPr>
          <w:vertAlign w:val="superscript"/>
        </w:rPr>
        <w:t>th</w:t>
      </w:r>
      <w:r w:rsidR="00DE0455">
        <w:t xml:space="preserve"> century and thus, this vase migrated from the Muslim East. </w:t>
      </w:r>
      <w:r w:rsidR="008C6D94">
        <w:t xml:space="preserve"> </w:t>
      </w:r>
      <w:r w:rsidR="00DE0455">
        <w:t>In addition to rock crystal objects being in demand, particularly for European royalty, it was treasured for its healing properties.  Beech contends that ‘Christian and Muslim alike, also valued rock crystal for its supernatural healing powers they attributed to it.’</w:t>
      </w:r>
      <w:r w:rsidR="00A05273">
        <w:rPr>
          <w:rStyle w:val="FootnoteReference"/>
        </w:rPr>
        <w:footnoteReference w:id="4"/>
      </w:r>
      <w:r w:rsidR="00A05273">
        <w:t xml:space="preserve"> Interestingly, it is still, today, valued for healing.</w:t>
      </w:r>
    </w:p>
    <w:p w14:paraId="7890D343" w14:textId="50C4FA8D" w:rsidR="0096188D" w:rsidRDefault="00D10BCE" w:rsidP="00BA310D">
      <w:pPr>
        <w:spacing w:line="480" w:lineRule="auto"/>
      </w:pPr>
      <w:r>
        <w:tab/>
        <w:t xml:space="preserve">The vase was altered by Abbot </w:t>
      </w:r>
      <w:proofErr w:type="spellStart"/>
      <w:r>
        <w:t>Sug</w:t>
      </w:r>
      <w:r w:rsidR="00716EAB">
        <w:t>e</w:t>
      </w:r>
      <w:r>
        <w:t>r</w:t>
      </w:r>
      <w:proofErr w:type="spellEnd"/>
      <w:r>
        <w:t xml:space="preserve"> after he received it from Louis VII in 1144.  </w:t>
      </w:r>
      <w:proofErr w:type="spellStart"/>
      <w:r w:rsidR="00C24001">
        <w:t>Suger</w:t>
      </w:r>
      <w:proofErr w:type="spellEnd"/>
      <w:r>
        <w:t xml:space="preserve"> bejeweled both the top and the base</w:t>
      </w:r>
      <w:r w:rsidR="00FC0A0A">
        <w:t xml:space="preserve"> of the vase</w:t>
      </w:r>
      <w:r>
        <w:t xml:space="preserve">. </w:t>
      </w:r>
      <w:r w:rsidR="00B71D69">
        <w:t xml:space="preserve"> The top of the vase shows intricate metal design</w:t>
      </w:r>
      <w:r w:rsidR="0040242E">
        <w:t xml:space="preserve"> ringed by gems.  In addition, on the lower tier of the top there are circular blue enamel </w:t>
      </w:r>
      <w:r w:rsidR="0040242E">
        <w:lastRenderedPageBreak/>
        <w:t>decorations with gold fly-de-</w:t>
      </w:r>
      <w:proofErr w:type="spellStart"/>
      <w:r w:rsidR="0040242E">
        <w:t>lys</w:t>
      </w:r>
      <w:proofErr w:type="spellEnd"/>
      <w:r w:rsidR="0040242E">
        <w:t xml:space="preserve">.  </w:t>
      </w:r>
      <w:r w:rsidR="00F44696">
        <w:t>It is thought that this detail was added to the vase to replace missing gems.</w:t>
      </w:r>
      <w:r w:rsidR="00245837">
        <w:rPr>
          <w:rStyle w:val="FootnoteReference"/>
        </w:rPr>
        <w:footnoteReference w:id="5"/>
      </w:r>
      <w:r w:rsidR="00F44696">
        <w:t xml:space="preserve">  </w:t>
      </w:r>
      <w:r w:rsidR="00D37323">
        <w:t>What is not seen in the Louvre image provided is that the top also has a hinge on its lip, indicating that</w:t>
      </w:r>
      <w:r w:rsidR="0096188D">
        <w:t>,</w:t>
      </w:r>
      <w:r w:rsidR="00D37323">
        <w:t xml:space="preserve"> at one time</w:t>
      </w:r>
      <w:r w:rsidR="0096188D">
        <w:t>,</w:t>
      </w:r>
      <w:r w:rsidR="00D37323">
        <w:t xml:space="preserve"> a cap covered the top.  </w:t>
      </w:r>
      <w:r w:rsidR="0096188D">
        <w:t>A cap demonstrates this could have been a water of wine drinking vessel</w:t>
      </w:r>
      <w:r w:rsidR="00245837">
        <w:t>; however, the vase lacks a spout and a handle</w:t>
      </w:r>
      <w:r w:rsidR="00C24001">
        <w:t xml:space="preserve">.  </w:t>
      </w:r>
      <w:r w:rsidR="0096188D">
        <w:t xml:space="preserve">It is thought that Abbot </w:t>
      </w:r>
      <w:proofErr w:type="spellStart"/>
      <w:r w:rsidR="0096188D">
        <w:t>Sug</w:t>
      </w:r>
      <w:r w:rsidR="00EC05B8">
        <w:t>e</w:t>
      </w:r>
      <w:r w:rsidR="0096188D">
        <w:t>r</w:t>
      </w:r>
      <w:proofErr w:type="spellEnd"/>
      <w:r w:rsidR="0096188D">
        <w:t xml:space="preserve"> may have used this in the celebration of mass.  </w:t>
      </w:r>
      <w:proofErr w:type="spellStart"/>
      <w:r w:rsidR="00D911FD">
        <w:t>Suger</w:t>
      </w:r>
      <w:proofErr w:type="spellEnd"/>
      <w:r w:rsidR="00D911FD">
        <w:t xml:space="preserve"> does not tell us how the vase was used in the mass</w:t>
      </w:r>
      <w:r w:rsidR="00E02677">
        <w:t xml:space="preserve">.  </w:t>
      </w:r>
      <w:r w:rsidR="00457CD8">
        <w:t xml:space="preserve">One clue as to </w:t>
      </w:r>
      <w:proofErr w:type="spellStart"/>
      <w:r w:rsidR="00457CD8">
        <w:t>Suger’s</w:t>
      </w:r>
      <w:proofErr w:type="spellEnd"/>
      <w:r w:rsidR="00457CD8">
        <w:t xml:space="preserve"> use is in his </w:t>
      </w:r>
      <w:r w:rsidR="00457CD8">
        <w:rPr>
          <w:i/>
          <w:iCs/>
        </w:rPr>
        <w:t xml:space="preserve">De </w:t>
      </w:r>
      <w:proofErr w:type="spellStart"/>
      <w:r w:rsidR="00457CD8" w:rsidRPr="00457CD8">
        <w:rPr>
          <w:i/>
          <w:iCs/>
        </w:rPr>
        <w:t>Administratione</w:t>
      </w:r>
      <w:proofErr w:type="spellEnd"/>
      <w:r w:rsidR="00457CD8">
        <w:t>, w</w:t>
      </w:r>
      <w:r w:rsidR="00C24001">
        <w:t>hich</w:t>
      </w:r>
      <w:r w:rsidR="00457CD8">
        <w:t xml:space="preserve"> he refers to the vase as ‘offered most affectionately to the Divine Table for libation’.</w:t>
      </w:r>
      <w:r w:rsidR="00A90726">
        <w:rPr>
          <w:rStyle w:val="FootnoteReference"/>
        </w:rPr>
        <w:footnoteReference w:id="6"/>
      </w:r>
      <w:r w:rsidR="00457CD8">
        <w:t xml:space="preserve">  </w:t>
      </w:r>
      <w:r w:rsidR="00E02677">
        <w:t xml:space="preserve">This reference by </w:t>
      </w:r>
      <w:proofErr w:type="spellStart"/>
      <w:r w:rsidR="00E02677">
        <w:t>Suger</w:t>
      </w:r>
      <w:proofErr w:type="spellEnd"/>
      <w:r w:rsidR="00E02677">
        <w:t xml:space="preserve"> leads one to believe that he would have used it for mass</w:t>
      </w:r>
      <w:r w:rsidR="00621687">
        <w:t>, perhaps as a chalice</w:t>
      </w:r>
      <w:r w:rsidR="00E02677">
        <w:t>.</w:t>
      </w:r>
      <w:r w:rsidR="00C24001">
        <w:t xml:space="preserve">  In addition, </w:t>
      </w:r>
      <w:proofErr w:type="gramStart"/>
      <w:r w:rsidR="00C24001">
        <w:t>It</w:t>
      </w:r>
      <w:proofErr w:type="gramEnd"/>
      <w:r w:rsidR="00C24001">
        <w:t xml:space="preserve"> would make sense that </w:t>
      </w:r>
      <w:proofErr w:type="spellStart"/>
      <w:r w:rsidR="00C24001">
        <w:t>Suger</w:t>
      </w:r>
      <w:proofErr w:type="spellEnd"/>
      <w:r w:rsidR="00C24001">
        <w:t xml:space="preserve"> would use this during mass if he believed that rock crystal contained supernatural healing properties.</w:t>
      </w:r>
      <w:r w:rsidR="00E02677">
        <w:t xml:space="preserve"> </w:t>
      </w:r>
      <w:r w:rsidR="00457CD8">
        <w:t xml:space="preserve"> </w:t>
      </w:r>
      <w:r w:rsidR="00C24001">
        <w:t>However</w:t>
      </w:r>
      <w:r w:rsidR="0096188D">
        <w:t>, S</w:t>
      </w:r>
      <w:proofErr w:type="spellStart"/>
      <w:r w:rsidR="0096188D">
        <w:t>ug</w:t>
      </w:r>
      <w:r w:rsidR="00D911FD">
        <w:t>e</w:t>
      </w:r>
      <w:r w:rsidR="0096188D">
        <w:t>r</w:t>
      </w:r>
      <w:proofErr w:type="spellEnd"/>
      <w:r w:rsidR="0096188D">
        <w:t xml:space="preserve"> refers to this object specifically as a vase.</w:t>
      </w:r>
      <w:r w:rsidR="0096188D">
        <w:rPr>
          <w:rStyle w:val="FootnoteReference"/>
        </w:rPr>
        <w:footnoteReference w:id="7"/>
      </w:r>
      <w:r>
        <w:t xml:space="preserve"> </w:t>
      </w:r>
    </w:p>
    <w:p w14:paraId="0D3936A7" w14:textId="2563DB28" w:rsidR="00D10BCE" w:rsidRDefault="000A700C" w:rsidP="00BA310D">
      <w:pPr>
        <w:spacing w:line="480" w:lineRule="auto"/>
        <w:ind w:firstLine="720"/>
      </w:pPr>
      <w:r>
        <w:t xml:space="preserve">The bottom of the vase is also circled by gems within a metal design.  More importantly, </w:t>
      </w:r>
      <w:proofErr w:type="spellStart"/>
      <w:r w:rsidR="00C24001">
        <w:t>Suger</w:t>
      </w:r>
      <w:proofErr w:type="spellEnd"/>
      <w:r w:rsidR="00D10BCE">
        <w:t xml:space="preserve"> placed an inscription on the base citing its ownership history.</w:t>
      </w:r>
      <w:r>
        <w:t xml:space="preserve">  The image of the base provided shows only part of the inscription.  The full inscription is:</w:t>
      </w:r>
    </w:p>
    <w:p w14:paraId="6683F6B3" w14:textId="6F9C1A39" w:rsidR="000A700C" w:rsidRDefault="000A700C" w:rsidP="0096188D">
      <w:pPr>
        <w:ind w:firstLine="720"/>
      </w:pPr>
    </w:p>
    <w:p w14:paraId="52A6FDCF" w14:textId="44CF4300" w:rsidR="000A700C" w:rsidRDefault="000A700C" w:rsidP="0096188D">
      <w:pPr>
        <w:ind w:firstLine="720"/>
      </w:pPr>
      <w:r>
        <w:t xml:space="preserve">Hoc Vas Sponsa </w:t>
      </w:r>
      <w:proofErr w:type="spellStart"/>
      <w:r>
        <w:t>Dedit</w:t>
      </w:r>
      <w:proofErr w:type="spellEnd"/>
      <w:r>
        <w:t xml:space="preserve"> Anor </w:t>
      </w:r>
      <w:proofErr w:type="spellStart"/>
      <w:r>
        <w:t>Regli</w:t>
      </w:r>
      <w:proofErr w:type="spellEnd"/>
      <w:r>
        <w:t xml:space="preserve"> Ludovico</w:t>
      </w:r>
    </w:p>
    <w:p w14:paraId="5E4A3136" w14:textId="47D81DA6" w:rsidR="000A700C" w:rsidRDefault="000A700C" w:rsidP="0096188D">
      <w:pPr>
        <w:ind w:firstLine="720"/>
      </w:pPr>
      <w:proofErr w:type="spellStart"/>
      <w:r>
        <w:t>Mitadol</w:t>
      </w:r>
      <w:proofErr w:type="spellEnd"/>
      <w:r>
        <w:t>[us] Avo</w:t>
      </w:r>
    </w:p>
    <w:p w14:paraId="48F64338" w14:textId="34842B6B" w:rsidR="000A700C" w:rsidRDefault="000A700C" w:rsidP="0096188D">
      <w:pPr>
        <w:ind w:firstLine="720"/>
      </w:pPr>
      <w:r>
        <w:t>Mihi Rex S[an]C[tis] Q[</w:t>
      </w:r>
      <w:proofErr w:type="spellStart"/>
      <w:r>
        <w:t>ue</w:t>
      </w:r>
      <w:proofErr w:type="spellEnd"/>
      <w:r>
        <w:t xml:space="preserve">] </w:t>
      </w:r>
      <w:proofErr w:type="spellStart"/>
      <w:r w:rsidR="00C24001">
        <w:t>Suger</w:t>
      </w:r>
      <w:proofErr w:type="spellEnd"/>
      <w:r>
        <w:t>[</w:t>
      </w:r>
      <w:proofErr w:type="spellStart"/>
      <w:r>
        <w:t>ius</w:t>
      </w:r>
      <w:proofErr w:type="spellEnd"/>
      <w:r>
        <w:t>]</w:t>
      </w:r>
    </w:p>
    <w:p w14:paraId="16461016" w14:textId="68E75FF6" w:rsidR="008C6E90" w:rsidRDefault="008C6E90"/>
    <w:p w14:paraId="06465689" w14:textId="666F7081" w:rsidR="009071BE" w:rsidRDefault="009071BE" w:rsidP="00BA310D">
      <w:pPr>
        <w:spacing w:line="480" w:lineRule="auto"/>
      </w:pPr>
      <w:r>
        <w:t xml:space="preserve">A common translation for this is ‘As a bride, Eleanor gave this vase to </w:t>
      </w:r>
      <w:r w:rsidR="00716EAB">
        <w:t>K</w:t>
      </w:r>
      <w:r>
        <w:t xml:space="preserve">ing Louis, </w:t>
      </w:r>
      <w:proofErr w:type="spellStart"/>
      <w:r>
        <w:t>Mitadolus</w:t>
      </w:r>
      <w:proofErr w:type="spellEnd"/>
      <w:r>
        <w:t xml:space="preserve"> to her grandfather, the King to me, and </w:t>
      </w:r>
      <w:proofErr w:type="spellStart"/>
      <w:r>
        <w:t>Suger</w:t>
      </w:r>
      <w:proofErr w:type="spellEnd"/>
      <w:r>
        <w:t xml:space="preserve"> to the Saints.’  Thus, </w:t>
      </w:r>
      <w:proofErr w:type="spellStart"/>
      <w:r>
        <w:t>Suger</w:t>
      </w:r>
      <w:proofErr w:type="spellEnd"/>
      <w:r>
        <w:t xml:space="preserve"> lays out the 12</w:t>
      </w:r>
      <w:r w:rsidRPr="009071BE">
        <w:rPr>
          <w:vertAlign w:val="superscript"/>
        </w:rPr>
        <w:t>th</w:t>
      </w:r>
      <w:r>
        <w:t xml:space="preserve"> century ownership.  The lineage of the vase</w:t>
      </w:r>
      <w:r w:rsidR="00621687">
        <w:t>, according to the inscription,</w:t>
      </w:r>
      <w:r>
        <w:t xml:space="preserve"> begins with </w:t>
      </w:r>
      <w:proofErr w:type="spellStart"/>
      <w:r>
        <w:t>Mitadolus</w:t>
      </w:r>
      <w:proofErr w:type="spellEnd"/>
      <w:r>
        <w:t xml:space="preserve"> to </w:t>
      </w:r>
      <w:r>
        <w:lastRenderedPageBreak/>
        <w:t xml:space="preserve">Eleanor’s grandfather Duke William XI or William the </w:t>
      </w:r>
      <w:proofErr w:type="spellStart"/>
      <w:r>
        <w:t>Troubador</w:t>
      </w:r>
      <w:proofErr w:type="spellEnd"/>
      <w:r>
        <w:t xml:space="preserve">.  Scholars have identified </w:t>
      </w:r>
      <w:proofErr w:type="spellStart"/>
      <w:r>
        <w:t>Mitadolus</w:t>
      </w:r>
      <w:proofErr w:type="spellEnd"/>
      <w:r>
        <w:t xml:space="preserve"> as </w:t>
      </w:r>
      <w:r w:rsidR="00D911FD">
        <w:t>Abd al-Malik ibn Hud Imad al-</w:t>
      </w:r>
      <w:proofErr w:type="spellStart"/>
      <w:r w:rsidR="00D911FD">
        <w:t>dawla</w:t>
      </w:r>
      <w:proofErr w:type="spellEnd"/>
      <w:r w:rsidR="00D911FD">
        <w:t xml:space="preserve">, who ‘was the Muslim king of Saragossa in northeastern Spain, the last representative of his </w:t>
      </w:r>
      <w:proofErr w:type="spellStart"/>
      <w:r w:rsidR="00D911FD">
        <w:t>Hudid</w:t>
      </w:r>
      <w:proofErr w:type="spellEnd"/>
      <w:r w:rsidR="00D911FD">
        <w:t xml:space="preserve"> dynasty before the Christian Reconquest.’</w:t>
      </w:r>
      <w:r w:rsidR="00D911FD">
        <w:rPr>
          <w:rStyle w:val="FootnoteReference"/>
        </w:rPr>
        <w:footnoteReference w:id="8"/>
      </w:r>
      <w:r w:rsidR="00532D93">
        <w:t xml:space="preserve"> </w:t>
      </w:r>
      <w:proofErr w:type="spellStart"/>
      <w:r w:rsidR="00532D93">
        <w:t>Mitaldolus</w:t>
      </w:r>
      <w:proofErr w:type="spellEnd"/>
      <w:r w:rsidR="00532D93">
        <w:t xml:space="preserve"> was in alliance with William XI under King Alfonzo of Aragon and fought together in 1120 in a campaign against the North African Almoravids.  This unusual alliance between a Muslim ruler and a Christian Duke was due to the invasion of the Almoravids and </w:t>
      </w:r>
      <w:proofErr w:type="spellStart"/>
      <w:r w:rsidR="00532D93">
        <w:t>Mitadolus</w:t>
      </w:r>
      <w:proofErr w:type="spellEnd"/>
      <w:r w:rsidR="00532D93">
        <w:t xml:space="preserve">’ deposition from power.  </w:t>
      </w:r>
      <w:r w:rsidR="003D67E5">
        <w:t>Aquitaine is in close proximity to the northern Christian kingdoms of Spain: Aragon, Castille, and Leon.  Aquitaine would have had a political interest across the Pyrenees in pushing back any Muslim invaders on the Iberian Peninsula.  The Moors had occupied the peninsula since the initial invasion of 710.  By the early 12</w:t>
      </w:r>
      <w:r w:rsidR="003D67E5" w:rsidRPr="003D67E5">
        <w:rPr>
          <w:vertAlign w:val="superscript"/>
        </w:rPr>
        <w:t>th</w:t>
      </w:r>
      <w:r w:rsidR="003D67E5">
        <w:t xml:space="preserve"> century, we know that Moorish advancements in medicine, engineering, and philosophy were having an impact on the intellectual development of the kingdoms to the north.  It would be reasonable to argue that Islamic culture also had an effect on Aquitaine.  </w:t>
      </w:r>
      <w:r w:rsidR="008A07D7">
        <w:t xml:space="preserve">Cockerill argues that the vase is material evidence of cross-cultural </w:t>
      </w:r>
      <w:r w:rsidR="004A0748">
        <w:t>‘fertilization’</w:t>
      </w:r>
      <w:r w:rsidR="008A07D7">
        <w:t xml:space="preserve"> across the Pyrenees.</w:t>
      </w:r>
      <w:r w:rsidR="004A0748">
        <w:rPr>
          <w:rStyle w:val="FootnoteReference"/>
        </w:rPr>
        <w:footnoteReference w:id="9"/>
      </w:r>
      <w:r w:rsidR="008A07D7">
        <w:t xml:space="preserve"> </w:t>
      </w:r>
      <w:r w:rsidR="004A0748">
        <w:t>This hypothesis of cross-cultural ties is enhanced by the recent arguments that the vase originated in Persia.  Since William XI died in 1120 when Eleanor was just four years old, it is speculated that William XI gave Eleanor the vase as a Christening gift.</w:t>
      </w:r>
      <w:r w:rsidR="008A07D7">
        <w:t xml:space="preserve"> </w:t>
      </w:r>
    </w:p>
    <w:p w14:paraId="572E4F7D" w14:textId="004DCCA4" w:rsidR="005E3FC2" w:rsidRDefault="00C6222C" w:rsidP="00BA310D">
      <w:pPr>
        <w:spacing w:line="480" w:lineRule="auto"/>
        <w:ind w:firstLine="720"/>
      </w:pPr>
      <w:r>
        <w:t>The vase was a wedding gift from Eleanor of Aquitaine to Louis VII of France.  The wedding occurred on 25 July 1137 in the Cathedral of St. Andre.</w:t>
      </w:r>
      <w:r>
        <w:rPr>
          <w:rStyle w:val="FootnoteReference"/>
        </w:rPr>
        <w:footnoteReference w:id="10"/>
      </w:r>
      <w:r>
        <w:t xml:space="preserve">  The fact that Eleanor </w:t>
      </w:r>
      <w:r w:rsidR="007042D4">
        <w:t>chooses</w:t>
      </w:r>
      <w:r>
        <w:t xml:space="preserve"> this vase as a wedding gift demonstrates the value that she herself placed upon it.  </w:t>
      </w:r>
      <w:r w:rsidR="005F0455">
        <w:t xml:space="preserve">The union of </w:t>
      </w:r>
      <w:r w:rsidR="005F0455">
        <w:lastRenderedPageBreak/>
        <w:t>Eleanor and Louis marked the merging of the territories of France with that of Poitier and Aquitaine, greatly enlarging the holdings of France.</w:t>
      </w:r>
      <w:r w:rsidR="00A47186">
        <w:t xml:space="preserve">  Initially, in the marriage, it appears that Eleanor played a role in influencing Louis VII personally and politically.  </w:t>
      </w:r>
      <w:proofErr w:type="spellStart"/>
      <w:r w:rsidR="00A47186">
        <w:t>Suger</w:t>
      </w:r>
      <w:proofErr w:type="spellEnd"/>
      <w:r w:rsidR="00A47186">
        <w:t xml:space="preserve"> was the prime advisor to the French King’s father Louis VI as well as Louis VII when he came to power in 1137.  </w:t>
      </w:r>
      <w:r w:rsidR="00716EAB">
        <w:t xml:space="preserve">By 1144, it seems that the marriage was strained.  </w:t>
      </w:r>
      <w:r w:rsidR="009C346A">
        <w:t xml:space="preserve">The strain was due to a lack of an heir and an ongoing dispute among the Church, Theobald of Blois, and Louis.  Three years earlier in 1141, Raoul de </w:t>
      </w:r>
      <w:proofErr w:type="spellStart"/>
      <w:r w:rsidR="009C346A">
        <w:t>Vermandois</w:t>
      </w:r>
      <w:proofErr w:type="spellEnd"/>
      <w:r w:rsidR="009C346A">
        <w:t xml:space="preserve">, the husband of Theobald’s sister </w:t>
      </w:r>
      <w:proofErr w:type="spellStart"/>
      <w:r w:rsidR="009C346A">
        <w:t>Eleanore</w:t>
      </w:r>
      <w:proofErr w:type="spellEnd"/>
      <w:r w:rsidR="009C346A">
        <w:t xml:space="preserve">, took up an affair with Eleanor’s sister </w:t>
      </w:r>
      <w:proofErr w:type="spellStart"/>
      <w:r w:rsidR="009C346A">
        <w:t>Aelis</w:t>
      </w:r>
      <w:proofErr w:type="spellEnd"/>
      <w:r w:rsidR="009C346A">
        <w:t xml:space="preserve">.  Raoul and </w:t>
      </w:r>
      <w:proofErr w:type="spellStart"/>
      <w:r w:rsidR="009C346A">
        <w:t>Aelis</w:t>
      </w:r>
      <w:proofErr w:type="spellEnd"/>
      <w:r w:rsidR="009C346A">
        <w:t xml:space="preserve"> refused to separate and sought an annulment to Raoul’s marriage.  This was obtained on the grounds of consanguinity and</w:t>
      </w:r>
      <w:r w:rsidR="00DF73B1">
        <w:t xml:space="preserve"> they were married;</w:t>
      </w:r>
      <w:r w:rsidR="009C346A">
        <w:t xml:space="preserve"> Theobald was duly insulted.</w:t>
      </w:r>
      <w:r w:rsidR="00DF73B1">
        <w:t xml:space="preserve">  Theobald appealed to Rome for a reexamination of the annulment and the first marriage was deemed legal.  Louis and Eleanor supported Raoul and </w:t>
      </w:r>
      <w:proofErr w:type="spellStart"/>
      <w:r w:rsidR="00DF73B1">
        <w:t>Aelis</w:t>
      </w:r>
      <w:proofErr w:type="spellEnd"/>
      <w:r w:rsidR="00DF73B1">
        <w:t xml:space="preserve">.  The papacy excommunicated Raoul, </w:t>
      </w:r>
      <w:proofErr w:type="spellStart"/>
      <w:r w:rsidR="00DF73B1">
        <w:t>Aelis</w:t>
      </w:r>
      <w:proofErr w:type="spellEnd"/>
      <w:r w:rsidR="00DF73B1">
        <w:t xml:space="preserve">, and Louis.  </w:t>
      </w:r>
      <w:r w:rsidR="00861950">
        <w:t>Following the death of Pope Innocent in 1143, Pope Celestine II sought peace among the Church, Louis, and Theobald.  Part of the peace agreement was the lifting of the excommunication of Louis</w:t>
      </w:r>
      <w:r w:rsidR="001E4EBA">
        <w:t>.</w:t>
      </w:r>
      <w:r w:rsidR="00621687">
        <w:rPr>
          <w:rStyle w:val="FootnoteReference"/>
        </w:rPr>
        <w:footnoteReference w:id="11"/>
      </w:r>
      <w:r w:rsidR="001E4EBA">
        <w:t xml:space="preserve">  As part of the commemoration ceremony of the this brokered peace agreement, Louis gave the vase to Abbott </w:t>
      </w:r>
      <w:proofErr w:type="spellStart"/>
      <w:r w:rsidR="001E4EBA">
        <w:t>Suger</w:t>
      </w:r>
      <w:proofErr w:type="spellEnd"/>
      <w:r w:rsidR="001E4EBA">
        <w:t xml:space="preserve"> for his collection of treasures in Saint Denis.  We have no knowledge of how Eleanor felt about this regifting of this precious vase.  Some scholars have speculated that this would have been upsetting to Eleanor, while others argue that she would have thought it an appropriate gift for the Church.</w:t>
      </w:r>
      <w:r w:rsidR="00100A82">
        <w:rPr>
          <w:rStyle w:val="FootnoteReference"/>
        </w:rPr>
        <w:footnoteReference w:id="12"/>
      </w:r>
      <w:r w:rsidR="001E4EBA">
        <w:t xml:space="preserve"> We do know that the marriage was </w:t>
      </w:r>
      <w:r w:rsidR="00EC05B8">
        <w:t xml:space="preserve">not a happy one </w:t>
      </w:r>
      <w:r w:rsidR="001E4EBA">
        <w:t xml:space="preserve">and that Eleanor and Louis do not obtain a dissolution of their marriage until after the death of </w:t>
      </w:r>
      <w:proofErr w:type="spellStart"/>
      <w:r w:rsidR="001E4EBA">
        <w:t>Suger</w:t>
      </w:r>
      <w:proofErr w:type="spellEnd"/>
      <w:r w:rsidR="001E4EBA">
        <w:t xml:space="preserve"> in 1151.  The vase can thus simultaneously symbolize the importance and value of Eleanor’s wedding to Louis when she </w:t>
      </w:r>
      <w:r w:rsidR="001E4EBA">
        <w:lastRenderedPageBreak/>
        <w:t xml:space="preserve">gifted it to Louis as well as the unhappiness of the couple when </w:t>
      </w:r>
      <w:r w:rsidR="00EC05B8">
        <w:t xml:space="preserve">Louis </w:t>
      </w:r>
      <w:r w:rsidR="001E4EBA">
        <w:t xml:space="preserve">gifted </w:t>
      </w:r>
      <w:r w:rsidR="00EC05B8">
        <w:t xml:space="preserve">it </w:t>
      </w:r>
      <w:r w:rsidR="001E4EBA">
        <w:t xml:space="preserve">to </w:t>
      </w:r>
      <w:proofErr w:type="spellStart"/>
      <w:r w:rsidR="001E4EBA">
        <w:t>Suger</w:t>
      </w:r>
      <w:proofErr w:type="spellEnd"/>
      <w:r w:rsidR="001E4EBA">
        <w:t xml:space="preserve">.  </w:t>
      </w:r>
      <w:r w:rsidR="000B51B2">
        <w:t>One can argue this vase would have had deep meaning for Eleanor.</w:t>
      </w:r>
    </w:p>
    <w:p w14:paraId="46BAC64E" w14:textId="61728D94" w:rsidR="00C6338A" w:rsidRDefault="00C6338A" w:rsidP="00BA310D">
      <w:pPr>
        <w:spacing w:line="480" w:lineRule="auto"/>
        <w:ind w:firstLine="720"/>
      </w:pPr>
      <w:proofErr w:type="spellStart"/>
      <w:r>
        <w:t>Suger’s</w:t>
      </w:r>
      <w:proofErr w:type="spellEnd"/>
      <w:r>
        <w:t xml:space="preserve"> inscription </w:t>
      </w:r>
      <w:r w:rsidR="00EC05B8">
        <w:t>is invaluable in the history of the 12</w:t>
      </w:r>
      <w:r w:rsidR="00EC05B8" w:rsidRPr="00EC05B8">
        <w:rPr>
          <w:vertAlign w:val="superscript"/>
        </w:rPr>
        <w:t>th</w:t>
      </w:r>
      <w:r w:rsidR="00EC05B8">
        <w:t xml:space="preserve"> century; however, it does not give us a clue about how the </w:t>
      </w:r>
      <w:proofErr w:type="spellStart"/>
      <w:r w:rsidR="00EC05B8">
        <w:t>Mitaldolus</w:t>
      </w:r>
      <w:proofErr w:type="spellEnd"/>
      <w:r w:rsidR="00EC05B8">
        <w:t xml:space="preserve"> obtained the vase and the actual origins of it.  So, we know how this vase migrated from Muslim Spain to the southwestern France, but where did it come from?  Recent scholarship, particularly </w:t>
      </w:r>
      <w:r w:rsidR="00BA310D">
        <w:t>George</w:t>
      </w:r>
      <w:r w:rsidR="00EC05B8">
        <w:t xml:space="preserve"> Beech, has asserted that the vase originated from Persia between the 3</w:t>
      </w:r>
      <w:r w:rsidR="00EC05B8" w:rsidRPr="00EC05B8">
        <w:rPr>
          <w:vertAlign w:val="superscript"/>
        </w:rPr>
        <w:t>rd</w:t>
      </w:r>
      <w:r w:rsidR="00EC05B8">
        <w:t xml:space="preserve"> and 7</w:t>
      </w:r>
      <w:r w:rsidR="00EC05B8" w:rsidRPr="00EC05B8">
        <w:rPr>
          <w:vertAlign w:val="superscript"/>
        </w:rPr>
        <w:t>th</w:t>
      </w:r>
      <w:r w:rsidR="00EC05B8">
        <w:t xml:space="preserve"> centuries.  Thus, by the time that William XI received the vase, it was quite old and an antique.  Beech asserts that Art Historians had mistakenly identified the vase as from the Fatimid period (969-1171) from Egypt.</w:t>
      </w:r>
      <w:r w:rsidR="00EC05B8">
        <w:rPr>
          <w:rStyle w:val="FootnoteReference"/>
        </w:rPr>
        <w:footnoteReference w:id="13"/>
      </w:r>
      <w:r w:rsidR="00EC05B8">
        <w:t xml:space="preserve">  Beech contends that </w:t>
      </w:r>
      <w:proofErr w:type="spellStart"/>
      <w:r w:rsidR="00EC05B8">
        <w:t>Lamm</w:t>
      </w:r>
      <w:proofErr w:type="spellEnd"/>
      <w:r w:rsidR="00EC05B8">
        <w:t xml:space="preserve"> had no evidence for his conclusion and rather that this designation was really a hypothesis.  However, the hypothesis itself is not unfounded.  Western Europe did not produce rock crystal objects and Egypt was a primary center of production of objects from this material.  In addition, Persia was also an earlier center of production of these types of vessels under the Sassanian period (249-651).  </w:t>
      </w:r>
      <w:r w:rsidR="006A321D">
        <w:t>Beech examines size, shape, and decoration for clues of its identification.  He argues that size and shape are unhelpful in that the pear-shape vessels were common across time and space.  However, the decoration of the honeycomb faceting was unusual and nonexistent for Fatimid Egypt.  Beech states ‘not one faceted vessel appears to survive from Fatimid Egypt, even though this was the period when Egypt produced its greatest number and highest quality of rock crystal object’.</w:t>
      </w:r>
      <w:r w:rsidR="006A321D">
        <w:rPr>
          <w:rStyle w:val="FootnoteReference"/>
        </w:rPr>
        <w:footnoteReference w:id="14"/>
      </w:r>
      <w:r w:rsidR="006A321D">
        <w:t xml:space="preserve"> However, this honeycomb faceting did exist in the Sass</w:t>
      </w:r>
      <w:r w:rsidR="00946626">
        <w:t>a</w:t>
      </w:r>
      <w:r w:rsidR="006A321D">
        <w:t xml:space="preserve">nian period in Persia.  </w:t>
      </w:r>
      <w:r w:rsidR="006A321D">
        <w:lastRenderedPageBreak/>
        <w:t xml:space="preserve">But, the honeycomb faceting of surviving objects from </w:t>
      </w:r>
      <w:r w:rsidR="00946626">
        <w:t>Persia</w:t>
      </w:r>
      <w:r w:rsidR="006A321D">
        <w:t xml:space="preserve"> are made of glass and not r</w:t>
      </w:r>
      <w:r w:rsidR="00F1151B">
        <w:t>o</w:t>
      </w:r>
      <w:r w:rsidR="006A321D">
        <w:t xml:space="preserve">ck crystal.  </w:t>
      </w:r>
      <w:r w:rsidR="00D90DE1">
        <w:t>Beech writes:</w:t>
      </w:r>
    </w:p>
    <w:p w14:paraId="73AAF27C" w14:textId="00258579" w:rsidR="00D90DE1" w:rsidRDefault="00D90DE1" w:rsidP="008C6E90">
      <w:pPr>
        <w:ind w:firstLine="720"/>
      </w:pPr>
    </w:p>
    <w:p w14:paraId="3A7E2157" w14:textId="431BEAB6" w:rsidR="00D90DE1" w:rsidRDefault="00D90DE1" w:rsidP="00D90DE1">
      <w:r>
        <w:t>No faceted rock crystal vase with which the Eleanor vase may be compared appears to have survived from the Sassanian period; hence, if it comes from Iran at that time, it is the only one of its kind known.</w:t>
      </w:r>
      <w:r>
        <w:rPr>
          <w:rStyle w:val="FootnoteReference"/>
        </w:rPr>
        <w:footnoteReference w:id="15"/>
      </w:r>
      <w:r>
        <w:t xml:space="preserve"> </w:t>
      </w:r>
    </w:p>
    <w:p w14:paraId="21083225" w14:textId="527869BE" w:rsidR="00D90DE1" w:rsidRDefault="00D90DE1" w:rsidP="00D90DE1"/>
    <w:p w14:paraId="707D6F9E" w14:textId="06F368D4" w:rsidR="00D90DE1" w:rsidRDefault="00D90DE1" w:rsidP="00BA310D">
      <w:pPr>
        <w:spacing w:line="480" w:lineRule="auto"/>
      </w:pPr>
      <w:r>
        <w:t>Although no comparable objects exist, Beech goes on to argue that this does not eliminate the vase from this period in that the same techniques were used on glass as well as rock crystal.  It appears that scholars have accepted Beech’s conclusions as the Louvre changed its listing to the Sassanian period.</w:t>
      </w:r>
    </w:p>
    <w:p w14:paraId="430943A3" w14:textId="64954CC8" w:rsidR="00D90DE1" w:rsidRDefault="00D90DE1" w:rsidP="00BA310D">
      <w:pPr>
        <w:spacing w:line="480" w:lineRule="auto"/>
      </w:pPr>
      <w:r>
        <w:tab/>
        <w:t xml:space="preserve">How the vase made its way to the Iberian </w:t>
      </w:r>
      <w:r w:rsidR="00946626">
        <w:t>Peninsula</w:t>
      </w:r>
      <w:r>
        <w:t xml:space="preserve"> and into the hands of King </w:t>
      </w:r>
      <w:proofErr w:type="spellStart"/>
      <w:r>
        <w:t>Mitadolus</w:t>
      </w:r>
      <w:proofErr w:type="spellEnd"/>
      <w:r>
        <w:t xml:space="preserve"> is unknown.  What we do not know is who created the vase, what century it was made, and how it arrived in</w:t>
      </w:r>
      <w:r w:rsidR="002F7280">
        <w:t xml:space="preserve"> the Iberian </w:t>
      </w:r>
      <w:proofErr w:type="spellStart"/>
      <w:r w:rsidR="002F7280">
        <w:t>Penisular</w:t>
      </w:r>
      <w:proofErr w:type="spellEnd"/>
      <w:r>
        <w:t xml:space="preserve">.  It is reasonable to speculated that Moorish Spain had contact with Persia as the Medieval center of Islam. </w:t>
      </w:r>
      <w:r w:rsidR="00844471">
        <w:t xml:space="preserve"> Further research into trade routes may shed light onto this unknown.</w:t>
      </w:r>
    </w:p>
    <w:p w14:paraId="6DB3AD7C" w14:textId="77777777" w:rsidR="00A5794F" w:rsidRDefault="00845F35" w:rsidP="00BA310D">
      <w:pPr>
        <w:spacing w:line="480" w:lineRule="auto"/>
      </w:pPr>
      <w:r>
        <w:tab/>
      </w:r>
      <w:r w:rsidR="007330A9">
        <w:t>From its exotic origins, material, and design to its ownership by 12</w:t>
      </w:r>
      <w:r w:rsidR="007330A9" w:rsidRPr="007330A9">
        <w:rPr>
          <w:vertAlign w:val="superscript"/>
        </w:rPr>
        <w:t>th</w:t>
      </w:r>
      <w:r w:rsidR="007330A9">
        <w:t xml:space="preserve"> century royalty and the Abbot of St-Denis, t</w:t>
      </w:r>
      <w:r w:rsidR="007330A9">
        <w:t>he significance and status of this vase crosses time and space.</w:t>
      </w:r>
      <w:r w:rsidR="007330A9">
        <w:t xml:space="preserve">  </w:t>
      </w:r>
      <w:proofErr w:type="spellStart"/>
      <w:r w:rsidR="007330A9">
        <w:t>Suger</w:t>
      </w:r>
      <w:proofErr w:type="spellEnd"/>
      <w:r w:rsidR="007330A9">
        <w:t xml:space="preserve"> rightly saw it as highly valued by his inclusion of gems and deeming it a ‘museum’ piece in the 12</w:t>
      </w:r>
      <w:r w:rsidR="007330A9" w:rsidRPr="007330A9">
        <w:rPr>
          <w:vertAlign w:val="superscript"/>
        </w:rPr>
        <w:t>th</w:t>
      </w:r>
      <w:r w:rsidR="007330A9">
        <w:t xml:space="preserve"> century.</w:t>
      </w:r>
      <w:r w:rsidR="007330A9">
        <w:t xml:space="preserve">  </w:t>
      </w:r>
      <w:r w:rsidR="007330A9">
        <w:t xml:space="preserve">It provides evidence of craftmanship from the Persian Sassanian period in its </w:t>
      </w:r>
      <w:r w:rsidR="009C097B">
        <w:t>one-of-a-kind</w:t>
      </w:r>
      <w:r w:rsidR="007330A9">
        <w:t xml:space="preserve"> use of rock crystal</w:t>
      </w:r>
      <w:r w:rsidR="009C097B">
        <w:t xml:space="preserve">.  It was fit for royalty and would have been treasured by all who owned it.  Moreover, </w:t>
      </w:r>
      <w:r w:rsidR="002F7280">
        <w:t xml:space="preserve">it demonstrates cross-cultural influences first from Persia to the Iberian Peninsula then from Moorish Spain to France.  It is physical evidence of the migration of objects, art, and culture, again over time and space. </w:t>
      </w:r>
      <w:r w:rsidR="009C097B">
        <w:t xml:space="preserve"> </w:t>
      </w:r>
    </w:p>
    <w:p w14:paraId="67EA4D64" w14:textId="60563921" w:rsidR="00845F35" w:rsidRDefault="00CC66DE" w:rsidP="00A5794F">
      <w:pPr>
        <w:spacing w:line="480" w:lineRule="auto"/>
        <w:ind w:firstLine="720"/>
      </w:pPr>
      <w:r>
        <w:lastRenderedPageBreak/>
        <w:t xml:space="preserve">In addition, it tells us the value that Eleanor placed on the vase.  As a gift to the King of France on her wedding indicates how she must have regarded the beginning of her first marriage.  In addition, the ‘regifting’ of the vase by Louis can be interpreted as an outward sign of the souring of her marriage.  </w:t>
      </w:r>
      <w:r w:rsidR="00946626">
        <w:t xml:space="preserve">Primary sources </w:t>
      </w:r>
      <w:r w:rsidR="00365714">
        <w:t xml:space="preserve">as well as objects owned by Eleanor </w:t>
      </w:r>
      <w:r w:rsidR="00946626">
        <w:t xml:space="preserve">that give us clues about Eleanor are scant.  </w:t>
      </w:r>
      <w:r w:rsidR="00845F35">
        <w:t xml:space="preserve"> </w:t>
      </w:r>
      <w:r w:rsidR="00365714">
        <w:t xml:space="preserve">This precious vase gives us insight into both Eleanor’s upbringing and Aquitaine culture.  Eleanor’s grandfather William was the first of the troubadours and his court, as did Eleanor, valued beauty, music, </w:t>
      </w:r>
      <w:r w:rsidR="00384DA7">
        <w:t xml:space="preserve">and culture. </w:t>
      </w:r>
      <w:r w:rsidR="00365714">
        <w:t xml:space="preserve"> </w:t>
      </w:r>
      <w:r w:rsidR="00946626">
        <w:t>So, this is an important object for anyone investigating Eleanor</w:t>
      </w:r>
      <w:r w:rsidR="00384DA7">
        <w:t xml:space="preserve"> and the difference between the Dukes of Aquitaine and the kingdoms to the north</w:t>
      </w:r>
      <w:r w:rsidR="00946626">
        <w:t>.</w:t>
      </w:r>
      <w:r w:rsidR="00384DA7">
        <w:t xml:space="preserve">  </w:t>
      </w:r>
      <w:r w:rsidR="00946626">
        <w:t xml:space="preserve">  </w:t>
      </w:r>
    </w:p>
    <w:p w14:paraId="78449535" w14:textId="77777777" w:rsidR="00D90DE1" w:rsidRDefault="00D90DE1" w:rsidP="00D90DE1"/>
    <w:sectPr w:rsidR="00D90DE1">
      <w:headerReference w:type="even" r:id="rId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2824A" w14:textId="77777777" w:rsidR="003D60BB" w:rsidRDefault="003D60BB" w:rsidP="00C6222C">
      <w:r>
        <w:separator/>
      </w:r>
    </w:p>
  </w:endnote>
  <w:endnote w:type="continuationSeparator" w:id="0">
    <w:p w14:paraId="66906531" w14:textId="77777777" w:rsidR="003D60BB" w:rsidRDefault="003D60BB" w:rsidP="00C62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DA045" w14:textId="77777777" w:rsidR="003D60BB" w:rsidRDefault="003D60BB" w:rsidP="00C6222C">
      <w:r>
        <w:separator/>
      </w:r>
    </w:p>
  </w:footnote>
  <w:footnote w:type="continuationSeparator" w:id="0">
    <w:p w14:paraId="5DC1ED65" w14:textId="77777777" w:rsidR="003D60BB" w:rsidRDefault="003D60BB" w:rsidP="00C6222C">
      <w:r>
        <w:continuationSeparator/>
      </w:r>
    </w:p>
  </w:footnote>
  <w:footnote w:id="1">
    <w:p w14:paraId="103B7C16" w14:textId="3A7373D0" w:rsidR="00CA3FB3" w:rsidRPr="00CA3FB3" w:rsidRDefault="00CA3FB3">
      <w:pPr>
        <w:pStyle w:val="FootnoteText"/>
        <w:rPr>
          <w:sz w:val="24"/>
          <w:szCs w:val="24"/>
        </w:rPr>
      </w:pPr>
      <w:r>
        <w:rPr>
          <w:rStyle w:val="FootnoteReference"/>
        </w:rPr>
        <w:footnoteRef/>
      </w:r>
      <w:r>
        <w:t xml:space="preserve"> </w:t>
      </w:r>
      <w:r>
        <w:rPr>
          <w:sz w:val="24"/>
          <w:szCs w:val="24"/>
        </w:rPr>
        <w:t xml:space="preserve">The Louvre reports the vase dimensions as: 33.7 cm height and 15.9 cm in maximum diameter. </w:t>
      </w:r>
      <w:r w:rsidR="006E35F2">
        <w:rPr>
          <w:sz w:val="24"/>
          <w:szCs w:val="24"/>
        </w:rPr>
        <w:t>(</w:t>
      </w:r>
      <w:hyperlink r:id="rId1" w:history="1">
        <w:r w:rsidR="006E35F2" w:rsidRPr="005B391A">
          <w:rPr>
            <w:rStyle w:val="Hyperlink"/>
            <w:sz w:val="24"/>
            <w:szCs w:val="24"/>
          </w:rPr>
          <w:t>https://collections.louvre.fr/en/ark:/53355/cl010096614</w:t>
        </w:r>
      </w:hyperlink>
      <w:r w:rsidR="006E35F2">
        <w:rPr>
          <w:sz w:val="24"/>
          <w:szCs w:val="24"/>
        </w:rPr>
        <w:t xml:space="preserve">). </w:t>
      </w:r>
    </w:p>
  </w:footnote>
  <w:footnote w:id="2">
    <w:p w14:paraId="12D30996" w14:textId="19BCB391" w:rsidR="00433F11" w:rsidRPr="00433F11" w:rsidRDefault="00433F11">
      <w:pPr>
        <w:pStyle w:val="FootnoteText"/>
        <w:rPr>
          <w:sz w:val="24"/>
          <w:szCs w:val="24"/>
        </w:rPr>
      </w:pPr>
      <w:r>
        <w:rPr>
          <w:rStyle w:val="FootnoteReference"/>
        </w:rPr>
        <w:footnoteRef/>
      </w:r>
      <w:r>
        <w:t xml:space="preserve"> </w:t>
      </w:r>
      <w:r w:rsidRPr="00433F11">
        <w:rPr>
          <w:sz w:val="24"/>
          <w:szCs w:val="24"/>
        </w:rPr>
        <w:t>George T Beech, ‘</w:t>
      </w:r>
      <w:r>
        <w:rPr>
          <w:sz w:val="24"/>
          <w:szCs w:val="24"/>
        </w:rPr>
        <w:t xml:space="preserve">The Eleanor of Aquitaine Vase: Its Origins and History to the Early Twelfth Century,’ </w:t>
      </w:r>
      <w:r>
        <w:rPr>
          <w:i/>
          <w:iCs/>
          <w:sz w:val="24"/>
          <w:szCs w:val="24"/>
        </w:rPr>
        <w:t xml:space="preserve">Ars </w:t>
      </w:r>
      <w:proofErr w:type="spellStart"/>
      <w:r w:rsidR="00C24001">
        <w:rPr>
          <w:i/>
          <w:iCs/>
          <w:sz w:val="24"/>
          <w:szCs w:val="24"/>
        </w:rPr>
        <w:t>Orientalis</w:t>
      </w:r>
      <w:proofErr w:type="spellEnd"/>
      <w:r w:rsidR="00C24001">
        <w:rPr>
          <w:sz w:val="24"/>
          <w:szCs w:val="24"/>
        </w:rPr>
        <w:t>, 22 (1992),</w:t>
      </w:r>
      <w:r>
        <w:rPr>
          <w:sz w:val="24"/>
          <w:szCs w:val="24"/>
        </w:rPr>
        <w:t xml:space="preserve"> 69-79 </w:t>
      </w:r>
      <w:r w:rsidR="00C24001">
        <w:rPr>
          <w:sz w:val="24"/>
          <w:szCs w:val="24"/>
        </w:rPr>
        <w:t>(</w:t>
      </w:r>
      <w:r>
        <w:rPr>
          <w:sz w:val="24"/>
          <w:szCs w:val="24"/>
        </w:rPr>
        <w:t>p. 72</w:t>
      </w:r>
      <w:r w:rsidR="00C24001">
        <w:rPr>
          <w:sz w:val="24"/>
          <w:szCs w:val="24"/>
        </w:rPr>
        <w:t>)</w:t>
      </w:r>
    </w:p>
  </w:footnote>
  <w:footnote w:id="3">
    <w:p w14:paraId="7DF92ECE" w14:textId="5D649902" w:rsidR="004A0748" w:rsidRDefault="004A0748">
      <w:pPr>
        <w:pStyle w:val="FootnoteText"/>
      </w:pPr>
      <w:r>
        <w:rPr>
          <w:rStyle w:val="FootnoteReference"/>
        </w:rPr>
        <w:footnoteRef/>
      </w:r>
      <w:r>
        <w:t xml:space="preserve"> </w:t>
      </w:r>
      <w:r>
        <w:rPr>
          <w:sz w:val="24"/>
          <w:szCs w:val="24"/>
        </w:rPr>
        <w:t xml:space="preserve">Sara Cockerill, </w:t>
      </w:r>
      <w:r>
        <w:rPr>
          <w:i/>
          <w:iCs/>
          <w:sz w:val="24"/>
          <w:szCs w:val="24"/>
        </w:rPr>
        <w:t>Eleanor of Aquitaine</w:t>
      </w:r>
      <w:r>
        <w:rPr>
          <w:sz w:val="24"/>
          <w:szCs w:val="24"/>
        </w:rPr>
        <w:t>, (Amberley Publishing: Gloucestershire, 2019) p. 61.</w:t>
      </w:r>
    </w:p>
  </w:footnote>
  <w:footnote w:id="4">
    <w:p w14:paraId="38960AB0" w14:textId="5B38CA11" w:rsidR="00A05273" w:rsidRPr="00A05273" w:rsidRDefault="00A05273">
      <w:pPr>
        <w:pStyle w:val="FootnoteText"/>
        <w:rPr>
          <w:sz w:val="24"/>
          <w:szCs w:val="24"/>
        </w:rPr>
      </w:pPr>
      <w:r>
        <w:rPr>
          <w:rStyle w:val="FootnoteReference"/>
        </w:rPr>
        <w:footnoteRef/>
      </w:r>
      <w:r>
        <w:t xml:space="preserve"> </w:t>
      </w:r>
      <w:r w:rsidR="004A0748">
        <w:rPr>
          <w:sz w:val="24"/>
          <w:szCs w:val="24"/>
        </w:rPr>
        <w:t>Beech, “The Eleanor of Aquitaine Vase’,</w:t>
      </w:r>
      <w:r>
        <w:rPr>
          <w:sz w:val="24"/>
          <w:szCs w:val="24"/>
        </w:rPr>
        <w:t xml:space="preserve"> p. 69.</w:t>
      </w:r>
    </w:p>
  </w:footnote>
  <w:footnote w:id="5">
    <w:p w14:paraId="7F5B69B6" w14:textId="1DA388BB" w:rsidR="00245837" w:rsidRPr="00245837" w:rsidRDefault="00245837">
      <w:pPr>
        <w:pStyle w:val="FootnoteText"/>
        <w:rPr>
          <w:sz w:val="24"/>
          <w:szCs w:val="24"/>
        </w:rPr>
      </w:pPr>
      <w:r>
        <w:rPr>
          <w:rStyle w:val="FootnoteReference"/>
        </w:rPr>
        <w:footnoteRef/>
      </w:r>
      <w:r>
        <w:t xml:space="preserve"> </w:t>
      </w:r>
      <w:r>
        <w:rPr>
          <w:sz w:val="24"/>
          <w:szCs w:val="24"/>
        </w:rPr>
        <w:t xml:space="preserve">Martin Conway, </w:t>
      </w:r>
      <w:r>
        <w:rPr>
          <w:i/>
          <w:iCs/>
          <w:sz w:val="24"/>
          <w:szCs w:val="24"/>
        </w:rPr>
        <w:t>Images of Medieval Art and Architecture: The Abbey of Saint-Denis and its Ancient Treasures</w:t>
      </w:r>
      <w:r>
        <w:rPr>
          <w:sz w:val="24"/>
          <w:szCs w:val="24"/>
        </w:rPr>
        <w:t>. (</w:t>
      </w:r>
      <w:r w:rsidRPr="00245837">
        <w:rPr>
          <w:sz w:val="24"/>
          <w:szCs w:val="24"/>
        </w:rPr>
        <w:t>http://www.medart.pitt.edu/texts/Saint-Denis/Conway2.html#ElinoreVase</w:t>
      </w:r>
      <w:r>
        <w:rPr>
          <w:sz w:val="24"/>
          <w:szCs w:val="24"/>
        </w:rPr>
        <w:t>).</w:t>
      </w:r>
    </w:p>
  </w:footnote>
  <w:footnote w:id="6">
    <w:p w14:paraId="1F590C34" w14:textId="016D4BCC" w:rsidR="00A90726" w:rsidRPr="00A90726" w:rsidRDefault="00A90726">
      <w:pPr>
        <w:pStyle w:val="FootnoteText"/>
        <w:rPr>
          <w:sz w:val="24"/>
          <w:szCs w:val="24"/>
        </w:rPr>
      </w:pPr>
      <w:r>
        <w:rPr>
          <w:rStyle w:val="FootnoteReference"/>
        </w:rPr>
        <w:footnoteRef/>
      </w:r>
      <w:r>
        <w:t xml:space="preserve"> </w:t>
      </w:r>
      <w:proofErr w:type="spellStart"/>
      <w:r>
        <w:rPr>
          <w:sz w:val="24"/>
          <w:szCs w:val="24"/>
        </w:rPr>
        <w:t>Goerge</w:t>
      </w:r>
      <w:proofErr w:type="spellEnd"/>
      <w:r>
        <w:rPr>
          <w:sz w:val="24"/>
          <w:szCs w:val="24"/>
        </w:rPr>
        <w:t xml:space="preserve"> Beech, ‘T</w:t>
      </w:r>
      <w:r w:rsidRPr="00A90726">
        <w:rPr>
          <w:sz w:val="24"/>
          <w:szCs w:val="24"/>
        </w:rPr>
        <w:t>he Eleanor of Aquitaine Vase</w:t>
      </w:r>
      <w:r>
        <w:rPr>
          <w:sz w:val="24"/>
          <w:szCs w:val="24"/>
        </w:rPr>
        <w:t xml:space="preserve">’, in </w:t>
      </w:r>
      <w:r>
        <w:rPr>
          <w:i/>
          <w:iCs/>
          <w:sz w:val="24"/>
          <w:szCs w:val="24"/>
        </w:rPr>
        <w:t>Eleanor of Aquitaine: Lord and Lady</w:t>
      </w:r>
      <w:r>
        <w:rPr>
          <w:sz w:val="24"/>
          <w:szCs w:val="24"/>
        </w:rPr>
        <w:t xml:space="preserve">, ed. Bonnie Wheeler and John Carmi Parsons (New York: Palgrave Macmillan, 2002) </w:t>
      </w:r>
      <w:r w:rsidR="00C24001">
        <w:rPr>
          <w:sz w:val="24"/>
          <w:szCs w:val="24"/>
        </w:rPr>
        <w:t>pp. 369-379 (</w:t>
      </w:r>
      <w:r>
        <w:rPr>
          <w:sz w:val="24"/>
          <w:szCs w:val="24"/>
        </w:rPr>
        <w:t>p. 370</w:t>
      </w:r>
      <w:r w:rsidR="00C24001">
        <w:rPr>
          <w:sz w:val="24"/>
          <w:szCs w:val="24"/>
        </w:rPr>
        <w:t>)</w:t>
      </w:r>
      <w:r>
        <w:rPr>
          <w:sz w:val="24"/>
          <w:szCs w:val="24"/>
        </w:rPr>
        <w:t>.</w:t>
      </w:r>
    </w:p>
  </w:footnote>
  <w:footnote w:id="7">
    <w:p w14:paraId="7BC436D2" w14:textId="58506DF9" w:rsidR="0096188D" w:rsidRPr="0096188D" w:rsidRDefault="0096188D">
      <w:pPr>
        <w:pStyle w:val="FootnoteText"/>
        <w:rPr>
          <w:sz w:val="24"/>
          <w:szCs w:val="24"/>
        </w:rPr>
      </w:pPr>
      <w:r>
        <w:rPr>
          <w:rStyle w:val="FootnoteReference"/>
        </w:rPr>
        <w:footnoteRef/>
      </w:r>
      <w:r>
        <w:t xml:space="preserve"> </w:t>
      </w:r>
      <w:r>
        <w:rPr>
          <w:sz w:val="24"/>
          <w:szCs w:val="24"/>
        </w:rPr>
        <w:t>Refer to inscription.</w:t>
      </w:r>
    </w:p>
  </w:footnote>
  <w:footnote w:id="8">
    <w:p w14:paraId="78350760" w14:textId="7EA64C38" w:rsidR="00D911FD" w:rsidRPr="00D911FD" w:rsidRDefault="00D911FD">
      <w:pPr>
        <w:pStyle w:val="FootnoteText"/>
        <w:rPr>
          <w:sz w:val="24"/>
          <w:szCs w:val="24"/>
        </w:rPr>
      </w:pPr>
      <w:r>
        <w:rPr>
          <w:rStyle w:val="FootnoteReference"/>
        </w:rPr>
        <w:footnoteRef/>
      </w:r>
      <w:r>
        <w:t xml:space="preserve"> </w:t>
      </w:r>
      <w:r w:rsidRPr="00433F11">
        <w:rPr>
          <w:sz w:val="24"/>
          <w:szCs w:val="24"/>
        </w:rPr>
        <w:t>George T Beech, ‘</w:t>
      </w:r>
      <w:r>
        <w:rPr>
          <w:sz w:val="24"/>
          <w:szCs w:val="24"/>
        </w:rPr>
        <w:t>The Eleanor of Aquitaine Vase: Its Origins and History to the Early Twelfth Century,’ p. 74</w:t>
      </w:r>
    </w:p>
  </w:footnote>
  <w:footnote w:id="9">
    <w:p w14:paraId="765A2644" w14:textId="0F413766" w:rsidR="004A0748" w:rsidRPr="004A0748" w:rsidRDefault="004A0748">
      <w:pPr>
        <w:pStyle w:val="FootnoteText"/>
        <w:rPr>
          <w:sz w:val="24"/>
          <w:szCs w:val="24"/>
        </w:rPr>
      </w:pPr>
      <w:r>
        <w:rPr>
          <w:rStyle w:val="FootnoteReference"/>
        </w:rPr>
        <w:footnoteRef/>
      </w:r>
      <w:r>
        <w:t xml:space="preserve"> </w:t>
      </w:r>
      <w:r>
        <w:rPr>
          <w:sz w:val="24"/>
          <w:szCs w:val="24"/>
        </w:rPr>
        <w:t xml:space="preserve">Sara Cockerill, </w:t>
      </w:r>
      <w:r>
        <w:rPr>
          <w:i/>
          <w:iCs/>
          <w:sz w:val="24"/>
          <w:szCs w:val="24"/>
        </w:rPr>
        <w:t>Eleanor of Aquitaine</w:t>
      </w:r>
      <w:r>
        <w:rPr>
          <w:sz w:val="24"/>
          <w:szCs w:val="24"/>
        </w:rPr>
        <w:t>, (Amberley Publishing: Gloucestershire, 2019) p. 61.</w:t>
      </w:r>
    </w:p>
  </w:footnote>
  <w:footnote w:id="10">
    <w:p w14:paraId="1E00C1AD" w14:textId="177F0EA4" w:rsidR="00C6222C" w:rsidRPr="00C6222C" w:rsidRDefault="00C6222C">
      <w:pPr>
        <w:pStyle w:val="FootnoteText"/>
        <w:rPr>
          <w:sz w:val="24"/>
          <w:szCs w:val="24"/>
        </w:rPr>
      </w:pPr>
      <w:r>
        <w:rPr>
          <w:rStyle w:val="FootnoteReference"/>
        </w:rPr>
        <w:footnoteRef/>
      </w:r>
      <w:r>
        <w:t xml:space="preserve"> </w:t>
      </w:r>
      <w:r>
        <w:rPr>
          <w:sz w:val="24"/>
          <w:szCs w:val="24"/>
        </w:rPr>
        <w:t>Sara Cockerill</w:t>
      </w:r>
      <w:r w:rsidR="00FD714F">
        <w:rPr>
          <w:sz w:val="24"/>
          <w:szCs w:val="24"/>
        </w:rPr>
        <w:t>,</w:t>
      </w:r>
      <w:r>
        <w:rPr>
          <w:sz w:val="24"/>
          <w:szCs w:val="24"/>
        </w:rPr>
        <w:t xml:space="preserve"> </w:t>
      </w:r>
      <w:r>
        <w:rPr>
          <w:i/>
          <w:iCs/>
          <w:sz w:val="24"/>
          <w:szCs w:val="24"/>
        </w:rPr>
        <w:t xml:space="preserve">Eleanor of </w:t>
      </w:r>
      <w:r w:rsidR="00C24001">
        <w:rPr>
          <w:i/>
          <w:iCs/>
          <w:sz w:val="24"/>
          <w:szCs w:val="24"/>
        </w:rPr>
        <w:t>Aquitaine</w:t>
      </w:r>
      <w:r w:rsidR="00C24001">
        <w:rPr>
          <w:sz w:val="24"/>
          <w:szCs w:val="24"/>
        </w:rPr>
        <w:t>, p.</w:t>
      </w:r>
      <w:r>
        <w:rPr>
          <w:sz w:val="24"/>
          <w:szCs w:val="24"/>
        </w:rPr>
        <w:t xml:space="preserve"> 72.</w:t>
      </w:r>
    </w:p>
  </w:footnote>
  <w:footnote w:id="11">
    <w:p w14:paraId="5981B005" w14:textId="3DE26A0E" w:rsidR="00621687" w:rsidRPr="00621687" w:rsidRDefault="00621687">
      <w:pPr>
        <w:pStyle w:val="FootnoteText"/>
        <w:rPr>
          <w:sz w:val="24"/>
          <w:szCs w:val="24"/>
        </w:rPr>
      </w:pPr>
      <w:r>
        <w:rPr>
          <w:rStyle w:val="FootnoteReference"/>
        </w:rPr>
        <w:footnoteRef/>
      </w:r>
      <w:r>
        <w:t xml:space="preserve"> </w:t>
      </w:r>
      <w:r>
        <w:rPr>
          <w:sz w:val="24"/>
          <w:szCs w:val="24"/>
        </w:rPr>
        <w:t xml:space="preserve">Ralph Turner, </w:t>
      </w:r>
      <w:r>
        <w:rPr>
          <w:i/>
          <w:iCs/>
          <w:sz w:val="24"/>
          <w:szCs w:val="24"/>
        </w:rPr>
        <w:t>Eleanor of Aquitaine</w:t>
      </w:r>
      <w:r>
        <w:rPr>
          <w:sz w:val="24"/>
          <w:szCs w:val="24"/>
        </w:rPr>
        <w:t>, (New Haven: Yale University Press, 2009) pp. 62-69.</w:t>
      </w:r>
    </w:p>
  </w:footnote>
  <w:footnote w:id="12">
    <w:p w14:paraId="03ABEB92" w14:textId="0388BE64" w:rsidR="00100A82" w:rsidRPr="000B51B2" w:rsidRDefault="00100A82">
      <w:pPr>
        <w:pStyle w:val="FootnoteText"/>
        <w:rPr>
          <w:sz w:val="24"/>
          <w:szCs w:val="24"/>
        </w:rPr>
      </w:pPr>
      <w:r>
        <w:rPr>
          <w:rStyle w:val="FootnoteReference"/>
        </w:rPr>
        <w:footnoteRef/>
      </w:r>
      <w:r>
        <w:t xml:space="preserve"> </w:t>
      </w:r>
      <w:r>
        <w:rPr>
          <w:sz w:val="24"/>
          <w:szCs w:val="24"/>
        </w:rPr>
        <w:t xml:space="preserve">Ibid, p. </w:t>
      </w:r>
      <w:r w:rsidR="000B51B2">
        <w:rPr>
          <w:sz w:val="24"/>
          <w:szCs w:val="24"/>
        </w:rPr>
        <w:t xml:space="preserve">68 and Sara Cockerill, </w:t>
      </w:r>
      <w:r w:rsidR="000B51B2">
        <w:rPr>
          <w:i/>
          <w:iCs/>
          <w:sz w:val="24"/>
          <w:szCs w:val="24"/>
        </w:rPr>
        <w:t>Eleanor of Aquitaine</w:t>
      </w:r>
      <w:r w:rsidR="000B51B2">
        <w:rPr>
          <w:sz w:val="24"/>
          <w:szCs w:val="24"/>
        </w:rPr>
        <w:t>, p. 108</w:t>
      </w:r>
    </w:p>
  </w:footnote>
  <w:footnote w:id="13">
    <w:p w14:paraId="40D77CD1" w14:textId="73B87838" w:rsidR="00EC05B8" w:rsidRPr="00EC05B8" w:rsidRDefault="00EC05B8">
      <w:pPr>
        <w:pStyle w:val="FootnoteText"/>
        <w:rPr>
          <w:sz w:val="24"/>
          <w:szCs w:val="24"/>
        </w:rPr>
      </w:pPr>
      <w:r>
        <w:rPr>
          <w:rStyle w:val="FootnoteReference"/>
        </w:rPr>
        <w:footnoteRef/>
      </w:r>
      <w:r>
        <w:t xml:space="preserve"> </w:t>
      </w:r>
      <w:r>
        <w:rPr>
          <w:sz w:val="24"/>
          <w:szCs w:val="24"/>
        </w:rPr>
        <w:t xml:space="preserve">George Beech, ‘The Eleanor of Aquitaine Vase’, p 69-71.  Beech cites the influence of Art Historians C.J </w:t>
      </w:r>
      <w:proofErr w:type="spellStart"/>
      <w:r>
        <w:rPr>
          <w:sz w:val="24"/>
          <w:szCs w:val="24"/>
        </w:rPr>
        <w:t>Lamm</w:t>
      </w:r>
      <w:proofErr w:type="spellEnd"/>
      <w:r>
        <w:rPr>
          <w:sz w:val="24"/>
          <w:szCs w:val="24"/>
        </w:rPr>
        <w:t xml:space="preserve"> (1930) and Peter </w:t>
      </w:r>
      <w:proofErr w:type="spellStart"/>
      <w:r>
        <w:rPr>
          <w:sz w:val="24"/>
          <w:szCs w:val="24"/>
        </w:rPr>
        <w:t>Lasko</w:t>
      </w:r>
      <w:proofErr w:type="spellEnd"/>
      <w:r>
        <w:rPr>
          <w:sz w:val="24"/>
          <w:szCs w:val="24"/>
        </w:rPr>
        <w:t xml:space="preserve"> (1972) in arguing the vase originated with the Fatimid.  </w:t>
      </w:r>
    </w:p>
  </w:footnote>
  <w:footnote w:id="14">
    <w:p w14:paraId="63BC8FCF" w14:textId="366F3477" w:rsidR="006A321D" w:rsidRPr="006A321D" w:rsidRDefault="006A321D">
      <w:pPr>
        <w:pStyle w:val="FootnoteText"/>
        <w:rPr>
          <w:sz w:val="24"/>
          <w:szCs w:val="24"/>
        </w:rPr>
      </w:pPr>
      <w:r>
        <w:rPr>
          <w:rStyle w:val="FootnoteReference"/>
        </w:rPr>
        <w:footnoteRef/>
      </w:r>
      <w:r>
        <w:t xml:space="preserve"> </w:t>
      </w:r>
      <w:r>
        <w:rPr>
          <w:sz w:val="24"/>
          <w:szCs w:val="24"/>
        </w:rPr>
        <w:t>Beech, p.72.</w:t>
      </w:r>
    </w:p>
  </w:footnote>
  <w:footnote w:id="15">
    <w:p w14:paraId="1E173454" w14:textId="7A0F96DF" w:rsidR="00D90DE1" w:rsidRPr="00D90DE1" w:rsidRDefault="00D90DE1">
      <w:pPr>
        <w:pStyle w:val="FootnoteText"/>
        <w:rPr>
          <w:sz w:val="24"/>
          <w:szCs w:val="24"/>
        </w:rPr>
      </w:pPr>
      <w:r>
        <w:rPr>
          <w:rStyle w:val="FootnoteReference"/>
        </w:rPr>
        <w:footnoteRef/>
      </w:r>
      <w:r>
        <w:t xml:space="preserve"> </w:t>
      </w:r>
      <w:r>
        <w:rPr>
          <w:sz w:val="24"/>
          <w:szCs w:val="24"/>
        </w:rPr>
        <w:t>Ibid, p. 72.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6787011"/>
      <w:docPartObj>
        <w:docPartGallery w:val="Page Numbers (Top of Page)"/>
        <w:docPartUnique/>
      </w:docPartObj>
    </w:sdtPr>
    <w:sdtEndPr>
      <w:rPr>
        <w:rStyle w:val="PageNumber"/>
      </w:rPr>
    </w:sdtEndPr>
    <w:sdtContent>
      <w:p w14:paraId="455063D3" w14:textId="38C749DD" w:rsidR="00844471" w:rsidRDefault="00844471" w:rsidP="005B391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4E2E3C" w14:textId="77777777" w:rsidR="00844471" w:rsidRDefault="00844471" w:rsidP="0084447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38193579"/>
      <w:docPartObj>
        <w:docPartGallery w:val="Page Numbers (Top of Page)"/>
        <w:docPartUnique/>
      </w:docPartObj>
    </w:sdtPr>
    <w:sdtEndPr>
      <w:rPr>
        <w:rStyle w:val="PageNumber"/>
      </w:rPr>
    </w:sdtEndPr>
    <w:sdtContent>
      <w:p w14:paraId="35962DB0" w14:textId="172BE490" w:rsidR="00844471" w:rsidRDefault="00844471" w:rsidP="005B391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3976FB" w14:textId="77777777" w:rsidR="00844471" w:rsidRDefault="00844471" w:rsidP="00844471">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D3D"/>
    <w:rsid w:val="000A700C"/>
    <w:rsid w:val="000B51B2"/>
    <w:rsid w:val="00100A82"/>
    <w:rsid w:val="001E4EBA"/>
    <w:rsid w:val="00245837"/>
    <w:rsid w:val="002F7280"/>
    <w:rsid w:val="0032557E"/>
    <w:rsid w:val="00365714"/>
    <w:rsid w:val="00384DA7"/>
    <w:rsid w:val="003D60BB"/>
    <w:rsid w:val="003D67E5"/>
    <w:rsid w:val="003F54E8"/>
    <w:rsid w:val="003F6697"/>
    <w:rsid w:val="00401807"/>
    <w:rsid w:val="0040242E"/>
    <w:rsid w:val="00433F11"/>
    <w:rsid w:val="00457CD8"/>
    <w:rsid w:val="004A0748"/>
    <w:rsid w:val="00532D93"/>
    <w:rsid w:val="005E3FC2"/>
    <w:rsid w:val="005F0455"/>
    <w:rsid w:val="00621687"/>
    <w:rsid w:val="006A321D"/>
    <w:rsid w:val="006E35F2"/>
    <w:rsid w:val="007042D4"/>
    <w:rsid w:val="00716EAB"/>
    <w:rsid w:val="007330A9"/>
    <w:rsid w:val="00844471"/>
    <w:rsid w:val="00845F35"/>
    <w:rsid w:val="00861950"/>
    <w:rsid w:val="008A07D7"/>
    <w:rsid w:val="008C6D94"/>
    <w:rsid w:val="008C6E90"/>
    <w:rsid w:val="009071BE"/>
    <w:rsid w:val="00946626"/>
    <w:rsid w:val="0096188D"/>
    <w:rsid w:val="009C097B"/>
    <w:rsid w:val="009C346A"/>
    <w:rsid w:val="009D21DB"/>
    <w:rsid w:val="00A05273"/>
    <w:rsid w:val="00A47186"/>
    <w:rsid w:val="00A5794F"/>
    <w:rsid w:val="00A90726"/>
    <w:rsid w:val="00B71D69"/>
    <w:rsid w:val="00BA310D"/>
    <w:rsid w:val="00C24001"/>
    <w:rsid w:val="00C6222C"/>
    <w:rsid w:val="00C6338A"/>
    <w:rsid w:val="00CA3FB3"/>
    <w:rsid w:val="00CC66DE"/>
    <w:rsid w:val="00D10BCE"/>
    <w:rsid w:val="00D37323"/>
    <w:rsid w:val="00D730D5"/>
    <w:rsid w:val="00D90DE1"/>
    <w:rsid w:val="00D911FD"/>
    <w:rsid w:val="00DE0455"/>
    <w:rsid w:val="00DE1D3D"/>
    <w:rsid w:val="00DF73B1"/>
    <w:rsid w:val="00E02677"/>
    <w:rsid w:val="00EC05B8"/>
    <w:rsid w:val="00F1151B"/>
    <w:rsid w:val="00F44696"/>
    <w:rsid w:val="00FC0A0A"/>
    <w:rsid w:val="00FD71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4C7879C"/>
  <w15:chartTrackingRefBased/>
  <w15:docId w15:val="{D106B00B-3322-AE43-AC1B-20BFF7BBB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3FC2"/>
    <w:rPr>
      <w:color w:val="0563C1" w:themeColor="hyperlink"/>
      <w:u w:val="single"/>
    </w:rPr>
  </w:style>
  <w:style w:type="character" w:styleId="UnresolvedMention">
    <w:name w:val="Unresolved Mention"/>
    <w:basedOn w:val="DefaultParagraphFont"/>
    <w:uiPriority w:val="99"/>
    <w:semiHidden/>
    <w:unhideWhenUsed/>
    <w:rsid w:val="005E3FC2"/>
    <w:rPr>
      <w:color w:val="605E5C"/>
      <w:shd w:val="clear" w:color="auto" w:fill="E1DFDD"/>
    </w:rPr>
  </w:style>
  <w:style w:type="paragraph" w:styleId="FootnoteText">
    <w:name w:val="footnote text"/>
    <w:basedOn w:val="Normal"/>
    <w:link w:val="FootnoteTextChar"/>
    <w:uiPriority w:val="99"/>
    <w:semiHidden/>
    <w:unhideWhenUsed/>
    <w:rsid w:val="00C6222C"/>
    <w:rPr>
      <w:sz w:val="20"/>
      <w:szCs w:val="20"/>
    </w:rPr>
  </w:style>
  <w:style w:type="character" w:customStyle="1" w:styleId="FootnoteTextChar">
    <w:name w:val="Footnote Text Char"/>
    <w:basedOn w:val="DefaultParagraphFont"/>
    <w:link w:val="FootnoteText"/>
    <w:uiPriority w:val="99"/>
    <w:semiHidden/>
    <w:rsid w:val="00C6222C"/>
    <w:rPr>
      <w:sz w:val="20"/>
      <w:szCs w:val="20"/>
    </w:rPr>
  </w:style>
  <w:style w:type="character" w:styleId="FootnoteReference">
    <w:name w:val="footnote reference"/>
    <w:basedOn w:val="DefaultParagraphFont"/>
    <w:uiPriority w:val="99"/>
    <w:semiHidden/>
    <w:unhideWhenUsed/>
    <w:rsid w:val="00C6222C"/>
    <w:rPr>
      <w:vertAlign w:val="superscript"/>
    </w:rPr>
  </w:style>
  <w:style w:type="paragraph" w:styleId="Header">
    <w:name w:val="header"/>
    <w:basedOn w:val="Normal"/>
    <w:link w:val="HeaderChar"/>
    <w:uiPriority w:val="99"/>
    <w:unhideWhenUsed/>
    <w:rsid w:val="00844471"/>
    <w:pPr>
      <w:tabs>
        <w:tab w:val="center" w:pos="4680"/>
        <w:tab w:val="right" w:pos="9360"/>
      </w:tabs>
    </w:pPr>
  </w:style>
  <w:style w:type="character" w:customStyle="1" w:styleId="HeaderChar">
    <w:name w:val="Header Char"/>
    <w:basedOn w:val="DefaultParagraphFont"/>
    <w:link w:val="Header"/>
    <w:uiPriority w:val="99"/>
    <w:rsid w:val="00844471"/>
  </w:style>
  <w:style w:type="character" w:styleId="PageNumber">
    <w:name w:val="page number"/>
    <w:basedOn w:val="DefaultParagraphFont"/>
    <w:uiPriority w:val="99"/>
    <w:semiHidden/>
    <w:unhideWhenUsed/>
    <w:rsid w:val="008444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llections.louvre.fr/en/ark:/53355/cl010096614"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collections.louvre.fr/en/ark:/53355/cl0100966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407</TotalTime>
  <Pages>7</Pages>
  <Words>1685</Words>
  <Characters>9610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Bremer</dc:creator>
  <cp:keywords/>
  <dc:description/>
  <cp:lastModifiedBy>Kristin Bremer</cp:lastModifiedBy>
  <cp:revision>68</cp:revision>
  <cp:lastPrinted>2021-12-11T16:13:00Z</cp:lastPrinted>
  <dcterms:created xsi:type="dcterms:W3CDTF">2021-12-02T17:44:00Z</dcterms:created>
  <dcterms:modified xsi:type="dcterms:W3CDTF">2021-12-11T16:52:00Z</dcterms:modified>
</cp:coreProperties>
</file>