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DECD4" w14:textId="77777777" w:rsidR="00034FCD" w:rsidRPr="00CC28D9" w:rsidRDefault="00034FCD">
      <w:pPr>
        <w:spacing w:line="259" w:lineRule="auto"/>
        <w:jc w:val="left"/>
        <w:rPr>
          <w:rFonts w:ascii="Arial" w:hAnsi="Arial" w:cs="Arial"/>
        </w:rPr>
      </w:pPr>
    </w:p>
    <w:p w14:paraId="1F232CB3" w14:textId="77777777" w:rsidR="00034FCD" w:rsidRPr="00CC28D9" w:rsidRDefault="00000000" w:rsidP="00C7761E">
      <w:pPr>
        <w:spacing w:line="259" w:lineRule="auto"/>
        <w:jc w:val="center"/>
        <w:rPr>
          <w:rFonts w:ascii="Arial" w:hAnsi="Arial" w:cs="Arial"/>
        </w:rPr>
      </w:pPr>
      <w:r w:rsidRPr="00CC28D9">
        <w:rPr>
          <w:rFonts w:ascii="Arial" w:hAnsi="Arial" w:cs="Arial"/>
          <w:noProof/>
        </w:rPr>
        <w:drawing>
          <wp:inline distT="0" distB="0" distL="0" distR="0" wp14:anchorId="58F3342E" wp14:editId="0525A5DA">
            <wp:extent cx="2540000" cy="1411111"/>
            <wp:effectExtent l="0" t="0" r="0" b="0"/>
            <wp:docPr id="20199731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73143"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546574" cy="1414763"/>
                    </a:xfrm>
                    <a:prstGeom prst="rect">
                      <a:avLst/>
                    </a:prstGeom>
                    <a:noFill/>
                  </pic:spPr>
                </pic:pic>
              </a:graphicData>
            </a:graphic>
          </wp:inline>
        </w:drawing>
      </w:r>
    </w:p>
    <w:p w14:paraId="2376A4E6" w14:textId="77777777" w:rsidR="00034FCD" w:rsidRPr="00CC28D9" w:rsidRDefault="00034FCD">
      <w:pPr>
        <w:spacing w:line="259" w:lineRule="auto"/>
        <w:jc w:val="left"/>
        <w:rPr>
          <w:rFonts w:ascii="Arial" w:hAnsi="Arial" w:cs="Arial"/>
        </w:rPr>
      </w:pPr>
    </w:p>
    <w:p w14:paraId="19A0C52D" w14:textId="77777777" w:rsidR="00034FCD" w:rsidRPr="00CC28D9" w:rsidRDefault="00000000" w:rsidP="00034FCD">
      <w:pPr>
        <w:spacing w:line="259" w:lineRule="auto"/>
        <w:jc w:val="center"/>
        <w:rPr>
          <w:rFonts w:ascii="Arial" w:hAnsi="Arial" w:cs="Arial"/>
          <w:b/>
          <w:bCs/>
          <w:sz w:val="40"/>
          <w:szCs w:val="36"/>
        </w:rPr>
      </w:pPr>
      <w:r w:rsidRPr="00CC28D9">
        <w:rPr>
          <w:rFonts w:ascii="Arial" w:hAnsi="Arial" w:cs="Arial"/>
          <w:b/>
          <w:bCs/>
          <w:sz w:val="40"/>
          <w:szCs w:val="36"/>
        </w:rPr>
        <w:t>BA International Hotel Management</w:t>
      </w:r>
    </w:p>
    <w:p w14:paraId="47B91CF9" w14:textId="77777777" w:rsidR="00034FCD" w:rsidRPr="00CC28D9" w:rsidRDefault="00000000" w:rsidP="00034FCD">
      <w:pPr>
        <w:spacing w:line="259" w:lineRule="auto"/>
        <w:jc w:val="center"/>
        <w:rPr>
          <w:rFonts w:ascii="Arial" w:hAnsi="Arial" w:cs="Arial"/>
          <w:b/>
          <w:bCs/>
          <w:sz w:val="40"/>
          <w:szCs w:val="36"/>
        </w:rPr>
      </w:pPr>
      <w:r w:rsidRPr="00CC28D9">
        <w:rPr>
          <w:rFonts w:ascii="Arial" w:hAnsi="Arial" w:cs="Arial"/>
          <w:b/>
          <w:bCs/>
          <w:sz w:val="40"/>
          <w:szCs w:val="36"/>
        </w:rPr>
        <w:t>BMIH5005</w:t>
      </w:r>
    </w:p>
    <w:p w14:paraId="23995D31" w14:textId="77777777" w:rsidR="00034FCD" w:rsidRPr="00CC28D9" w:rsidRDefault="00000000" w:rsidP="00034FCD">
      <w:pPr>
        <w:spacing w:line="259" w:lineRule="auto"/>
        <w:jc w:val="center"/>
        <w:rPr>
          <w:rFonts w:ascii="Arial" w:hAnsi="Arial" w:cs="Arial"/>
          <w:b/>
          <w:bCs/>
          <w:sz w:val="40"/>
          <w:szCs w:val="36"/>
        </w:rPr>
      </w:pPr>
      <w:r w:rsidRPr="00CC28D9">
        <w:rPr>
          <w:rFonts w:ascii="Arial" w:hAnsi="Arial" w:cs="Arial"/>
          <w:b/>
          <w:bCs/>
          <w:sz w:val="40"/>
          <w:szCs w:val="36"/>
        </w:rPr>
        <w:t>Personnel Resourcing and Development</w:t>
      </w:r>
    </w:p>
    <w:p w14:paraId="4D98E762" w14:textId="77777777" w:rsidR="00034FCD" w:rsidRPr="00CC28D9" w:rsidRDefault="00000000" w:rsidP="00034FCD">
      <w:pPr>
        <w:spacing w:line="259" w:lineRule="auto"/>
        <w:jc w:val="center"/>
        <w:rPr>
          <w:rFonts w:ascii="Arial" w:hAnsi="Arial" w:cs="Arial"/>
          <w:b/>
          <w:bCs/>
          <w:sz w:val="48"/>
          <w:szCs w:val="44"/>
        </w:rPr>
      </w:pPr>
      <w:r w:rsidRPr="00CC28D9">
        <w:rPr>
          <w:rFonts w:ascii="Arial" w:hAnsi="Arial" w:cs="Arial"/>
          <w:b/>
          <w:bCs/>
          <w:sz w:val="48"/>
          <w:szCs w:val="44"/>
        </w:rPr>
        <w:t>Research project proposal</w:t>
      </w:r>
    </w:p>
    <w:p w14:paraId="7DF1787C" w14:textId="77777777" w:rsidR="00034FCD" w:rsidRPr="00CC28D9" w:rsidRDefault="00000000" w:rsidP="00034FCD">
      <w:pPr>
        <w:spacing w:line="259" w:lineRule="auto"/>
        <w:jc w:val="center"/>
        <w:rPr>
          <w:rFonts w:ascii="Arial" w:hAnsi="Arial" w:cs="Arial"/>
          <w:b/>
          <w:bCs/>
          <w:sz w:val="48"/>
          <w:szCs w:val="44"/>
        </w:rPr>
      </w:pPr>
      <w:r w:rsidRPr="00CC28D9">
        <w:rPr>
          <w:rFonts w:ascii="Arial" w:hAnsi="Arial" w:cs="Arial"/>
          <w:b/>
          <w:bCs/>
          <w:sz w:val="48"/>
          <w:szCs w:val="44"/>
        </w:rPr>
        <w:t>On</w:t>
      </w:r>
    </w:p>
    <w:p w14:paraId="33A81DBD" w14:textId="77777777" w:rsidR="00034FCD" w:rsidRPr="00CC28D9" w:rsidRDefault="00000000" w:rsidP="00034FCD">
      <w:pPr>
        <w:spacing w:line="259" w:lineRule="auto"/>
        <w:jc w:val="center"/>
        <w:rPr>
          <w:rFonts w:ascii="Arial" w:hAnsi="Arial" w:cs="Arial"/>
          <w:b/>
          <w:bCs/>
          <w:sz w:val="28"/>
          <w:szCs w:val="24"/>
        </w:rPr>
      </w:pPr>
      <w:r w:rsidRPr="00CC28D9">
        <w:rPr>
          <w:rFonts w:ascii="Arial" w:hAnsi="Arial" w:cs="Arial"/>
          <w:b/>
          <w:bCs/>
          <w:sz w:val="28"/>
          <w:szCs w:val="24"/>
        </w:rPr>
        <w:t>Analyse the impacts of socio-economic force on employees’ performance management and monitoring in different work modes: Hospitality HR’s perspective</w:t>
      </w:r>
    </w:p>
    <w:p w14:paraId="5389BCB1" w14:textId="77777777" w:rsidR="00C7761E" w:rsidRPr="00CC28D9" w:rsidRDefault="00C7761E" w:rsidP="00034FCD">
      <w:pPr>
        <w:spacing w:line="259" w:lineRule="auto"/>
        <w:jc w:val="center"/>
        <w:rPr>
          <w:rFonts w:ascii="Arial" w:hAnsi="Arial" w:cs="Arial"/>
          <w:b/>
          <w:bCs/>
          <w:sz w:val="28"/>
          <w:szCs w:val="24"/>
        </w:rPr>
      </w:pPr>
    </w:p>
    <w:p w14:paraId="6618B4C1" w14:textId="77777777" w:rsidR="00C7761E" w:rsidRPr="00CC28D9" w:rsidRDefault="00C7761E" w:rsidP="00034FCD">
      <w:pPr>
        <w:spacing w:line="259" w:lineRule="auto"/>
        <w:jc w:val="center"/>
        <w:rPr>
          <w:rFonts w:ascii="Arial" w:hAnsi="Arial" w:cs="Arial"/>
          <w:b/>
          <w:bCs/>
          <w:sz w:val="28"/>
          <w:szCs w:val="24"/>
        </w:rPr>
      </w:pPr>
    </w:p>
    <w:p w14:paraId="5CDB43E0" w14:textId="77777777" w:rsidR="00C7761E" w:rsidRPr="00CC28D9" w:rsidRDefault="00C7761E" w:rsidP="00034FCD">
      <w:pPr>
        <w:spacing w:line="259" w:lineRule="auto"/>
        <w:jc w:val="center"/>
        <w:rPr>
          <w:rFonts w:ascii="Arial" w:hAnsi="Arial" w:cs="Arial"/>
          <w:b/>
          <w:bCs/>
          <w:sz w:val="28"/>
          <w:szCs w:val="24"/>
        </w:rPr>
      </w:pPr>
    </w:p>
    <w:p w14:paraId="62C7DA90" w14:textId="77777777" w:rsidR="00C7761E" w:rsidRPr="00CC28D9" w:rsidRDefault="00C7761E" w:rsidP="00034FCD">
      <w:pPr>
        <w:spacing w:line="259" w:lineRule="auto"/>
        <w:jc w:val="center"/>
        <w:rPr>
          <w:rFonts w:ascii="Arial" w:hAnsi="Arial" w:cs="Arial"/>
          <w:b/>
          <w:bCs/>
          <w:sz w:val="28"/>
          <w:szCs w:val="24"/>
        </w:rPr>
      </w:pPr>
    </w:p>
    <w:p w14:paraId="2818BFA0" w14:textId="77777777" w:rsidR="00C7761E" w:rsidRPr="00CC28D9" w:rsidRDefault="00C7761E" w:rsidP="00034FCD">
      <w:pPr>
        <w:spacing w:line="259" w:lineRule="auto"/>
        <w:jc w:val="center"/>
        <w:rPr>
          <w:rFonts w:ascii="Arial" w:hAnsi="Arial" w:cs="Arial"/>
          <w:b/>
          <w:bCs/>
          <w:sz w:val="28"/>
          <w:szCs w:val="24"/>
        </w:rPr>
      </w:pPr>
    </w:p>
    <w:p w14:paraId="587C1386" w14:textId="7F932468" w:rsidR="00C7761E" w:rsidRPr="00CC28D9" w:rsidRDefault="00000000" w:rsidP="00034FCD">
      <w:pPr>
        <w:spacing w:line="259" w:lineRule="auto"/>
        <w:jc w:val="center"/>
        <w:rPr>
          <w:rFonts w:ascii="Arial" w:hAnsi="Arial" w:cs="Arial"/>
          <w:sz w:val="28"/>
          <w:szCs w:val="24"/>
        </w:rPr>
      </w:pPr>
      <w:r w:rsidRPr="00CC28D9">
        <w:rPr>
          <w:rFonts w:ascii="Arial" w:hAnsi="Arial" w:cs="Arial"/>
          <w:sz w:val="28"/>
          <w:szCs w:val="24"/>
        </w:rPr>
        <w:t xml:space="preserve">Student Name: </w:t>
      </w:r>
      <w:r w:rsidR="00393434">
        <w:rPr>
          <w:rFonts w:ascii="Arial" w:hAnsi="Arial" w:cs="Arial"/>
          <w:sz w:val="28"/>
          <w:szCs w:val="24"/>
        </w:rPr>
        <w:t>Lalani de silva</w:t>
      </w:r>
    </w:p>
    <w:p w14:paraId="2B05D093" w14:textId="4B731E82" w:rsidR="00C7761E" w:rsidRPr="00CC28D9" w:rsidRDefault="00000000" w:rsidP="00034FCD">
      <w:pPr>
        <w:spacing w:line="259" w:lineRule="auto"/>
        <w:jc w:val="center"/>
        <w:rPr>
          <w:rFonts w:ascii="Arial" w:hAnsi="Arial" w:cs="Arial"/>
          <w:sz w:val="28"/>
          <w:szCs w:val="24"/>
        </w:rPr>
      </w:pPr>
      <w:r w:rsidRPr="00CC28D9">
        <w:rPr>
          <w:rFonts w:ascii="Arial" w:hAnsi="Arial" w:cs="Arial"/>
          <w:sz w:val="28"/>
          <w:szCs w:val="24"/>
        </w:rPr>
        <w:t>ID:</w:t>
      </w:r>
      <w:r w:rsidR="00393434">
        <w:rPr>
          <w:rFonts w:ascii="Arial" w:hAnsi="Arial" w:cs="Arial"/>
          <w:sz w:val="28"/>
          <w:szCs w:val="24"/>
        </w:rPr>
        <w:t xml:space="preserve"> 2230713</w:t>
      </w:r>
    </w:p>
    <w:p w14:paraId="191F6987" w14:textId="77777777" w:rsidR="00256C01" w:rsidRPr="00CC28D9" w:rsidRDefault="00000000" w:rsidP="00034FCD">
      <w:pPr>
        <w:spacing w:line="259" w:lineRule="auto"/>
        <w:jc w:val="left"/>
        <w:rPr>
          <w:rFonts w:ascii="Arial" w:hAnsi="Arial" w:cs="Arial"/>
        </w:rPr>
      </w:pPr>
      <w:r w:rsidRPr="00CC28D9">
        <w:rPr>
          <w:rFonts w:ascii="Arial" w:hAnsi="Arial" w:cs="Arial"/>
        </w:rPr>
        <w:br w:type="page"/>
      </w:r>
    </w:p>
    <w:sdt>
      <w:sdtPr>
        <w:rPr>
          <w:rFonts w:ascii="Arial" w:eastAsiaTheme="minorHAnsi" w:hAnsi="Arial" w:cs="Arial"/>
          <w:color w:val="auto"/>
          <w:sz w:val="24"/>
          <w:szCs w:val="22"/>
          <w:lang w:val="en-GB"/>
        </w:rPr>
        <w:id w:val="733441651"/>
        <w:docPartObj>
          <w:docPartGallery w:val="Table of Contents"/>
          <w:docPartUnique/>
        </w:docPartObj>
      </w:sdtPr>
      <w:sdtEndPr>
        <w:rPr>
          <w:b/>
          <w:bCs/>
          <w:noProof/>
        </w:rPr>
      </w:sdtEndPr>
      <w:sdtContent>
        <w:p w14:paraId="65201684" w14:textId="77777777" w:rsidR="00634862" w:rsidRPr="00CC28D9" w:rsidRDefault="00000000" w:rsidP="00634862">
          <w:pPr>
            <w:pStyle w:val="TOCHeading"/>
            <w:jc w:val="center"/>
            <w:rPr>
              <w:rFonts w:ascii="Arial" w:hAnsi="Arial" w:cs="Arial"/>
              <w:b/>
              <w:bCs/>
              <w:i/>
              <w:iCs/>
            </w:rPr>
          </w:pPr>
          <w:r w:rsidRPr="00CC28D9">
            <w:rPr>
              <w:rFonts w:ascii="Arial" w:hAnsi="Arial" w:cs="Arial"/>
              <w:b/>
              <w:bCs/>
              <w:i/>
              <w:iCs/>
            </w:rPr>
            <w:t>Table of Contents</w:t>
          </w:r>
        </w:p>
        <w:p w14:paraId="1B0CA1D1" w14:textId="77777777" w:rsidR="00634862" w:rsidRPr="00CC28D9" w:rsidRDefault="00000000">
          <w:pPr>
            <w:pStyle w:val="TOC1"/>
            <w:tabs>
              <w:tab w:val="right" w:leader="dot" w:pos="9016"/>
            </w:tabs>
            <w:rPr>
              <w:rFonts w:ascii="Arial" w:hAnsi="Arial" w:cs="Arial"/>
              <w:noProof/>
            </w:rPr>
          </w:pPr>
          <w:r w:rsidRPr="00CC28D9">
            <w:rPr>
              <w:rFonts w:ascii="Arial" w:hAnsi="Arial" w:cs="Arial"/>
            </w:rPr>
            <w:fldChar w:fldCharType="begin"/>
          </w:r>
          <w:r w:rsidRPr="00CC28D9">
            <w:rPr>
              <w:rFonts w:ascii="Arial" w:hAnsi="Arial" w:cs="Arial"/>
            </w:rPr>
            <w:instrText xml:space="preserve"> TOC \o "1-3" \h \z \u </w:instrText>
          </w:r>
          <w:r w:rsidRPr="00CC28D9">
            <w:rPr>
              <w:rFonts w:ascii="Arial" w:hAnsi="Arial" w:cs="Arial"/>
            </w:rPr>
            <w:fldChar w:fldCharType="separate"/>
          </w:r>
          <w:hyperlink w:anchor="_Toc158764053" w:history="1">
            <w:r w:rsidRPr="00CC28D9">
              <w:rPr>
                <w:rStyle w:val="Hyperlink"/>
                <w:rFonts w:ascii="Arial" w:hAnsi="Arial" w:cs="Arial"/>
                <w:noProof/>
              </w:rPr>
              <w:t>I. Introduction and Background</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_Toc158764053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2</w:t>
            </w:r>
            <w:r w:rsidRPr="00CC28D9">
              <w:rPr>
                <w:rFonts w:ascii="Arial" w:hAnsi="Arial" w:cs="Arial"/>
                <w:noProof/>
                <w:webHidden/>
              </w:rPr>
              <w:fldChar w:fldCharType="end"/>
            </w:r>
          </w:hyperlink>
        </w:p>
        <w:p w14:paraId="4EA89CED" w14:textId="77777777" w:rsidR="00634862" w:rsidRPr="00CC28D9" w:rsidRDefault="00000000">
          <w:pPr>
            <w:pStyle w:val="TOC1"/>
            <w:tabs>
              <w:tab w:val="right" w:leader="dot" w:pos="9016"/>
            </w:tabs>
            <w:rPr>
              <w:rFonts w:ascii="Arial" w:hAnsi="Arial" w:cs="Arial"/>
              <w:noProof/>
            </w:rPr>
          </w:pPr>
          <w:hyperlink w:anchor="_Toc158764054" w:history="1">
            <w:r w:rsidRPr="00CC28D9">
              <w:rPr>
                <w:rStyle w:val="Hyperlink"/>
                <w:rFonts w:ascii="Arial" w:hAnsi="Arial" w:cs="Arial"/>
                <w:noProof/>
              </w:rPr>
              <w:t>II. Discussion/Literature</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_Toc158764054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3</w:t>
            </w:r>
            <w:r w:rsidRPr="00CC28D9">
              <w:rPr>
                <w:rFonts w:ascii="Arial" w:hAnsi="Arial" w:cs="Arial"/>
                <w:noProof/>
                <w:webHidden/>
              </w:rPr>
              <w:fldChar w:fldCharType="end"/>
            </w:r>
          </w:hyperlink>
        </w:p>
        <w:p w14:paraId="35990D4F" w14:textId="77777777" w:rsidR="00634862" w:rsidRPr="00CC28D9" w:rsidRDefault="00000000">
          <w:pPr>
            <w:pStyle w:val="TOC2"/>
            <w:tabs>
              <w:tab w:val="right" w:leader="dot" w:pos="9016"/>
            </w:tabs>
            <w:rPr>
              <w:rFonts w:ascii="Arial" w:hAnsi="Arial" w:cs="Arial"/>
              <w:noProof/>
            </w:rPr>
          </w:pPr>
          <w:hyperlink w:anchor="_Toc158764055" w:history="1">
            <w:r w:rsidRPr="00CC28D9">
              <w:rPr>
                <w:rStyle w:val="Hyperlink"/>
                <w:rFonts w:ascii="Arial" w:hAnsi="Arial" w:cs="Arial"/>
                <w:noProof/>
              </w:rPr>
              <w:t>A. Socioeconomic Factors in the Hospitality Industry (PESTLE Analysis)</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_Toc158764055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3</w:t>
            </w:r>
            <w:r w:rsidRPr="00CC28D9">
              <w:rPr>
                <w:rFonts w:ascii="Arial" w:hAnsi="Arial" w:cs="Arial"/>
                <w:noProof/>
                <w:webHidden/>
              </w:rPr>
              <w:fldChar w:fldCharType="end"/>
            </w:r>
          </w:hyperlink>
        </w:p>
        <w:p w14:paraId="4BA0680A" w14:textId="77777777" w:rsidR="00634862" w:rsidRPr="00CC28D9" w:rsidRDefault="00000000">
          <w:pPr>
            <w:pStyle w:val="TOC2"/>
            <w:tabs>
              <w:tab w:val="right" w:leader="dot" w:pos="9016"/>
            </w:tabs>
            <w:rPr>
              <w:rFonts w:ascii="Arial" w:hAnsi="Arial" w:cs="Arial"/>
              <w:noProof/>
            </w:rPr>
          </w:pPr>
          <w:hyperlink w:anchor="_Toc158764056" w:history="1">
            <w:r w:rsidRPr="00CC28D9">
              <w:rPr>
                <w:rStyle w:val="Hyperlink"/>
                <w:rFonts w:ascii="Arial" w:hAnsi="Arial" w:cs="Arial"/>
                <w:noProof/>
              </w:rPr>
              <w:t>B. Industry Trends: Retention Rates, Turnover Rate</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_Toc158764056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3</w:t>
            </w:r>
            <w:r w:rsidRPr="00CC28D9">
              <w:rPr>
                <w:rFonts w:ascii="Arial" w:hAnsi="Arial" w:cs="Arial"/>
                <w:noProof/>
                <w:webHidden/>
              </w:rPr>
              <w:fldChar w:fldCharType="end"/>
            </w:r>
          </w:hyperlink>
        </w:p>
        <w:p w14:paraId="63C42764" w14:textId="77777777" w:rsidR="00634862" w:rsidRPr="00CC28D9" w:rsidRDefault="00000000">
          <w:pPr>
            <w:pStyle w:val="TOC2"/>
            <w:tabs>
              <w:tab w:val="right" w:leader="dot" w:pos="9016"/>
            </w:tabs>
            <w:rPr>
              <w:rFonts w:ascii="Arial" w:hAnsi="Arial" w:cs="Arial"/>
              <w:noProof/>
            </w:rPr>
          </w:pPr>
          <w:hyperlink w:anchor="_Toc158764057" w:history="1">
            <w:r w:rsidRPr="00CC28D9">
              <w:rPr>
                <w:rStyle w:val="Hyperlink"/>
                <w:rFonts w:ascii="Arial" w:hAnsi="Arial" w:cs="Arial"/>
                <w:noProof/>
              </w:rPr>
              <w:t>C. Emergence of Different Work Modes in Hospitality</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_Toc158764057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4</w:t>
            </w:r>
            <w:r w:rsidRPr="00CC28D9">
              <w:rPr>
                <w:rFonts w:ascii="Arial" w:hAnsi="Arial" w:cs="Arial"/>
                <w:noProof/>
                <w:webHidden/>
              </w:rPr>
              <w:fldChar w:fldCharType="end"/>
            </w:r>
          </w:hyperlink>
        </w:p>
        <w:p w14:paraId="77280669" w14:textId="77777777" w:rsidR="00634862" w:rsidRPr="00CC28D9" w:rsidRDefault="00000000">
          <w:pPr>
            <w:pStyle w:val="TOC2"/>
            <w:tabs>
              <w:tab w:val="right" w:leader="dot" w:pos="9016"/>
            </w:tabs>
            <w:rPr>
              <w:rFonts w:ascii="Arial" w:hAnsi="Arial" w:cs="Arial"/>
              <w:noProof/>
            </w:rPr>
          </w:pPr>
          <w:hyperlink w:anchor="_Toc158764058" w:history="1">
            <w:r w:rsidRPr="00CC28D9">
              <w:rPr>
                <w:rStyle w:val="Hyperlink"/>
                <w:rFonts w:ascii="Arial" w:hAnsi="Arial" w:cs="Arial"/>
                <w:noProof/>
              </w:rPr>
              <w:t>D. Industry Examples: The Marriott's Approach to Employee Performance Management</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_Toc158764058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4</w:t>
            </w:r>
            <w:r w:rsidRPr="00CC28D9">
              <w:rPr>
                <w:rFonts w:ascii="Arial" w:hAnsi="Arial" w:cs="Arial"/>
                <w:noProof/>
                <w:webHidden/>
              </w:rPr>
              <w:fldChar w:fldCharType="end"/>
            </w:r>
          </w:hyperlink>
        </w:p>
        <w:p w14:paraId="558AD73D" w14:textId="77777777" w:rsidR="00634862" w:rsidRPr="00CC28D9" w:rsidRDefault="00000000">
          <w:pPr>
            <w:pStyle w:val="TOC2"/>
            <w:tabs>
              <w:tab w:val="right" w:leader="dot" w:pos="9016"/>
            </w:tabs>
            <w:rPr>
              <w:rFonts w:ascii="Arial" w:hAnsi="Arial" w:cs="Arial"/>
              <w:noProof/>
            </w:rPr>
          </w:pPr>
          <w:hyperlink w:anchor="_Toc158764059" w:history="1">
            <w:r w:rsidRPr="00CC28D9">
              <w:rPr>
                <w:rStyle w:val="Hyperlink"/>
                <w:rFonts w:ascii="Arial" w:hAnsi="Arial" w:cs="Arial"/>
                <w:noProof/>
              </w:rPr>
              <w:t>E. Review of Existing Research on Employee Performance Management and Socioeconomic Factors</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_Toc158764059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5</w:t>
            </w:r>
            <w:r w:rsidRPr="00CC28D9">
              <w:rPr>
                <w:rFonts w:ascii="Arial" w:hAnsi="Arial" w:cs="Arial"/>
                <w:noProof/>
                <w:webHidden/>
              </w:rPr>
              <w:fldChar w:fldCharType="end"/>
            </w:r>
          </w:hyperlink>
        </w:p>
        <w:p w14:paraId="4A702AFB" w14:textId="77777777" w:rsidR="00634862" w:rsidRPr="00CC28D9" w:rsidRDefault="00000000">
          <w:pPr>
            <w:pStyle w:val="TOC2"/>
            <w:tabs>
              <w:tab w:val="right" w:leader="dot" w:pos="9016"/>
            </w:tabs>
            <w:rPr>
              <w:rFonts w:ascii="Arial" w:hAnsi="Arial" w:cs="Arial"/>
              <w:noProof/>
            </w:rPr>
          </w:pPr>
          <w:hyperlink w:anchor="_Toc158764060" w:history="1">
            <w:r w:rsidRPr="00CC28D9">
              <w:rPr>
                <w:rStyle w:val="Hyperlink"/>
                <w:rFonts w:ascii="Arial" w:hAnsi="Arial" w:cs="Arial"/>
                <w:noProof/>
              </w:rPr>
              <w:t>F. Monitoring Employees in Different Work Modes: International Hotel Brand Examples</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_Toc158764060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5</w:t>
            </w:r>
            <w:r w:rsidRPr="00CC28D9">
              <w:rPr>
                <w:rFonts w:ascii="Arial" w:hAnsi="Arial" w:cs="Arial"/>
                <w:noProof/>
                <w:webHidden/>
              </w:rPr>
              <w:fldChar w:fldCharType="end"/>
            </w:r>
          </w:hyperlink>
        </w:p>
        <w:p w14:paraId="4C2DC7A2" w14:textId="77777777" w:rsidR="00634862" w:rsidRPr="00CC28D9" w:rsidRDefault="00000000">
          <w:pPr>
            <w:pStyle w:val="TOC2"/>
            <w:tabs>
              <w:tab w:val="right" w:leader="dot" w:pos="9016"/>
            </w:tabs>
            <w:rPr>
              <w:rFonts w:ascii="Arial" w:hAnsi="Arial" w:cs="Arial"/>
              <w:noProof/>
            </w:rPr>
          </w:pPr>
          <w:hyperlink w:anchor="_Toc158764061" w:history="1">
            <w:r w:rsidRPr="00CC28D9">
              <w:rPr>
                <w:rStyle w:val="Hyperlink"/>
                <w:rFonts w:ascii="Arial" w:hAnsi="Arial" w:cs="Arial"/>
                <w:noProof/>
              </w:rPr>
              <w:t>G. Potential Solutions for Employee Management in Different Work Modes</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_Toc158764061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6</w:t>
            </w:r>
            <w:r w:rsidRPr="00CC28D9">
              <w:rPr>
                <w:rFonts w:ascii="Arial" w:hAnsi="Arial" w:cs="Arial"/>
                <w:noProof/>
                <w:webHidden/>
              </w:rPr>
              <w:fldChar w:fldCharType="end"/>
            </w:r>
          </w:hyperlink>
        </w:p>
        <w:p w14:paraId="135073A3" w14:textId="77777777" w:rsidR="00634862" w:rsidRPr="00CC28D9" w:rsidRDefault="00000000">
          <w:pPr>
            <w:pStyle w:val="TOC1"/>
            <w:tabs>
              <w:tab w:val="right" w:leader="dot" w:pos="9016"/>
            </w:tabs>
            <w:rPr>
              <w:rFonts w:ascii="Arial" w:hAnsi="Arial" w:cs="Arial"/>
              <w:noProof/>
            </w:rPr>
          </w:pPr>
          <w:hyperlink w:anchor="_Toc158764062" w:history="1">
            <w:r w:rsidRPr="00CC28D9">
              <w:rPr>
                <w:rStyle w:val="Hyperlink"/>
                <w:rFonts w:ascii="Arial" w:hAnsi="Arial" w:cs="Arial"/>
                <w:noProof/>
              </w:rPr>
              <w:t>III. Evaluation and Conclusion</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_Toc158764062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6</w:t>
            </w:r>
            <w:r w:rsidRPr="00CC28D9">
              <w:rPr>
                <w:rFonts w:ascii="Arial" w:hAnsi="Arial" w:cs="Arial"/>
                <w:noProof/>
                <w:webHidden/>
              </w:rPr>
              <w:fldChar w:fldCharType="end"/>
            </w:r>
          </w:hyperlink>
        </w:p>
        <w:p w14:paraId="1070E944" w14:textId="77777777" w:rsidR="00634862" w:rsidRPr="00CC28D9" w:rsidRDefault="00000000">
          <w:pPr>
            <w:pStyle w:val="TOC2"/>
            <w:tabs>
              <w:tab w:val="right" w:leader="dot" w:pos="9016"/>
            </w:tabs>
            <w:rPr>
              <w:rFonts w:ascii="Arial" w:hAnsi="Arial" w:cs="Arial"/>
              <w:noProof/>
            </w:rPr>
          </w:pPr>
          <w:hyperlink w:anchor="_Toc158764063" w:history="1">
            <w:r w:rsidRPr="00CC28D9">
              <w:rPr>
                <w:rStyle w:val="Hyperlink"/>
                <w:rFonts w:ascii="Arial" w:hAnsi="Arial" w:cs="Arial"/>
                <w:noProof/>
              </w:rPr>
              <w:t>A. Summary of Findings</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_Toc158764063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6</w:t>
            </w:r>
            <w:r w:rsidRPr="00CC28D9">
              <w:rPr>
                <w:rFonts w:ascii="Arial" w:hAnsi="Arial" w:cs="Arial"/>
                <w:noProof/>
                <w:webHidden/>
              </w:rPr>
              <w:fldChar w:fldCharType="end"/>
            </w:r>
          </w:hyperlink>
        </w:p>
        <w:p w14:paraId="56B1A041" w14:textId="77777777" w:rsidR="00634862" w:rsidRPr="00CC28D9" w:rsidRDefault="00000000">
          <w:pPr>
            <w:pStyle w:val="TOC2"/>
            <w:tabs>
              <w:tab w:val="right" w:leader="dot" w:pos="9016"/>
            </w:tabs>
            <w:rPr>
              <w:rFonts w:ascii="Arial" w:hAnsi="Arial" w:cs="Arial"/>
              <w:noProof/>
            </w:rPr>
          </w:pPr>
          <w:hyperlink w:anchor="_Toc158764064" w:history="1">
            <w:r w:rsidRPr="00CC28D9">
              <w:rPr>
                <w:rStyle w:val="Hyperlink"/>
                <w:rFonts w:ascii="Arial" w:hAnsi="Arial" w:cs="Arial"/>
                <w:noProof/>
              </w:rPr>
              <w:t>B. Implications for The Marriott and Hospitality Industry</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_Toc158764064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7</w:t>
            </w:r>
            <w:r w:rsidRPr="00CC28D9">
              <w:rPr>
                <w:rFonts w:ascii="Arial" w:hAnsi="Arial" w:cs="Arial"/>
                <w:noProof/>
                <w:webHidden/>
              </w:rPr>
              <w:fldChar w:fldCharType="end"/>
            </w:r>
          </w:hyperlink>
        </w:p>
        <w:p w14:paraId="775DD38C" w14:textId="77777777" w:rsidR="00634862" w:rsidRPr="00CC28D9" w:rsidRDefault="00000000">
          <w:pPr>
            <w:pStyle w:val="TOC2"/>
            <w:tabs>
              <w:tab w:val="right" w:leader="dot" w:pos="9016"/>
            </w:tabs>
            <w:rPr>
              <w:rFonts w:ascii="Arial" w:hAnsi="Arial" w:cs="Arial"/>
              <w:noProof/>
            </w:rPr>
          </w:pPr>
          <w:hyperlink w:anchor="_Toc158764065" w:history="1">
            <w:r w:rsidRPr="00CC28D9">
              <w:rPr>
                <w:rStyle w:val="Hyperlink"/>
                <w:rFonts w:ascii="Arial" w:hAnsi="Arial" w:cs="Arial"/>
                <w:noProof/>
              </w:rPr>
              <w:t>C. Recommendations for Addressing Employee Performance Management in Different Work Modes</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_Toc158764065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7</w:t>
            </w:r>
            <w:r w:rsidRPr="00CC28D9">
              <w:rPr>
                <w:rFonts w:ascii="Arial" w:hAnsi="Arial" w:cs="Arial"/>
                <w:noProof/>
                <w:webHidden/>
              </w:rPr>
              <w:fldChar w:fldCharType="end"/>
            </w:r>
          </w:hyperlink>
        </w:p>
        <w:p w14:paraId="65899E50" w14:textId="77777777" w:rsidR="00634862" w:rsidRPr="00CC28D9" w:rsidRDefault="00000000">
          <w:pPr>
            <w:pStyle w:val="TOC1"/>
            <w:tabs>
              <w:tab w:val="right" w:leader="dot" w:pos="9016"/>
            </w:tabs>
            <w:rPr>
              <w:rFonts w:ascii="Arial" w:hAnsi="Arial" w:cs="Arial"/>
              <w:noProof/>
            </w:rPr>
          </w:pPr>
          <w:hyperlink w:anchor="_Toc158764066" w:history="1">
            <w:r w:rsidRPr="00CC28D9">
              <w:rPr>
                <w:rStyle w:val="Hyperlink"/>
                <w:rFonts w:ascii="Arial" w:hAnsi="Arial" w:cs="Arial"/>
                <w:noProof/>
              </w:rPr>
              <w:t>Reference List</w:t>
            </w:r>
            <w:r w:rsidRPr="00CC28D9">
              <w:rPr>
                <w:rFonts w:ascii="Arial" w:hAnsi="Arial" w:cs="Arial"/>
                <w:noProof/>
                <w:webHidden/>
              </w:rPr>
              <w:tab/>
            </w:r>
            <w:r w:rsidRPr="00CC28D9">
              <w:rPr>
                <w:rFonts w:ascii="Arial" w:hAnsi="Arial" w:cs="Arial"/>
                <w:noProof/>
                <w:webHidden/>
              </w:rPr>
              <w:fldChar w:fldCharType="begin"/>
            </w:r>
            <w:r w:rsidRPr="00CC28D9">
              <w:rPr>
                <w:rFonts w:ascii="Arial" w:hAnsi="Arial" w:cs="Arial"/>
                <w:noProof/>
                <w:webHidden/>
              </w:rPr>
              <w:instrText xml:space="preserve"> PAGEREF _Toc158764066 \h </w:instrText>
            </w:r>
            <w:r w:rsidRPr="00CC28D9">
              <w:rPr>
                <w:rFonts w:ascii="Arial" w:hAnsi="Arial" w:cs="Arial"/>
                <w:noProof/>
                <w:webHidden/>
              </w:rPr>
            </w:r>
            <w:r w:rsidRPr="00CC28D9">
              <w:rPr>
                <w:rFonts w:ascii="Arial" w:hAnsi="Arial" w:cs="Arial"/>
                <w:noProof/>
                <w:webHidden/>
              </w:rPr>
              <w:fldChar w:fldCharType="separate"/>
            </w:r>
            <w:r w:rsidRPr="00CC28D9">
              <w:rPr>
                <w:rFonts w:ascii="Arial" w:hAnsi="Arial" w:cs="Arial"/>
                <w:noProof/>
                <w:webHidden/>
              </w:rPr>
              <w:t>9</w:t>
            </w:r>
            <w:r w:rsidRPr="00CC28D9">
              <w:rPr>
                <w:rFonts w:ascii="Arial" w:hAnsi="Arial" w:cs="Arial"/>
                <w:noProof/>
                <w:webHidden/>
              </w:rPr>
              <w:fldChar w:fldCharType="end"/>
            </w:r>
          </w:hyperlink>
        </w:p>
        <w:p w14:paraId="6B8B5806" w14:textId="77777777" w:rsidR="00634862" w:rsidRPr="00CC28D9" w:rsidRDefault="00000000">
          <w:pPr>
            <w:rPr>
              <w:rFonts w:ascii="Arial" w:hAnsi="Arial" w:cs="Arial"/>
            </w:rPr>
          </w:pPr>
          <w:r w:rsidRPr="00CC28D9">
            <w:rPr>
              <w:rFonts w:ascii="Arial" w:hAnsi="Arial" w:cs="Arial"/>
              <w:b/>
              <w:bCs/>
              <w:noProof/>
            </w:rPr>
            <w:fldChar w:fldCharType="end"/>
          </w:r>
        </w:p>
      </w:sdtContent>
    </w:sdt>
    <w:p w14:paraId="5BBCCCC6" w14:textId="77777777" w:rsidR="00256C01" w:rsidRPr="00CC28D9" w:rsidRDefault="00000000">
      <w:pPr>
        <w:spacing w:line="259" w:lineRule="auto"/>
        <w:jc w:val="left"/>
        <w:rPr>
          <w:rFonts w:ascii="Arial" w:hAnsi="Arial" w:cs="Arial"/>
        </w:rPr>
      </w:pPr>
      <w:r w:rsidRPr="00CC28D9">
        <w:rPr>
          <w:rFonts w:ascii="Arial" w:hAnsi="Arial" w:cs="Arial"/>
        </w:rPr>
        <w:br w:type="page"/>
      </w:r>
    </w:p>
    <w:p w14:paraId="7508A5A9" w14:textId="77777777" w:rsidR="007C7C21" w:rsidRPr="00CC28D9" w:rsidRDefault="00000000" w:rsidP="00256C01">
      <w:pPr>
        <w:pStyle w:val="Heading1"/>
        <w:rPr>
          <w:rFonts w:ascii="Arial" w:hAnsi="Arial" w:cs="Arial"/>
        </w:rPr>
      </w:pPr>
      <w:bookmarkStart w:id="0" w:name="_Toc158764053"/>
      <w:r w:rsidRPr="00CC28D9">
        <w:rPr>
          <w:rFonts w:ascii="Arial" w:hAnsi="Arial" w:cs="Arial"/>
        </w:rPr>
        <w:lastRenderedPageBreak/>
        <w:t>I. Introduction and Background</w:t>
      </w:r>
      <w:bookmarkEnd w:id="0"/>
    </w:p>
    <w:p w14:paraId="67C84D83" w14:textId="77777777" w:rsidR="00085656" w:rsidRPr="00CC28D9" w:rsidRDefault="00000000" w:rsidP="00085656">
      <w:pPr>
        <w:rPr>
          <w:rFonts w:ascii="Arial" w:hAnsi="Arial" w:cs="Arial"/>
        </w:rPr>
      </w:pPr>
      <w:r w:rsidRPr="00CC28D9">
        <w:rPr>
          <w:rFonts w:ascii="Arial" w:hAnsi="Arial" w:cs="Arial"/>
        </w:rPr>
        <w:t>The hospitality industry is a live sector which is continuously responding to the changes in the landscape. In this domain, the performance management of employees is of absolute significance and is the cornerstone of the success of the organization. When the pattern of various work modes and the omnipresence of socioeconomic factors are at the table, it is necessary to evaluate their influence on human resource performance management</w:t>
      </w:r>
      <w:r w:rsidR="00B11490" w:rsidRPr="00CC28D9">
        <w:rPr>
          <w:rFonts w:ascii="Arial" w:hAnsi="Arial" w:cs="Arial"/>
        </w:rPr>
        <w:t xml:space="preserve"> (Chew &amp; Chan, 2018)</w:t>
      </w:r>
      <w:r w:rsidRPr="00CC28D9">
        <w:rPr>
          <w:rFonts w:ascii="Arial" w:hAnsi="Arial" w:cs="Arial"/>
        </w:rPr>
        <w:t>. This proposal attempts to explore the complex interaction of socioeconomic forces and performance management, especially within the different work modes, from the Hospitality HR standpoint.</w:t>
      </w:r>
    </w:p>
    <w:p w14:paraId="0A528404" w14:textId="77777777" w:rsidR="00085656" w:rsidRPr="00CC28D9" w:rsidRDefault="00000000" w:rsidP="00085656">
      <w:pPr>
        <w:rPr>
          <w:rFonts w:ascii="Arial" w:hAnsi="Arial" w:cs="Arial"/>
        </w:rPr>
      </w:pPr>
      <w:r w:rsidRPr="00CC28D9">
        <w:rPr>
          <w:rFonts w:ascii="Arial" w:hAnsi="Arial" w:cs="Arial"/>
        </w:rPr>
        <w:t>Marriott International, famous for its worldwide existence and guarantee of hospitality, stands at the core of this study. Founded in 1927, Marriott is considered one of the big names in the industry of hospitality and has a variety of hotels and resorts situated in different countries. A legacy that is among the best because of a history enriched by a tradition of outstanding service and success in the hospitality business is what Marriott represents</w:t>
      </w:r>
      <w:r w:rsidR="00634862" w:rsidRPr="00CC28D9">
        <w:rPr>
          <w:rFonts w:ascii="Arial" w:hAnsi="Arial" w:cs="Arial"/>
        </w:rPr>
        <w:t xml:space="preserve"> (Marriott International, 2023)</w:t>
      </w:r>
      <w:r w:rsidRPr="00CC28D9">
        <w:rPr>
          <w:rFonts w:ascii="Arial" w:hAnsi="Arial" w:cs="Arial"/>
        </w:rPr>
        <w:t>.</w:t>
      </w:r>
    </w:p>
    <w:p w14:paraId="1A9F56BC" w14:textId="77777777" w:rsidR="00085656" w:rsidRPr="00CC28D9" w:rsidRDefault="00000000" w:rsidP="00085656">
      <w:pPr>
        <w:rPr>
          <w:rFonts w:ascii="Arial" w:hAnsi="Arial" w:cs="Arial"/>
        </w:rPr>
      </w:pPr>
      <w:r w:rsidRPr="00CC28D9">
        <w:rPr>
          <w:rFonts w:ascii="Arial" w:hAnsi="Arial" w:cs="Arial"/>
        </w:rPr>
        <w:t>The analysis of the practicability of the application of various work modes in the hospitality industry plays a key role in the realization of the current workforce dynamics. Having a historical line of structured on-site operations, the hospitality sector has experienced a revolution in recent times. The coming of technology together with elevating employee tastes and other factors such as the global pandemic has spurred the diversification in the modes of work. New flexible work schedules have been created in the hospitality sector since hybrid work arrangements were introduced</w:t>
      </w:r>
      <w:r w:rsidR="00B11490" w:rsidRPr="00CC28D9">
        <w:rPr>
          <w:rFonts w:ascii="Arial" w:hAnsi="Arial" w:cs="Arial"/>
        </w:rPr>
        <w:t xml:space="preserve"> (Boxall &amp; Purcell, 2016)</w:t>
      </w:r>
      <w:r w:rsidRPr="00CC28D9">
        <w:rPr>
          <w:rFonts w:ascii="Arial" w:hAnsi="Arial" w:cs="Arial"/>
        </w:rPr>
        <w:t>.</w:t>
      </w:r>
    </w:p>
    <w:p w14:paraId="6DCF367F" w14:textId="77777777" w:rsidR="00085656" w:rsidRPr="00CC28D9" w:rsidRDefault="00000000" w:rsidP="00085656">
      <w:pPr>
        <w:rPr>
          <w:rFonts w:ascii="Arial" w:hAnsi="Arial" w:cs="Arial"/>
        </w:rPr>
      </w:pPr>
      <w:r w:rsidRPr="00CC28D9">
        <w:rPr>
          <w:rFonts w:ascii="Arial" w:hAnsi="Arial" w:cs="Arial"/>
        </w:rPr>
        <w:t>Against the changing landscapes of work, the question of performance management of employees becomes more highlighted. Successful performance management provides the productivity of an organization that engages the employees and satisfies them. However, the shift to alternative work modes creates several monitoring and evaluating employee performance issues. Aspects of remote work, flexible work hours and a blurred line between personal and professional lives disrupt the conventional performance management models, requiring adaptive strategies to fit the new environment.</w:t>
      </w:r>
    </w:p>
    <w:p w14:paraId="416A9BED" w14:textId="4771013E" w:rsidR="007C7C21" w:rsidRPr="00CC28D9" w:rsidRDefault="003F1A39" w:rsidP="007C7C21">
      <w:pPr>
        <w:rPr>
          <w:rFonts w:ascii="Arial" w:hAnsi="Arial" w:cs="Arial"/>
        </w:rPr>
      </w:pPr>
      <w:r w:rsidRPr="00CC28D9">
        <w:rPr>
          <w:rFonts w:ascii="Arial" w:hAnsi="Arial" w:cs="Arial"/>
        </w:rPr>
        <w:lastRenderedPageBreak/>
        <w:t>This proposal is about the core socioeconomic determinants of employee performance management. Socioeconomic forces involve a variety of factors such as cultural norms, technological advances, economic conditions, and social conventions. Appreciation of the complex interrelations of these components and performance management approaches is important for the formulation of policies, which would satisfy organisational goals and the requirements of the contemporary workforce. This proposal intends to provide useful information for the improvement of performance management practices in the difficult hospitality industry through the analysis of the complications of socio-economic forces</w:t>
      </w:r>
      <w:r w:rsidR="00256C01" w:rsidRPr="00CC28D9">
        <w:rPr>
          <w:rFonts w:ascii="Arial" w:hAnsi="Arial" w:cs="Arial"/>
        </w:rPr>
        <w:t>.</w:t>
      </w:r>
    </w:p>
    <w:p w14:paraId="31EC9B41" w14:textId="77777777" w:rsidR="007C7C21" w:rsidRPr="00CC28D9" w:rsidRDefault="00000000" w:rsidP="00256C01">
      <w:pPr>
        <w:pStyle w:val="Heading1"/>
        <w:rPr>
          <w:rFonts w:ascii="Arial" w:hAnsi="Arial" w:cs="Arial"/>
        </w:rPr>
      </w:pPr>
      <w:bookmarkStart w:id="1" w:name="_Toc158764054"/>
      <w:r w:rsidRPr="00CC28D9">
        <w:rPr>
          <w:rFonts w:ascii="Arial" w:hAnsi="Arial" w:cs="Arial"/>
        </w:rPr>
        <w:t>II. Discussion/Literature</w:t>
      </w:r>
      <w:bookmarkEnd w:id="1"/>
    </w:p>
    <w:p w14:paraId="5D0CE361" w14:textId="77777777" w:rsidR="00A8552E" w:rsidRPr="00CC28D9" w:rsidRDefault="00000000" w:rsidP="00A8552E">
      <w:pPr>
        <w:pStyle w:val="Heading2"/>
        <w:rPr>
          <w:rFonts w:ascii="Arial" w:hAnsi="Arial" w:cs="Arial"/>
        </w:rPr>
      </w:pPr>
      <w:bookmarkStart w:id="2" w:name="_Toc158764055"/>
      <w:r w:rsidRPr="00CC28D9">
        <w:rPr>
          <w:rFonts w:ascii="Arial" w:hAnsi="Arial" w:cs="Arial"/>
        </w:rPr>
        <w:t>A. Socioeconomic Factors in the Hospitality Industry (PESTLE Analysis)</w:t>
      </w:r>
      <w:bookmarkEnd w:id="2"/>
    </w:p>
    <w:p w14:paraId="527BE71D" w14:textId="7D67F658" w:rsidR="00A8552E" w:rsidRPr="00CC28D9" w:rsidRDefault="003F1A39" w:rsidP="00A8552E">
      <w:pPr>
        <w:rPr>
          <w:rFonts w:ascii="Arial" w:hAnsi="Arial" w:cs="Arial"/>
        </w:rPr>
      </w:pPr>
      <w:r w:rsidRPr="00CC28D9">
        <w:rPr>
          <w:rFonts w:ascii="Arial" w:hAnsi="Arial" w:cs="Arial"/>
        </w:rPr>
        <w:t>Many social and economic factors influence the dynamic environment within which hospitality operates. A PESTLE analysis offers an umbrella model to understand how these factors influence the performance of an organization. The former being consumer’s income level and the later consumer spending habits. The changes in the service offerings are dictated by sociocultural factors such as demographic changes and the consumer's attitudes. Political factors determine the operating environment through regulation frameworks and government policies and influence market competitiveness. The development of technology, particularly digitalization and automation, creates opportunities for changes and increases the level of the use of the resources at the organization, but on another side, causes certain problems related to the new technologies adoption</w:t>
      </w:r>
      <w:r w:rsidR="00B11490" w:rsidRPr="00CC28D9">
        <w:rPr>
          <w:rFonts w:ascii="Arial" w:hAnsi="Arial" w:cs="Arial"/>
        </w:rPr>
        <w:t xml:space="preserve"> (Braun et al., 2013)</w:t>
      </w:r>
      <w:r w:rsidRPr="00CC28D9">
        <w:rPr>
          <w:rFonts w:ascii="Arial" w:hAnsi="Arial" w:cs="Arial"/>
        </w:rPr>
        <w:t xml:space="preserve">. Consumer behaviour and organizational practices are influenced by environmental factors like sustainability concerns and climate change. Legal forces include </w:t>
      </w:r>
      <w:proofErr w:type="spellStart"/>
      <w:r w:rsidRPr="00CC28D9">
        <w:rPr>
          <w:rFonts w:ascii="Arial" w:hAnsi="Arial" w:cs="Arial"/>
        </w:rPr>
        <w:t>labor</w:t>
      </w:r>
      <w:proofErr w:type="spellEnd"/>
      <w:r w:rsidRPr="00CC28D9">
        <w:rPr>
          <w:rFonts w:ascii="Arial" w:hAnsi="Arial" w:cs="Arial"/>
        </w:rPr>
        <w:t xml:space="preserve"> laws and industry regulations which affect operation strategies and compliance needs. </w:t>
      </w:r>
    </w:p>
    <w:p w14:paraId="765E2C6F" w14:textId="77777777" w:rsidR="00A8552E" w:rsidRPr="00CC28D9" w:rsidRDefault="00000000" w:rsidP="00A8552E">
      <w:pPr>
        <w:pStyle w:val="Heading2"/>
        <w:rPr>
          <w:rFonts w:ascii="Arial" w:hAnsi="Arial" w:cs="Arial"/>
        </w:rPr>
      </w:pPr>
      <w:bookmarkStart w:id="3" w:name="_Toc158764056"/>
      <w:r w:rsidRPr="00CC28D9">
        <w:rPr>
          <w:rFonts w:ascii="Arial" w:hAnsi="Arial" w:cs="Arial"/>
        </w:rPr>
        <w:t>B. Industry Trends: Retention Rates, Turnover Rate</w:t>
      </w:r>
      <w:bookmarkEnd w:id="3"/>
    </w:p>
    <w:p w14:paraId="15DB838E" w14:textId="77777777" w:rsidR="00A8552E" w:rsidRPr="00CC28D9" w:rsidRDefault="00000000" w:rsidP="00A8552E">
      <w:pPr>
        <w:rPr>
          <w:rFonts w:ascii="Arial" w:hAnsi="Arial" w:cs="Arial"/>
        </w:rPr>
      </w:pPr>
      <w:r w:rsidRPr="00CC28D9">
        <w:rPr>
          <w:rFonts w:ascii="Arial" w:hAnsi="Arial" w:cs="Arial"/>
        </w:rPr>
        <w:t xml:space="preserve">Both the retention rates and turnover rates are vital indicators of the health of an organization and the satisfaction level of employees in the hospitality industry. High turnover rates are attributed to such factors as job dissatisfaction, inadequate training, and limited career advancement opportunities among others and they can consequently negatively affect operational efficiency and guest experience. On the </w:t>
      </w:r>
      <w:r w:rsidRPr="00CC28D9">
        <w:rPr>
          <w:rFonts w:ascii="Arial" w:hAnsi="Arial" w:cs="Arial"/>
        </w:rPr>
        <w:lastRenderedPageBreak/>
        <w:t>other side, organizations with high retention rates enjoy higher employee morale, productivity and customer loyalty. Currently, the hospitality industry is now seeing an increased focus on employee retention practices which include talent development programs, competitive remuneration packages and better workplace benefits</w:t>
      </w:r>
      <w:r w:rsidR="00B11490" w:rsidRPr="00CC28D9">
        <w:rPr>
          <w:rFonts w:ascii="Arial" w:hAnsi="Arial" w:cs="Arial"/>
        </w:rPr>
        <w:t xml:space="preserve"> (Cascio &amp; Boudreau, 2016).</w:t>
      </w:r>
      <w:r w:rsidRPr="00CC28D9">
        <w:rPr>
          <w:rFonts w:ascii="Arial" w:hAnsi="Arial" w:cs="Arial"/>
        </w:rPr>
        <w:t xml:space="preserve"> In addition, the worldwide crisis has emphasized workers' health and strength, and thus, companies are focusing on actions intending to help their workers during difficult times. </w:t>
      </w:r>
    </w:p>
    <w:p w14:paraId="2152A159" w14:textId="77777777" w:rsidR="00A8552E" w:rsidRPr="00CC28D9" w:rsidRDefault="00000000" w:rsidP="00A8552E">
      <w:pPr>
        <w:pStyle w:val="Heading2"/>
        <w:rPr>
          <w:rFonts w:ascii="Arial" w:hAnsi="Arial" w:cs="Arial"/>
        </w:rPr>
      </w:pPr>
      <w:bookmarkStart w:id="4" w:name="_Toc158764057"/>
      <w:r w:rsidRPr="00CC28D9">
        <w:rPr>
          <w:rFonts w:ascii="Arial" w:hAnsi="Arial" w:cs="Arial"/>
        </w:rPr>
        <w:t>C. Emergence of Different Work Modes in Hospitality</w:t>
      </w:r>
      <w:bookmarkEnd w:id="4"/>
    </w:p>
    <w:p w14:paraId="7A04A719" w14:textId="77777777" w:rsidR="00A8552E" w:rsidRPr="00CC28D9" w:rsidRDefault="00000000" w:rsidP="00A8552E">
      <w:pPr>
        <w:rPr>
          <w:rFonts w:ascii="Arial" w:hAnsi="Arial" w:cs="Arial"/>
        </w:rPr>
      </w:pPr>
      <w:r w:rsidRPr="00CC28D9">
        <w:rPr>
          <w:rFonts w:ascii="Arial" w:hAnsi="Arial" w:cs="Arial"/>
        </w:rPr>
        <w:t>The dynamics of work in the hospitality industry have changed significantly, a change which has been brought about by the development of technology, employee preferences, and organizational needs. The traditional on-site work arrangements are being complemented by alternative work modes which include remote work, flexible scheduling, and hybrid models. Remote work, due to digital communication tools and cloud-based platforms, allows employees more flexibility in balancing their work and private life and eliminates the need for a physical office space. Flexible working hours make it possible for workers to adjust their working time to allow for personal commitments and likes and this increases job satisfaction and productivity</w:t>
      </w:r>
      <w:r w:rsidR="00B11490" w:rsidRPr="00CC28D9">
        <w:rPr>
          <w:rFonts w:ascii="Arial" w:hAnsi="Arial" w:cs="Arial"/>
        </w:rPr>
        <w:t xml:space="preserve"> (Guest, 2017)</w:t>
      </w:r>
      <w:r w:rsidRPr="00CC28D9">
        <w:rPr>
          <w:rFonts w:ascii="Arial" w:hAnsi="Arial" w:cs="Arial"/>
        </w:rPr>
        <w:t xml:space="preserve">. Hybrid models are characterized by the marriage of remote and on-site work features which give the organization the flexibility to change to dynamic operational requirements while sustaining team cohesion and collaboration. </w:t>
      </w:r>
    </w:p>
    <w:p w14:paraId="1F8B6D22" w14:textId="77777777" w:rsidR="00A8552E" w:rsidRPr="00CC28D9" w:rsidRDefault="00000000" w:rsidP="00C80A4B">
      <w:pPr>
        <w:pStyle w:val="Heading2"/>
        <w:rPr>
          <w:rFonts w:ascii="Arial" w:hAnsi="Arial" w:cs="Arial"/>
        </w:rPr>
      </w:pPr>
      <w:bookmarkStart w:id="5" w:name="_Toc158764058"/>
      <w:r w:rsidRPr="00CC28D9">
        <w:rPr>
          <w:rFonts w:ascii="Arial" w:hAnsi="Arial" w:cs="Arial"/>
        </w:rPr>
        <w:t>D. Industry Examples: The Marriott's Approach to Employee Performance Management</w:t>
      </w:r>
      <w:bookmarkEnd w:id="5"/>
    </w:p>
    <w:p w14:paraId="42E67F5A" w14:textId="77777777" w:rsidR="00C80A4B" w:rsidRPr="00CC28D9" w:rsidRDefault="00000000" w:rsidP="00C80A4B">
      <w:pPr>
        <w:rPr>
          <w:rFonts w:ascii="Arial" w:hAnsi="Arial" w:cs="Arial"/>
        </w:rPr>
      </w:pPr>
      <w:r w:rsidRPr="00CC28D9">
        <w:rPr>
          <w:rFonts w:ascii="Arial" w:hAnsi="Arial" w:cs="Arial"/>
        </w:rPr>
        <w:t>The hospitality industry leader Marriott International has been known for quite a long time for its creative approach to employee performance management. A core element of Marriott's approach is a thorough system that emphasizes ongoing feedback, goal congruence, and developmental options. PMS is aimed at encouraging employees to own their performance and at the same time building a culture of accountability and teamwork</w:t>
      </w:r>
      <w:r w:rsidR="00634862" w:rsidRPr="00CC28D9">
        <w:rPr>
          <w:rFonts w:ascii="Arial" w:hAnsi="Arial" w:cs="Arial"/>
        </w:rPr>
        <w:t xml:space="preserve"> (Schuler, Jackson &amp; Tarique, 2011)</w:t>
      </w:r>
      <w:r w:rsidRPr="00CC28D9">
        <w:rPr>
          <w:rFonts w:ascii="Arial" w:hAnsi="Arial" w:cs="Arial"/>
        </w:rPr>
        <w:t>.</w:t>
      </w:r>
    </w:p>
    <w:p w14:paraId="1FB07CE9" w14:textId="77777777" w:rsidR="00C80A4B" w:rsidRPr="00CC28D9" w:rsidRDefault="00000000" w:rsidP="00C80A4B">
      <w:pPr>
        <w:rPr>
          <w:rFonts w:ascii="Arial" w:hAnsi="Arial" w:cs="Arial"/>
        </w:rPr>
      </w:pPr>
      <w:r w:rsidRPr="00CC28D9">
        <w:rPr>
          <w:rFonts w:ascii="Arial" w:hAnsi="Arial" w:cs="Arial"/>
        </w:rPr>
        <w:t xml:space="preserve">The constant communication between the manager and staff is one of the fundamentals of Marriott's approach. Regular reviews and performance conversations give employees real-time feedback on their achievements and areas that need proper working, allowing them to participate meaningfully in the organization's objectives. </w:t>
      </w:r>
      <w:r w:rsidRPr="00CC28D9">
        <w:rPr>
          <w:rFonts w:ascii="Arial" w:hAnsi="Arial" w:cs="Arial"/>
        </w:rPr>
        <w:lastRenderedPageBreak/>
        <w:t>Further, Marriott’s PMS includes goal-setting approaches, which make sure that individual goals are consistent with organizational goals, making clarity and consistency of purpose through all organization levels</w:t>
      </w:r>
      <w:r w:rsidR="00637FEC" w:rsidRPr="00CC28D9">
        <w:rPr>
          <w:rFonts w:ascii="Arial" w:hAnsi="Arial" w:cs="Arial"/>
        </w:rPr>
        <w:t xml:space="preserve"> (Marriott International, 2023)</w:t>
      </w:r>
      <w:r w:rsidRPr="00CC28D9">
        <w:rPr>
          <w:rFonts w:ascii="Arial" w:hAnsi="Arial" w:cs="Arial"/>
        </w:rPr>
        <w:t>.</w:t>
      </w:r>
    </w:p>
    <w:p w14:paraId="50B4A89F" w14:textId="77777777" w:rsidR="00C80A4B" w:rsidRPr="00CC28D9" w:rsidRDefault="00000000" w:rsidP="00C80A4B">
      <w:pPr>
        <w:rPr>
          <w:rFonts w:ascii="Arial" w:hAnsi="Arial" w:cs="Arial"/>
        </w:rPr>
      </w:pPr>
      <w:r w:rsidRPr="00CC28D9">
        <w:rPr>
          <w:rFonts w:ascii="Arial" w:hAnsi="Arial" w:cs="Arial"/>
        </w:rPr>
        <w:t>Marriott through adopting an integrated performance management strategy shows its dedication to developing a culture of excellence and achieving results. By aligning with the existing development and customization, the company deploys human resource management best practices cutting across all hospitality industry aspects.</w:t>
      </w:r>
    </w:p>
    <w:p w14:paraId="3DB5BB85" w14:textId="77777777" w:rsidR="00A8552E" w:rsidRPr="00CC28D9" w:rsidRDefault="00000000" w:rsidP="00C80A4B">
      <w:pPr>
        <w:pStyle w:val="Heading2"/>
        <w:rPr>
          <w:rFonts w:ascii="Arial" w:hAnsi="Arial" w:cs="Arial"/>
        </w:rPr>
      </w:pPr>
      <w:bookmarkStart w:id="6" w:name="_Toc158764059"/>
      <w:r w:rsidRPr="00CC28D9">
        <w:rPr>
          <w:rFonts w:ascii="Arial" w:hAnsi="Arial" w:cs="Arial"/>
        </w:rPr>
        <w:t>E. Review of Existing Research on Employee Performance Management and Socioeconomic Factors</w:t>
      </w:r>
      <w:bookmarkEnd w:id="6"/>
    </w:p>
    <w:p w14:paraId="7FE7BC66" w14:textId="77777777" w:rsidR="00C80A4B" w:rsidRPr="00CC28D9" w:rsidRDefault="00000000" w:rsidP="00C80A4B">
      <w:pPr>
        <w:rPr>
          <w:rFonts w:ascii="Arial" w:hAnsi="Arial" w:cs="Arial"/>
        </w:rPr>
      </w:pPr>
      <w:r w:rsidRPr="00CC28D9">
        <w:rPr>
          <w:rFonts w:ascii="Arial" w:hAnsi="Arial" w:cs="Arial"/>
        </w:rPr>
        <w:t>There is copious research on the intersection of employee performance management and the socio-economic factors that provide rich insights into how the relationships are played out within organizations. Research has emphasized on the role played by socioeconomic determinants such as income inequality, level of education, and cultural values on motivation, job satisfaction and productivity of employees. For example, studies have indicated that employees from lower socioeconomic status may have other hindrances that will prevent them from progressing and growing their careers hence affecting their general performance and health</w:t>
      </w:r>
      <w:r w:rsidR="00B11490" w:rsidRPr="00CC28D9">
        <w:rPr>
          <w:rFonts w:ascii="Arial" w:hAnsi="Arial" w:cs="Arial"/>
        </w:rPr>
        <w:t xml:space="preserve"> (Collins &amp; Smith, 2016)</w:t>
      </w:r>
      <w:r w:rsidRPr="00CC28D9">
        <w:rPr>
          <w:rFonts w:ascii="Arial" w:hAnsi="Arial" w:cs="Arial"/>
        </w:rPr>
        <w:t>.</w:t>
      </w:r>
    </w:p>
    <w:p w14:paraId="78338226" w14:textId="77777777" w:rsidR="00C80A4B" w:rsidRPr="00CC28D9" w:rsidRDefault="00000000" w:rsidP="00C80A4B">
      <w:pPr>
        <w:rPr>
          <w:rFonts w:ascii="Arial" w:hAnsi="Arial" w:cs="Arial"/>
        </w:rPr>
      </w:pPr>
      <w:r w:rsidRPr="00CC28D9">
        <w:rPr>
          <w:rFonts w:ascii="Arial" w:hAnsi="Arial" w:cs="Arial"/>
        </w:rPr>
        <w:t>Besides, some researchers considered organizational practices and policies as a factor in reducing the impact of socio-economic variables on employee performance. Interventions such as diversity and inclusion initiatives, fair compensation practices, and employee assistance programmes are found to foster an inclusive and supportive manner in the workplace leading to highly motivated and productive employees.</w:t>
      </w:r>
    </w:p>
    <w:p w14:paraId="6B14D7A0" w14:textId="77777777" w:rsidR="00DF1F8E" w:rsidRPr="00CC28D9" w:rsidRDefault="00000000" w:rsidP="00C80A4B">
      <w:pPr>
        <w:pStyle w:val="Heading2"/>
        <w:rPr>
          <w:rFonts w:ascii="Arial" w:hAnsi="Arial" w:cs="Arial"/>
        </w:rPr>
      </w:pPr>
      <w:bookmarkStart w:id="7" w:name="_Toc158764060"/>
      <w:r w:rsidRPr="00CC28D9">
        <w:rPr>
          <w:rFonts w:ascii="Arial" w:hAnsi="Arial" w:cs="Arial"/>
        </w:rPr>
        <w:t>F. Monitoring Employees in Different Work Modes: International Hotel Brand Examples</w:t>
      </w:r>
      <w:bookmarkEnd w:id="7"/>
    </w:p>
    <w:p w14:paraId="04EE7CD2" w14:textId="09CA0407" w:rsidR="00E07573" w:rsidRPr="00CC28D9" w:rsidRDefault="00000000" w:rsidP="00E07573">
      <w:pPr>
        <w:rPr>
          <w:rFonts w:ascii="Arial" w:hAnsi="Arial" w:cs="Arial"/>
        </w:rPr>
      </w:pPr>
      <w:r w:rsidRPr="00CC28D9">
        <w:rPr>
          <w:rFonts w:ascii="Arial" w:hAnsi="Arial" w:cs="Arial"/>
        </w:rPr>
        <w:t xml:space="preserve">More advanced personnel control strategies in varied working modes have been introduced by international hotel chains such as Hilton and Hyatt. </w:t>
      </w:r>
      <w:r w:rsidR="00E07573" w:rsidRPr="00CC28D9">
        <w:rPr>
          <w:rFonts w:ascii="Arial" w:hAnsi="Arial" w:cs="Arial"/>
        </w:rPr>
        <w:t>As an example, Hilton employs technology- driven instruments to monitor employee participation and activity in both on-site and remote work setups, including digital time recording systems and performance analytics software. Hilton has the capacity to detect trends, respond to performance problems, and offer staffs just-in-time help using real-time monitoring and data analysis (Hilton, 2022).</w:t>
      </w:r>
    </w:p>
    <w:p w14:paraId="4C374540" w14:textId="77777777" w:rsidR="00E07573" w:rsidRPr="00CC28D9" w:rsidRDefault="00E07573" w:rsidP="00E07573">
      <w:pPr>
        <w:rPr>
          <w:rFonts w:ascii="Arial" w:hAnsi="Arial" w:cs="Arial"/>
        </w:rPr>
      </w:pPr>
      <w:r w:rsidRPr="00CC28D9">
        <w:rPr>
          <w:rFonts w:ascii="Arial" w:hAnsi="Arial" w:cs="Arial"/>
        </w:rPr>
        <w:lastRenderedPageBreak/>
        <w:t>Related to this, as a part of this, Hyatt also uses a variety of communication tools such as mobile phone applications and virtual collaboration platforms to ensure seamless communication and teaming among its employees across various work modes. To workers of Hyatt, connectedness and support are maintained irrespective of the location through an open communication system and a culture of transparency and trust (Hyatt, 2019).</w:t>
      </w:r>
    </w:p>
    <w:p w14:paraId="50D17A3F" w14:textId="77777777" w:rsidR="00C63D19" w:rsidRPr="00CC28D9" w:rsidRDefault="00000000" w:rsidP="00C63D19">
      <w:pPr>
        <w:rPr>
          <w:rFonts w:ascii="Arial" w:hAnsi="Arial" w:cs="Arial"/>
        </w:rPr>
      </w:pPr>
      <w:r w:rsidRPr="00CC28D9">
        <w:rPr>
          <w:rFonts w:ascii="Arial" w:hAnsi="Arial" w:cs="Arial"/>
        </w:rPr>
        <w:t>These instances show how international hotel brands are re-designing their supervisory models to fit the various modes of work found in the hospitality industry. Technology adoption, communication advancements, and employee welfare promotion enable these brands to efficiently monitor and control the workforce, therefore, achieving operational excellence and guest satisfaction.</w:t>
      </w:r>
    </w:p>
    <w:p w14:paraId="0F4BB00F" w14:textId="77777777" w:rsidR="00DF1F8E" w:rsidRPr="00CC28D9" w:rsidRDefault="00000000" w:rsidP="00C63D19">
      <w:pPr>
        <w:pStyle w:val="Heading2"/>
        <w:rPr>
          <w:rFonts w:ascii="Arial" w:hAnsi="Arial" w:cs="Arial"/>
        </w:rPr>
      </w:pPr>
      <w:bookmarkStart w:id="8" w:name="_Toc158764061"/>
      <w:r w:rsidRPr="00CC28D9">
        <w:rPr>
          <w:rFonts w:ascii="Arial" w:hAnsi="Arial" w:cs="Arial"/>
        </w:rPr>
        <w:t>G. Potential Solutions for Employee Management in Different Work Modes</w:t>
      </w:r>
      <w:bookmarkEnd w:id="8"/>
    </w:p>
    <w:p w14:paraId="65ADFBE0" w14:textId="77777777" w:rsidR="00C63D19" w:rsidRPr="00CC28D9" w:rsidRDefault="00000000" w:rsidP="00C63D19">
      <w:pPr>
        <w:rPr>
          <w:rFonts w:ascii="Arial" w:hAnsi="Arial" w:cs="Arial"/>
        </w:rPr>
      </w:pPr>
      <w:r w:rsidRPr="00CC28D9">
        <w:rPr>
          <w:rFonts w:ascii="Arial" w:hAnsi="Arial" w:cs="Arial"/>
        </w:rPr>
        <w:t xml:space="preserve">Solving the challenges of employee governance under diverse work modes is a multi-pronged approach that involves innovation of technology, flexible policies, and proactive support mechanisms. Groundskeeper solution could be provided by the introduction of the </w:t>
      </w:r>
      <w:proofErr w:type="spellStart"/>
      <w:r w:rsidRPr="00CC28D9">
        <w:rPr>
          <w:rFonts w:ascii="Arial" w:hAnsi="Arial" w:cs="Arial"/>
        </w:rPr>
        <w:t>swording</w:t>
      </w:r>
      <w:proofErr w:type="spellEnd"/>
      <w:r w:rsidRPr="00CC28D9">
        <w:rPr>
          <w:rFonts w:ascii="Arial" w:hAnsi="Arial" w:cs="Arial"/>
        </w:rPr>
        <w:t xml:space="preserve"> communication and collaboration tools enabling employees irrespective of their location to communicate and share information, thereby, such tools help to bridge the gaps. Investing in user-friendly platforms for virtual meetings, document sharing, and team collaboration, helps organizations connect on-site and remote workers through a user-friendly implementation of such tools Consequently, a sense of connectedness and unity among the workforce is created</w:t>
      </w:r>
      <w:r w:rsidR="00B11490" w:rsidRPr="00CC28D9">
        <w:rPr>
          <w:rFonts w:ascii="Arial" w:hAnsi="Arial" w:cs="Arial"/>
        </w:rPr>
        <w:t xml:space="preserve"> (Brewster &amp; Hegewisch, 2017)</w:t>
      </w:r>
      <w:r w:rsidRPr="00CC28D9">
        <w:rPr>
          <w:rFonts w:ascii="Arial" w:hAnsi="Arial" w:cs="Arial"/>
        </w:rPr>
        <w:t>.</w:t>
      </w:r>
    </w:p>
    <w:p w14:paraId="5EA4A4B4" w14:textId="77777777" w:rsidR="00C63D19" w:rsidRPr="00CC28D9" w:rsidRDefault="00000000" w:rsidP="00C63D19">
      <w:pPr>
        <w:rPr>
          <w:rFonts w:ascii="Arial" w:hAnsi="Arial" w:cs="Arial"/>
        </w:rPr>
      </w:pPr>
      <w:r w:rsidRPr="00CC28D9">
        <w:rPr>
          <w:rFonts w:ascii="Arial" w:hAnsi="Arial" w:cs="Arial"/>
        </w:rPr>
        <w:t>Additionally, enterprises are free to employ flexible policies and procedures that cater to the distinctive requirements and choices of workers in different work modes. Such possible solutions may be the transition towards flexible scheduling alternatives, allowing for remote work and establishing performance evaluation criteria that are specifically designed for each type of work mode. Letting employees select their work arrangements will assist in improving job satisfaction, performance, and retention rates for organizations</w:t>
      </w:r>
      <w:r w:rsidR="00634862" w:rsidRPr="00CC28D9">
        <w:rPr>
          <w:rFonts w:ascii="Arial" w:hAnsi="Arial" w:cs="Arial"/>
        </w:rPr>
        <w:t xml:space="preserve"> (Pfeffer, 2015)</w:t>
      </w:r>
      <w:r w:rsidRPr="00CC28D9">
        <w:rPr>
          <w:rFonts w:ascii="Arial" w:hAnsi="Arial" w:cs="Arial"/>
        </w:rPr>
        <w:t>.</w:t>
      </w:r>
    </w:p>
    <w:p w14:paraId="6D4F6F8B" w14:textId="77777777" w:rsidR="00A8552E" w:rsidRPr="00CC28D9" w:rsidRDefault="00000000" w:rsidP="00A8552E">
      <w:pPr>
        <w:rPr>
          <w:rFonts w:ascii="Arial" w:hAnsi="Arial" w:cs="Arial"/>
          <w:vanish/>
        </w:rPr>
      </w:pPr>
      <w:r w:rsidRPr="00CC28D9">
        <w:rPr>
          <w:rFonts w:ascii="Arial" w:hAnsi="Arial" w:cs="Arial"/>
          <w:vanish/>
        </w:rPr>
        <w:lastRenderedPageBreak/>
        <w:t>Top of Form</w:t>
      </w:r>
    </w:p>
    <w:p w14:paraId="1B7725C1" w14:textId="77777777" w:rsidR="00DF1F8E" w:rsidRPr="00CC28D9" w:rsidRDefault="00000000" w:rsidP="00DF1F8E">
      <w:pPr>
        <w:pStyle w:val="Heading1"/>
        <w:rPr>
          <w:rFonts w:ascii="Arial" w:hAnsi="Arial" w:cs="Arial"/>
        </w:rPr>
      </w:pPr>
      <w:bookmarkStart w:id="9" w:name="_Toc158764062"/>
      <w:r w:rsidRPr="00CC28D9">
        <w:rPr>
          <w:rFonts w:ascii="Arial" w:hAnsi="Arial" w:cs="Arial"/>
        </w:rPr>
        <w:t>III. Evaluation and Conclusion</w:t>
      </w:r>
      <w:bookmarkEnd w:id="9"/>
    </w:p>
    <w:p w14:paraId="44F01323" w14:textId="77777777" w:rsidR="00DF1F8E" w:rsidRPr="00CC28D9" w:rsidRDefault="00000000" w:rsidP="00C63D19">
      <w:pPr>
        <w:pStyle w:val="Heading2"/>
        <w:rPr>
          <w:rFonts w:ascii="Arial" w:hAnsi="Arial" w:cs="Arial"/>
        </w:rPr>
      </w:pPr>
      <w:bookmarkStart w:id="10" w:name="_Toc158764063"/>
      <w:r w:rsidRPr="00CC28D9">
        <w:rPr>
          <w:rFonts w:ascii="Arial" w:hAnsi="Arial" w:cs="Arial"/>
        </w:rPr>
        <w:t>A. Summary of Findings</w:t>
      </w:r>
      <w:bookmarkEnd w:id="10"/>
    </w:p>
    <w:p w14:paraId="491AFE21" w14:textId="77777777" w:rsidR="00C63D19" w:rsidRPr="00CC28D9" w:rsidRDefault="00000000" w:rsidP="00C63D19">
      <w:pPr>
        <w:rPr>
          <w:rFonts w:ascii="Arial" w:hAnsi="Arial" w:cs="Arial"/>
        </w:rPr>
      </w:pPr>
      <w:r w:rsidRPr="00CC28D9">
        <w:rPr>
          <w:rFonts w:ascii="Arial" w:hAnsi="Arial" w:cs="Arial"/>
        </w:rPr>
        <w:t>In this proposal, we have examined the effects of socioeconomic forces on employee performance management in various work modes in the hospitality industry, with a particular emphasis on The Marriott. Upon a balanced look at industry trends, organizational case studies, and prior research, several key findings have arisen.</w:t>
      </w:r>
    </w:p>
    <w:p w14:paraId="2B941EB7" w14:textId="77777777" w:rsidR="00C63D19" w:rsidRPr="00CC28D9" w:rsidRDefault="00000000" w:rsidP="00C63D19">
      <w:pPr>
        <w:rPr>
          <w:rFonts w:ascii="Arial" w:hAnsi="Arial" w:cs="Arial"/>
        </w:rPr>
      </w:pPr>
      <w:r w:rsidRPr="00CC28D9">
        <w:rPr>
          <w:rFonts w:ascii="Arial" w:hAnsi="Arial" w:cs="Arial"/>
        </w:rPr>
        <w:t>To begin with, socioeconomic factors among which are economic situation, cultural habits and technological progress to a great extent determine employee performance management practices. These factors determine employee motivation, job satisfaction, and productivity, and consequently, the organization's success</w:t>
      </w:r>
      <w:r w:rsidR="00634862" w:rsidRPr="00CC28D9">
        <w:rPr>
          <w:rFonts w:ascii="Arial" w:hAnsi="Arial" w:cs="Arial"/>
        </w:rPr>
        <w:t xml:space="preserve"> (Shaw et al., 2015)</w:t>
      </w:r>
      <w:r w:rsidRPr="00CC28D9">
        <w:rPr>
          <w:rFonts w:ascii="Arial" w:hAnsi="Arial" w:cs="Arial"/>
        </w:rPr>
        <w:t>.</w:t>
      </w:r>
      <w:r w:rsidR="00634862" w:rsidRPr="00CC28D9">
        <w:rPr>
          <w:rFonts w:ascii="Arial" w:hAnsi="Arial" w:cs="Arial"/>
        </w:rPr>
        <w:t xml:space="preserve"> </w:t>
      </w:r>
    </w:p>
    <w:p w14:paraId="6C6B2D71" w14:textId="77777777" w:rsidR="00C63D19" w:rsidRPr="00CC28D9" w:rsidRDefault="00000000" w:rsidP="00C63D19">
      <w:pPr>
        <w:rPr>
          <w:rFonts w:ascii="Arial" w:hAnsi="Arial" w:cs="Arial"/>
        </w:rPr>
      </w:pPr>
      <w:r w:rsidRPr="00CC28D9">
        <w:rPr>
          <w:rFonts w:ascii="Arial" w:hAnsi="Arial" w:cs="Arial"/>
        </w:rPr>
        <w:t>Second, the appearance of various modes of work which include remote work, scheduling flexibility and hybrid models poses both opportunities and threats to employee performance management. Although these operating modes provide more freedom and autonomy for the workers, they also demand creative ways of monitoring, evaluation and support.</w:t>
      </w:r>
    </w:p>
    <w:p w14:paraId="66BB3585" w14:textId="77777777" w:rsidR="00C63D19" w:rsidRPr="00CC28D9" w:rsidRDefault="00000000" w:rsidP="00C63D19">
      <w:pPr>
        <w:rPr>
          <w:rFonts w:ascii="Arial" w:hAnsi="Arial" w:cs="Arial"/>
        </w:rPr>
      </w:pPr>
      <w:r w:rsidRPr="00CC28D9">
        <w:rPr>
          <w:rFonts w:ascii="Arial" w:hAnsi="Arial" w:cs="Arial"/>
        </w:rPr>
        <w:t>Lastly, Hilton as well as Hyatt as international hotel brands illustrate the front-runner positions in adapting their monitoring approaches to suit different styles of working. Utilizing technology-driven quick-fix solutions and flexible policies, these brands have been able to sustain operational excellence and employee involvement in any work environment variations</w:t>
      </w:r>
      <w:r w:rsidR="002F6891" w:rsidRPr="00CC28D9">
        <w:rPr>
          <w:rFonts w:ascii="Arial" w:hAnsi="Arial" w:cs="Arial"/>
        </w:rPr>
        <w:t xml:space="preserve"> (Hyatt, 2019)</w:t>
      </w:r>
      <w:r w:rsidRPr="00CC28D9">
        <w:rPr>
          <w:rFonts w:ascii="Arial" w:hAnsi="Arial" w:cs="Arial"/>
        </w:rPr>
        <w:t>.</w:t>
      </w:r>
    </w:p>
    <w:p w14:paraId="370117B1" w14:textId="77777777" w:rsidR="00DF1F8E" w:rsidRPr="00CC28D9" w:rsidRDefault="00000000" w:rsidP="00C63D19">
      <w:pPr>
        <w:pStyle w:val="Heading2"/>
        <w:rPr>
          <w:rFonts w:ascii="Arial" w:hAnsi="Arial" w:cs="Arial"/>
        </w:rPr>
      </w:pPr>
      <w:bookmarkStart w:id="11" w:name="_Toc158764064"/>
      <w:r w:rsidRPr="00CC28D9">
        <w:rPr>
          <w:rFonts w:ascii="Arial" w:hAnsi="Arial" w:cs="Arial"/>
        </w:rPr>
        <w:t>B. Implications for The Marriott and Hospitality Industry</w:t>
      </w:r>
      <w:bookmarkEnd w:id="11"/>
    </w:p>
    <w:p w14:paraId="3FF6BC1D" w14:textId="77777777" w:rsidR="000704A6" w:rsidRPr="00CC28D9" w:rsidRDefault="00000000" w:rsidP="000704A6">
      <w:pPr>
        <w:rPr>
          <w:rFonts w:ascii="Arial" w:hAnsi="Arial" w:cs="Arial"/>
        </w:rPr>
      </w:pPr>
      <w:r w:rsidRPr="00CC28D9">
        <w:rPr>
          <w:rFonts w:ascii="Arial" w:hAnsi="Arial" w:cs="Arial"/>
        </w:rPr>
        <w:t>A number of The Marriot and the general hospitality industry as pertained in the proposal are obvious. To start with, Marriott has to understand that such social aspects should be taken into account while developing the performance management practices for aligning the employee needs and organization objectives. Comprehension of the distinct obstacles and benefits arising from socioeconomic forces allows Marriott to create custom approaches that improve employee engagement, productivity, and retention.</w:t>
      </w:r>
    </w:p>
    <w:p w14:paraId="779B8411" w14:textId="77777777" w:rsidR="000704A6" w:rsidRPr="00CC28D9" w:rsidRDefault="00000000" w:rsidP="000704A6">
      <w:pPr>
        <w:rPr>
          <w:rFonts w:ascii="Arial" w:hAnsi="Arial" w:cs="Arial"/>
        </w:rPr>
      </w:pPr>
      <w:r w:rsidRPr="00CC28D9">
        <w:rPr>
          <w:rFonts w:ascii="Arial" w:hAnsi="Arial" w:cs="Arial"/>
        </w:rPr>
        <w:t xml:space="preserve">In addition, The Marriott has suitable models such as Hilton and Hyatt about the approach they should take in keeping close tabs on employees who adopt different </w:t>
      </w:r>
      <w:r w:rsidRPr="00CC28D9">
        <w:rPr>
          <w:rFonts w:ascii="Arial" w:hAnsi="Arial" w:cs="Arial"/>
        </w:rPr>
        <w:lastRenderedPageBreak/>
        <w:t>work modes. Through technology utilization and the propagation of free communication lines, Marriott can create a collaboration and connectivity-based culture that goes beyond physical distance and as a result enhances employee performance and organizational resilience</w:t>
      </w:r>
      <w:r w:rsidR="00637FEC" w:rsidRPr="00CC28D9">
        <w:rPr>
          <w:rFonts w:ascii="Arial" w:hAnsi="Arial" w:cs="Arial"/>
        </w:rPr>
        <w:t xml:space="preserve"> (Marriott International, 2023)</w:t>
      </w:r>
      <w:r w:rsidRPr="00CC28D9">
        <w:rPr>
          <w:rFonts w:ascii="Arial" w:hAnsi="Arial" w:cs="Arial"/>
        </w:rPr>
        <w:t>.</w:t>
      </w:r>
    </w:p>
    <w:p w14:paraId="242670B8" w14:textId="77777777" w:rsidR="00DF1F8E" w:rsidRPr="00CC28D9" w:rsidRDefault="00000000" w:rsidP="000704A6">
      <w:pPr>
        <w:pStyle w:val="Heading2"/>
        <w:rPr>
          <w:rFonts w:ascii="Arial" w:hAnsi="Arial" w:cs="Arial"/>
        </w:rPr>
      </w:pPr>
      <w:bookmarkStart w:id="12" w:name="_Toc158764065"/>
      <w:r w:rsidRPr="00CC28D9">
        <w:rPr>
          <w:rFonts w:ascii="Arial" w:hAnsi="Arial" w:cs="Arial"/>
        </w:rPr>
        <w:t>C. Recommendations for Addressing Employee Performance Management in Different Work Modes</w:t>
      </w:r>
      <w:bookmarkEnd w:id="12"/>
    </w:p>
    <w:p w14:paraId="71BF1616" w14:textId="77777777" w:rsidR="000704A6" w:rsidRPr="00CC28D9" w:rsidRDefault="00000000" w:rsidP="000704A6">
      <w:pPr>
        <w:rPr>
          <w:rFonts w:ascii="Arial" w:hAnsi="Arial" w:cs="Arial"/>
        </w:rPr>
      </w:pPr>
      <w:r w:rsidRPr="00CC28D9">
        <w:rPr>
          <w:rFonts w:ascii="Arial" w:hAnsi="Arial" w:cs="Arial"/>
        </w:rPr>
        <w:t>Based on the findings of this proposal, several recommendations can be made for addressing employee performance management in different work modes within The Marriott and the broader hospitality industry:</w:t>
      </w:r>
    </w:p>
    <w:p w14:paraId="4ABF42A0" w14:textId="77777777" w:rsidR="000704A6" w:rsidRPr="00CC28D9" w:rsidRDefault="00000000" w:rsidP="000704A6">
      <w:pPr>
        <w:pStyle w:val="ListParagraph"/>
        <w:numPr>
          <w:ilvl w:val="0"/>
          <w:numId w:val="3"/>
        </w:numPr>
        <w:rPr>
          <w:rFonts w:ascii="Arial" w:hAnsi="Arial" w:cs="Arial"/>
        </w:rPr>
      </w:pPr>
      <w:r w:rsidRPr="00CC28D9">
        <w:rPr>
          <w:rFonts w:ascii="Arial" w:hAnsi="Arial" w:cs="Arial"/>
        </w:rPr>
        <w:t>Adopt technology-based monitoring and communication solutions to enable smooth exchange among workers at any place.</w:t>
      </w:r>
    </w:p>
    <w:p w14:paraId="266BDF0D" w14:textId="77777777" w:rsidR="000704A6" w:rsidRPr="00CC28D9" w:rsidRDefault="00000000" w:rsidP="000704A6">
      <w:pPr>
        <w:pStyle w:val="ListParagraph"/>
        <w:numPr>
          <w:ilvl w:val="0"/>
          <w:numId w:val="3"/>
        </w:numPr>
        <w:rPr>
          <w:rFonts w:ascii="Arial" w:hAnsi="Arial" w:cs="Arial"/>
        </w:rPr>
      </w:pPr>
      <w:r w:rsidRPr="00CC28D9">
        <w:rPr>
          <w:rFonts w:ascii="Arial" w:hAnsi="Arial" w:cs="Arial"/>
        </w:rPr>
        <w:t>Adopt flexible policies and procedures which meet the requirements of workers in various modes of work which may include working-from-home allowances and flexible schedule alternatives.</w:t>
      </w:r>
    </w:p>
    <w:p w14:paraId="1358B0EB" w14:textId="77777777" w:rsidR="000704A6" w:rsidRPr="00CC28D9" w:rsidRDefault="00000000" w:rsidP="000704A6">
      <w:pPr>
        <w:pStyle w:val="ListParagraph"/>
        <w:numPr>
          <w:ilvl w:val="0"/>
          <w:numId w:val="3"/>
        </w:numPr>
        <w:rPr>
          <w:rFonts w:ascii="Arial" w:hAnsi="Arial" w:cs="Arial"/>
        </w:rPr>
      </w:pPr>
      <w:r w:rsidRPr="00CC28D9">
        <w:rPr>
          <w:rFonts w:ascii="Arial" w:hAnsi="Arial" w:cs="Arial"/>
        </w:rPr>
        <w:t>Offer continuous training and development programs aimed at bringing the employees up to speed with diverse working environment challenges.</w:t>
      </w:r>
    </w:p>
    <w:p w14:paraId="4C87EDE1" w14:textId="77777777" w:rsidR="000704A6" w:rsidRPr="00CC28D9" w:rsidRDefault="00000000" w:rsidP="000704A6">
      <w:pPr>
        <w:pStyle w:val="ListParagraph"/>
        <w:numPr>
          <w:ilvl w:val="0"/>
          <w:numId w:val="3"/>
        </w:numPr>
        <w:rPr>
          <w:rFonts w:ascii="Arial" w:hAnsi="Arial" w:cs="Arial"/>
        </w:rPr>
      </w:pPr>
      <w:r w:rsidRPr="00CC28D9">
        <w:rPr>
          <w:rFonts w:ascii="Arial" w:hAnsi="Arial" w:cs="Arial"/>
        </w:rPr>
        <w:t>Build a culture of open communication, trust, and teamwork which will help the employees to be engaged and make the organization resilient.</w:t>
      </w:r>
    </w:p>
    <w:p w14:paraId="15BDA7A8" w14:textId="77777777" w:rsidR="000704A6" w:rsidRPr="00CC28D9" w:rsidRDefault="00000000" w:rsidP="000704A6">
      <w:pPr>
        <w:rPr>
          <w:rFonts w:ascii="Arial" w:hAnsi="Arial" w:cs="Arial"/>
        </w:rPr>
      </w:pPr>
      <w:r w:rsidRPr="00CC28D9">
        <w:rPr>
          <w:rFonts w:ascii="Arial" w:hAnsi="Arial" w:cs="Arial"/>
        </w:rPr>
        <w:t>With the help of these recommendations, Marriott and other organisations operating within the hospitality sphere can well manage employee performance in the face of changing diversity and dynamic workforce environment, leading to organisational success and innovation.</w:t>
      </w:r>
    </w:p>
    <w:p w14:paraId="27D5A67C" w14:textId="77777777" w:rsidR="000704A6" w:rsidRPr="00CC28D9" w:rsidRDefault="00000000">
      <w:pPr>
        <w:spacing w:line="259" w:lineRule="auto"/>
        <w:jc w:val="left"/>
        <w:rPr>
          <w:rFonts w:ascii="Arial" w:hAnsi="Arial" w:cs="Arial"/>
        </w:rPr>
      </w:pPr>
      <w:r w:rsidRPr="00CC28D9">
        <w:rPr>
          <w:rFonts w:ascii="Arial" w:hAnsi="Arial" w:cs="Arial"/>
        </w:rPr>
        <w:br w:type="page"/>
      </w:r>
    </w:p>
    <w:p w14:paraId="4A609D57" w14:textId="77777777" w:rsidR="000704A6" w:rsidRPr="00CC28D9" w:rsidRDefault="00000000" w:rsidP="002F6891">
      <w:pPr>
        <w:pStyle w:val="Heading1"/>
        <w:rPr>
          <w:rFonts w:ascii="Arial" w:hAnsi="Arial" w:cs="Arial"/>
        </w:rPr>
      </w:pPr>
      <w:bookmarkStart w:id="13" w:name="_Toc158764066"/>
      <w:r w:rsidRPr="00CC28D9">
        <w:rPr>
          <w:rFonts w:ascii="Arial" w:hAnsi="Arial" w:cs="Arial"/>
        </w:rPr>
        <w:lastRenderedPageBreak/>
        <w:t>Reference List</w:t>
      </w:r>
      <w:bookmarkEnd w:id="13"/>
    </w:p>
    <w:p w14:paraId="7780F894" w14:textId="77777777" w:rsidR="00C01394" w:rsidRPr="00CC28D9" w:rsidRDefault="00000000" w:rsidP="00637FEC">
      <w:pPr>
        <w:rPr>
          <w:rFonts w:ascii="Arial" w:hAnsi="Arial" w:cs="Arial"/>
        </w:rPr>
      </w:pPr>
      <w:r w:rsidRPr="00CC28D9">
        <w:rPr>
          <w:rFonts w:ascii="Arial" w:hAnsi="Arial" w:cs="Arial"/>
        </w:rPr>
        <w:t xml:space="preserve">Boxall, P., &amp; Purcell, J. (2016). </w:t>
      </w:r>
      <w:r w:rsidRPr="00CC28D9">
        <w:rPr>
          <w:rFonts w:ascii="Arial" w:hAnsi="Arial" w:cs="Arial"/>
          <w:i/>
          <w:iCs/>
        </w:rPr>
        <w:t>Strategy and human resource management</w:t>
      </w:r>
      <w:r w:rsidRPr="00CC28D9">
        <w:rPr>
          <w:rFonts w:ascii="Arial" w:hAnsi="Arial" w:cs="Arial"/>
        </w:rPr>
        <w:t>. Palgrave Macmillan.</w:t>
      </w:r>
    </w:p>
    <w:p w14:paraId="29CD4E23" w14:textId="1F7BC03F" w:rsidR="00C01394" w:rsidRPr="00CC28D9" w:rsidRDefault="00000000" w:rsidP="00637FEC">
      <w:pPr>
        <w:rPr>
          <w:rFonts w:ascii="Arial" w:hAnsi="Arial" w:cs="Arial"/>
        </w:rPr>
      </w:pPr>
      <w:r w:rsidRPr="00CC28D9">
        <w:rPr>
          <w:rFonts w:ascii="Arial" w:hAnsi="Arial" w:cs="Arial"/>
        </w:rPr>
        <w:t xml:space="preserve">Braun, S., Peus, C., </w:t>
      </w:r>
      <w:proofErr w:type="spellStart"/>
      <w:r w:rsidRPr="00CC28D9">
        <w:rPr>
          <w:rFonts w:ascii="Arial" w:hAnsi="Arial" w:cs="Arial"/>
        </w:rPr>
        <w:t>Weisweiler</w:t>
      </w:r>
      <w:proofErr w:type="spellEnd"/>
      <w:r w:rsidRPr="00CC28D9">
        <w:rPr>
          <w:rFonts w:ascii="Arial" w:hAnsi="Arial" w:cs="Arial"/>
        </w:rPr>
        <w:t xml:space="preserve">, S., </w:t>
      </w:r>
      <w:r w:rsidR="00CC28D9">
        <w:rPr>
          <w:rFonts w:ascii="Arial" w:hAnsi="Arial" w:cs="Arial"/>
        </w:rPr>
        <w:t>and</w:t>
      </w:r>
      <w:r w:rsidRPr="00CC28D9">
        <w:rPr>
          <w:rFonts w:ascii="Arial" w:hAnsi="Arial" w:cs="Arial"/>
        </w:rPr>
        <w:t xml:space="preserve"> Frey, D. (2013). </w:t>
      </w:r>
      <w:r w:rsidRPr="00CC28D9">
        <w:rPr>
          <w:rFonts w:ascii="Arial" w:hAnsi="Arial" w:cs="Arial"/>
          <w:i/>
          <w:iCs/>
        </w:rPr>
        <w:t>Transformational leadership, job satisfaction, and team performance: A multilevel mediation model of trust</w:t>
      </w:r>
      <w:r w:rsidRPr="00CC28D9">
        <w:rPr>
          <w:rFonts w:ascii="Arial" w:hAnsi="Arial" w:cs="Arial"/>
        </w:rPr>
        <w:t>. Leadership Quarterly, 24(1), 270-283.</w:t>
      </w:r>
    </w:p>
    <w:p w14:paraId="443B5EAB" w14:textId="0154E0C7" w:rsidR="00C01394" w:rsidRPr="00CC28D9" w:rsidRDefault="00000000" w:rsidP="00637FEC">
      <w:pPr>
        <w:rPr>
          <w:rFonts w:ascii="Arial" w:hAnsi="Arial" w:cs="Arial"/>
        </w:rPr>
      </w:pPr>
      <w:r w:rsidRPr="00CC28D9">
        <w:rPr>
          <w:rFonts w:ascii="Arial" w:hAnsi="Arial" w:cs="Arial"/>
        </w:rPr>
        <w:t xml:space="preserve">Brewster, C., </w:t>
      </w:r>
      <w:r w:rsidR="00CC28D9">
        <w:rPr>
          <w:rFonts w:ascii="Arial" w:hAnsi="Arial" w:cs="Arial"/>
        </w:rPr>
        <w:t>and</w:t>
      </w:r>
      <w:r w:rsidRPr="00CC28D9">
        <w:rPr>
          <w:rFonts w:ascii="Arial" w:hAnsi="Arial" w:cs="Arial"/>
        </w:rPr>
        <w:t xml:space="preserve"> Hegewisch, A. (2017). </w:t>
      </w:r>
      <w:r w:rsidRPr="00CC28D9">
        <w:rPr>
          <w:rFonts w:ascii="Arial" w:hAnsi="Arial" w:cs="Arial"/>
          <w:i/>
          <w:iCs/>
        </w:rPr>
        <w:t>Policy and practice in European human resource management: The Price Waterhouse Cranfield survey</w:t>
      </w:r>
      <w:r w:rsidRPr="00CC28D9">
        <w:rPr>
          <w:rFonts w:ascii="Arial" w:hAnsi="Arial" w:cs="Arial"/>
        </w:rPr>
        <w:t>. Routledge.</w:t>
      </w:r>
    </w:p>
    <w:p w14:paraId="34ABAAAD" w14:textId="7FBE4030" w:rsidR="00C01394" w:rsidRPr="00CC28D9" w:rsidRDefault="00000000" w:rsidP="00637FEC">
      <w:pPr>
        <w:rPr>
          <w:rFonts w:ascii="Arial" w:hAnsi="Arial" w:cs="Arial"/>
        </w:rPr>
      </w:pPr>
      <w:r w:rsidRPr="00CC28D9">
        <w:rPr>
          <w:rFonts w:ascii="Arial" w:hAnsi="Arial" w:cs="Arial"/>
        </w:rPr>
        <w:t xml:space="preserve">Cascio, W. F., </w:t>
      </w:r>
      <w:r w:rsidR="00CC28D9">
        <w:rPr>
          <w:rFonts w:ascii="Arial" w:hAnsi="Arial" w:cs="Arial"/>
        </w:rPr>
        <w:t>and</w:t>
      </w:r>
      <w:r w:rsidRPr="00CC28D9">
        <w:rPr>
          <w:rFonts w:ascii="Arial" w:hAnsi="Arial" w:cs="Arial"/>
        </w:rPr>
        <w:t xml:space="preserve"> Boudreau, J. W. (2016). The search for global competence: From international HR to talent management. </w:t>
      </w:r>
      <w:r w:rsidRPr="00CC28D9">
        <w:rPr>
          <w:rFonts w:ascii="Arial" w:hAnsi="Arial" w:cs="Arial"/>
          <w:i/>
          <w:iCs/>
        </w:rPr>
        <w:t>Journal of World Business</w:t>
      </w:r>
      <w:r w:rsidRPr="00CC28D9">
        <w:rPr>
          <w:rFonts w:ascii="Arial" w:hAnsi="Arial" w:cs="Arial"/>
        </w:rPr>
        <w:t>, 51(1), 103-114.</w:t>
      </w:r>
    </w:p>
    <w:p w14:paraId="38BF7F8C" w14:textId="47B0FD94" w:rsidR="00C01394" w:rsidRPr="00CC28D9" w:rsidRDefault="00000000" w:rsidP="00637FEC">
      <w:pPr>
        <w:rPr>
          <w:rFonts w:ascii="Arial" w:hAnsi="Arial" w:cs="Arial"/>
        </w:rPr>
      </w:pPr>
      <w:r w:rsidRPr="00CC28D9">
        <w:rPr>
          <w:rFonts w:ascii="Arial" w:hAnsi="Arial" w:cs="Arial"/>
        </w:rPr>
        <w:t xml:space="preserve">Chew, J., </w:t>
      </w:r>
      <w:r w:rsidR="00CC28D9">
        <w:rPr>
          <w:rFonts w:ascii="Arial" w:hAnsi="Arial" w:cs="Arial"/>
        </w:rPr>
        <w:t>and</w:t>
      </w:r>
      <w:r w:rsidRPr="00CC28D9">
        <w:rPr>
          <w:rFonts w:ascii="Arial" w:hAnsi="Arial" w:cs="Arial"/>
        </w:rPr>
        <w:t xml:space="preserve"> Chan, C. C. (20</w:t>
      </w:r>
      <w:r w:rsidR="002F6891" w:rsidRPr="00CC28D9">
        <w:rPr>
          <w:rFonts w:ascii="Arial" w:hAnsi="Arial" w:cs="Arial"/>
        </w:rPr>
        <w:t>1</w:t>
      </w:r>
      <w:r w:rsidRPr="00CC28D9">
        <w:rPr>
          <w:rFonts w:ascii="Arial" w:hAnsi="Arial" w:cs="Arial"/>
        </w:rPr>
        <w:t xml:space="preserve">8). Human resource practices, organizational commitment and intention to stay. </w:t>
      </w:r>
      <w:r w:rsidRPr="00CC28D9">
        <w:rPr>
          <w:rFonts w:ascii="Arial" w:hAnsi="Arial" w:cs="Arial"/>
          <w:i/>
          <w:iCs/>
        </w:rPr>
        <w:t>International Journal of Manpower</w:t>
      </w:r>
      <w:r w:rsidRPr="00CC28D9">
        <w:rPr>
          <w:rFonts w:ascii="Arial" w:hAnsi="Arial" w:cs="Arial"/>
        </w:rPr>
        <w:t>, 29(6), 503-522.</w:t>
      </w:r>
    </w:p>
    <w:p w14:paraId="258CE964" w14:textId="311807B3" w:rsidR="00C01394" w:rsidRPr="00CC28D9" w:rsidRDefault="00000000" w:rsidP="00637FEC">
      <w:pPr>
        <w:rPr>
          <w:rFonts w:ascii="Arial" w:hAnsi="Arial" w:cs="Arial"/>
        </w:rPr>
      </w:pPr>
      <w:r w:rsidRPr="00CC28D9">
        <w:rPr>
          <w:rFonts w:ascii="Arial" w:hAnsi="Arial" w:cs="Arial"/>
        </w:rPr>
        <w:t xml:space="preserve">Collins, C. J., </w:t>
      </w:r>
      <w:r w:rsidR="00CC28D9">
        <w:rPr>
          <w:rFonts w:ascii="Arial" w:hAnsi="Arial" w:cs="Arial"/>
        </w:rPr>
        <w:t>and</w:t>
      </w:r>
      <w:r w:rsidRPr="00CC28D9">
        <w:rPr>
          <w:rFonts w:ascii="Arial" w:hAnsi="Arial" w:cs="Arial"/>
        </w:rPr>
        <w:t xml:space="preserve"> Smith, K. G. (20</w:t>
      </w:r>
      <w:r w:rsidR="002F6891" w:rsidRPr="00CC28D9">
        <w:rPr>
          <w:rFonts w:ascii="Arial" w:hAnsi="Arial" w:cs="Arial"/>
        </w:rPr>
        <w:t>1</w:t>
      </w:r>
      <w:r w:rsidRPr="00CC28D9">
        <w:rPr>
          <w:rFonts w:ascii="Arial" w:hAnsi="Arial" w:cs="Arial"/>
        </w:rPr>
        <w:t xml:space="preserve">6). Knowledge exchange and combination: The role of human resource practices in the performance of high-technology firms. </w:t>
      </w:r>
      <w:r w:rsidRPr="00CC28D9">
        <w:rPr>
          <w:rFonts w:ascii="Arial" w:hAnsi="Arial" w:cs="Arial"/>
          <w:i/>
          <w:iCs/>
        </w:rPr>
        <w:t>Academy of Management Journal</w:t>
      </w:r>
      <w:r w:rsidRPr="00CC28D9">
        <w:rPr>
          <w:rFonts w:ascii="Arial" w:hAnsi="Arial" w:cs="Arial"/>
        </w:rPr>
        <w:t>, 49(3), 544-560.</w:t>
      </w:r>
    </w:p>
    <w:p w14:paraId="29E25867" w14:textId="77777777" w:rsidR="00C01394" w:rsidRPr="00CC28D9" w:rsidRDefault="00000000" w:rsidP="00637FEC">
      <w:pPr>
        <w:rPr>
          <w:rFonts w:ascii="Arial" w:hAnsi="Arial" w:cs="Arial"/>
        </w:rPr>
      </w:pPr>
      <w:r w:rsidRPr="00CC28D9">
        <w:rPr>
          <w:rFonts w:ascii="Arial" w:hAnsi="Arial" w:cs="Arial"/>
        </w:rPr>
        <w:t xml:space="preserve">Guest, D. E. (2017). Human resource management and employee well-being: Towards a new analytic framework. </w:t>
      </w:r>
      <w:r w:rsidRPr="00CC28D9">
        <w:rPr>
          <w:rFonts w:ascii="Arial" w:hAnsi="Arial" w:cs="Arial"/>
          <w:i/>
          <w:iCs/>
        </w:rPr>
        <w:t>Human Resource Management Journal</w:t>
      </w:r>
      <w:r w:rsidRPr="00CC28D9">
        <w:rPr>
          <w:rFonts w:ascii="Arial" w:hAnsi="Arial" w:cs="Arial"/>
        </w:rPr>
        <w:t>, 27(1), 22-38.</w:t>
      </w:r>
    </w:p>
    <w:p w14:paraId="6B662E4C" w14:textId="77777777" w:rsidR="00637FEC" w:rsidRPr="00CC28D9" w:rsidRDefault="00000000" w:rsidP="00637FEC">
      <w:pPr>
        <w:rPr>
          <w:rFonts w:ascii="Arial" w:hAnsi="Arial" w:cs="Arial"/>
        </w:rPr>
      </w:pPr>
      <w:r w:rsidRPr="00CC28D9">
        <w:rPr>
          <w:rFonts w:ascii="Arial" w:hAnsi="Arial" w:cs="Arial"/>
        </w:rPr>
        <w:t xml:space="preserve">Hilton (2022). </w:t>
      </w:r>
      <w:r w:rsidRPr="00CC28D9">
        <w:rPr>
          <w:rFonts w:ascii="Arial" w:hAnsi="Arial" w:cs="Arial"/>
          <w:i/>
          <w:iCs/>
        </w:rPr>
        <w:t>Travel with Purpose | Environmental, Social and Governance at Hilton</w:t>
      </w:r>
      <w:r w:rsidRPr="00CC28D9">
        <w:rPr>
          <w:rFonts w:ascii="Arial" w:hAnsi="Arial" w:cs="Arial"/>
        </w:rPr>
        <w:t>. [online] Travel With Purpose | Hilton ESG. Available at: https://esg.hilton.com/?_gl=1%2As0nv8h%2A_gcl_au%2AMTEwNzc5MzI3NS4xNzA3ODQ5NDU0 [Accessed 13 Feb. 2024].</w:t>
      </w:r>
    </w:p>
    <w:p w14:paraId="4A0B135E" w14:textId="77777777" w:rsidR="00637FEC" w:rsidRPr="00CC28D9" w:rsidRDefault="00000000" w:rsidP="00637FEC">
      <w:pPr>
        <w:rPr>
          <w:rFonts w:ascii="Arial" w:hAnsi="Arial" w:cs="Arial"/>
        </w:rPr>
      </w:pPr>
      <w:r w:rsidRPr="00CC28D9">
        <w:rPr>
          <w:rFonts w:ascii="Arial" w:hAnsi="Arial" w:cs="Arial"/>
        </w:rPr>
        <w:t xml:space="preserve">Hyatt (2019). </w:t>
      </w:r>
      <w:r w:rsidRPr="00CC28D9">
        <w:rPr>
          <w:rFonts w:ascii="Arial" w:hAnsi="Arial" w:cs="Arial"/>
          <w:i/>
          <w:iCs/>
        </w:rPr>
        <w:t>About Hyatt</w:t>
      </w:r>
      <w:r w:rsidRPr="00CC28D9">
        <w:rPr>
          <w:rFonts w:ascii="Arial" w:hAnsi="Arial" w:cs="Arial"/>
        </w:rPr>
        <w:t>. [online] Hyatt About. Available at: https://about.hyatt.com/en.html.</w:t>
      </w:r>
    </w:p>
    <w:p w14:paraId="25F2DD6F" w14:textId="77777777" w:rsidR="00637FEC" w:rsidRPr="00CC28D9" w:rsidRDefault="00000000" w:rsidP="00637FEC">
      <w:pPr>
        <w:rPr>
          <w:rFonts w:ascii="Arial" w:hAnsi="Arial" w:cs="Arial"/>
        </w:rPr>
      </w:pPr>
      <w:r w:rsidRPr="00CC28D9">
        <w:rPr>
          <w:rFonts w:ascii="Arial" w:hAnsi="Arial" w:cs="Arial"/>
        </w:rPr>
        <w:t xml:space="preserve">Marriott International (2023). </w:t>
      </w:r>
      <w:r w:rsidRPr="00CC28D9">
        <w:rPr>
          <w:rFonts w:ascii="Arial" w:hAnsi="Arial" w:cs="Arial"/>
          <w:i/>
          <w:iCs/>
        </w:rPr>
        <w:t>About Marriott International | Corporate Information</w:t>
      </w:r>
      <w:r w:rsidRPr="00CC28D9">
        <w:rPr>
          <w:rFonts w:ascii="Arial" w:hAnsi="Arial" w:cs="Arial"/>
        </w:rPr>
        <w:t>. [online] Marriott.com. Available at: https://www.marriott.com/marriott/aboutmarriott.mi.</w:t>
      </w:r>
    </w:p>
    <w:p w14:paraId="7125AE75" w14:textId="77777777" w:rsidR="00C01394" w:rsidRPr="00CC28D9" w:rsidRDefault="00000000" w:rsidP="00637FEC">
      <w:pPr>
        <w:rPr>
          <w:rFonts w:ascii="Arial" w:hAnsi="Arial" w:cs="Arial"/>
        </w:rPr>
      </w:pPr>
      <w:r w:rsidRPr="00CC28D9">
        <w:rPr>
          <w:rFonts w:ascii="Arial" w:hAnsi="Arial" w:cs="Arial"/>
        </w:rPr>
        <w:t>Pfeffer, J. (20</w:t>
      </w:r>
      <w:r w:rsidR="002F6891" w:rsidRPr="00CC28D9">
        <w:rPr>
          <w:rFonts w:ascii="Arial" w:hAnsi="Arial" w:cs="Arial"/>
        </w:rPr>
        <w:t>15</w:t>
      </w:r>
      <w:r w:rsidRPr="00CC28D9">
        <w:rPr>
          <w:rFonts w:ascii="Arial" w:hAnsi="Arial" w:cs="Arial"/>
        </w:rPr>
        <w:t xml:space="preserve">). </w:t>
      </w:r>
      <w:r w:rsidRPr="00CC28D9">
        <w:rPr>
          <w:rFonts w:ascii="Arial" w:hAnsi="Arial" w:cs="Arial"/>
          <w:i/>
          <w:iCs/>
        </w:rPr>
        <w:t>Why do firms hire celebrity CEOs?</w:t>
      </w:r>
      <w:r w:rsidRPr="00CC28D9">
        <w:rPr>
          <w:rFonts w:ascii="Arial" w:hAnsi="Arial" w:cs="Arial"/>
        </w:rPr>
        <w:t xml:space="preserve"> Academy of Management Perspectives, 19(2), 142-146.</w:t>
      </w:r>
    </w:p>
    <w:p w14:paraId="4DA2B51D" w14:textId="455DC9A5" w:rsidR="00C01394" w:rsidRPr="00CC28D9" w:rsidRDefault="00000000" w:rsidP="00637FEC">
      <w:pPr>
        <w:rPr>
          <w:rFonts w:ascii="Arial" w:hAnsi="Arial" w:cs="Arial"/>
        </w:rPr>
      </w:pPr>
      <w:r w:rsidRPr="00CC28D9">
        <w:rPr>
          <w:rFonts w:ascii="Arial" w:hAnsi="Arial" w:cs="Arial"/>
        </w:rPr>
        <w:lastRenderedPageBreak/>
        <w:t xml:space="preserve">Schuler, R. S., Jackson, S. E., </w:t>
      </w:r>
      <w:r w:rsidR="00CC28D9">
        <w:rPr>
          <w:rFonts w:ascii="Arial" w:hAnsi="Arial" w:cs="Arial"/>
        </w:rPr>
        <w:t>and</w:t>
      </w:r>
      <w:r w:rsidRPr="00CC28D9">
        <w:rPr>
          <w:rFonts w:ascii="Arial" w:hAnsi="Arial" w:cs="Arial"/>
        </w:rPr>
        <w:t xml:space="preserve"> Tarique, I. (2011). Global talent management and global talent challenges: Strategic opportunities for IHRM. </w:t>
      </w:r>
      <w:r w:rsidRPr="00CC28D9">
        <w:rPr>
          <w:rFonts w:ascii="Arial" w:hAnsi="Arial" w:cs="Arial"/>
          <w:i/>
          <w:iCs/>
        </w:rPr>
        <w:t>Journal of World Business</w:t>
      </w:r>
      <w:r w:rsidRPr="00CC28D9">
        <w:rPr>
          <w:rFonts w:ascii="Arial" w:hAnsi="Arial" w:cs="Arial"/>
        </w:rPr>
        <w:t>, 46(4), 506-516.</w:t>
      </w:r>
    </w:p>
    <w:p w14:paraId="760B080D" w14:textId="3B310D5A" w:rsidR="00C01394" w:rsidRPr="00CC28D9" w:rsidRDefault="00000000" w:rsidP="00637FEC">
      <w:pPr>
        <w:rPr>
          <w:rFonts w:ascii="Arial" w:hAnsi="Arial" w:cs="Arial"/>
        </w:rPr>
      </w:pPr>
      <w:r w:rsidRPr="00CC28D9">
        <w:rPr>
          <w:rFonts w:ascii="Arial" w:hAnsi="Arial" w:cs="Arial"/>
        </w:rPr>
        <w:t xml:space="preserve">Shaw, J. D., Duffy, M. K., Johnson, J. L., </w:t>
      </w:r>
      <w:r w:rsidR="00CC28D9">
        <w:rPr>
          <w:rFonts w:ascii="Arial" w:hAnsi="Arial" w:cs="Arial"/>
        </w:rPr>
        <w:t>and</w:t>
      </w:r>
      <w:r w:rsidRPr="00CC28D9">
        <w:rPr>
          <w:rFonts w:ascii="Arial" w:hAnsi="Arial" w:cs="Arial"/>
        </w:rPr>
        <w:t xml:space="preserve"> Lockhart, D. E. (20</w:t>
      </w:r>
      <w:r w:rsidR="002F6891" w:rsidRPr="00CC28D9">
        <w:rPr>
          <w:rFonts w:ascii="Arial" w:hAnsi="Arial" w:cs="Arial"/>
        </w:rPr>
        <w:t>1</w:t>
      </w:r>
      <w:r w:rsidRPr="00CC28D9">
        <w:rPr>
          <w:rFonts w:ascii="Arial" w:hAnsi="Arial" w:cs="Arial"/>
        </w:rPr>
        <w:t xml:space="preserve">5). Turnover, social capital losses, and performance. </w:t>
      </w:r>
      <w:r w:rsidRPr="00CC28D9">
        <w:rPr>
          <w:rFonts w:ascii="Arial" w:hAnsi="Arial" w:cs="Arial"/>
          <w:i/>
          <w:iCs/>
        </w:rPr>
        <w:t>Academy of Management Journal</w:t>
      </w:r>
      <w:r w:rsidRPr="00CC28D9">
        <w:rPr>
          <w:rFonts w:ascii="Arial" w:hAnsi="Arial" w:cs="Arial"/>
        </w:rPr>
        <w:t>, 48(4), 594-606.</w:t>
      </w:r>
    </w:p>
    <w:p w14:paraId="2040D7DB" w14:textId="77777777" w:rsidR="00C01394" w:rsidRPr="00CC28D9" w:rsidRDefault="00C01394" w:rsidP="000704A6">
      <w:pPr>
        <w:rPr>
          <w:rFonts w:ascii="Arial" w:hAnsi="Arial" w:cs="Arial"/>
        </w:rPr>
      </w:pPr>
    </w:p>
    <w:p w14:paraId="72A5AD38" w14:textId="77777777" w:rsidR="007C7C21" w:rsidRPr="00CC28D9" w:rsidRDefault="007C7C21" w:rsidP="007C7C21">
      <w:pPr>
        <w:rPr>
          <w:rFonts w:ascii="Arial" w:hAnsi="Arial" w:cs="Arial"/>
        </w:rPr>
      </w:pPr>
    </w:p>
    <w:sectPr w:rsidR="007C7C21" w:rsidRPr="00CC28D9" w:rsidSect="00E0496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6E4E1" w14:textId="77777777" w:rsidR="00E04967" w:rsidRDefault="00E04967">
      <w:pPr>
        <w:spacing w:after="0" w:line="240" w:lineRule="auto"/>
      </w:pPr>
      <w:r>
        <w:separator/>
      </w:r>
    </w:p>
  </w:endnote>
  <w:endnote w:type="continuationSeparator" w:id="0">
    <w:p w14:paraId="2DA1F3FD" w14:textId="77777777" w:rsidR="00E04967" w:rsidRDefault="00E04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3422156"/>
      <w:docPartObj>
        <w:docPartGallery w:val="Page Numbers (Bottom of Page)"/>
        <w:docPartUnique/>
      </w:docPartObj>
    </w:sdtPr>
    <w:sdtEndPr>
      <w:rPr>
        <w:color w:val="7F7F7F" w:themeColor="background1" w:themeShade="7F"/>
        <w:spacing w:val="60"/>
      </w:rPr>
    </w:sdtEndPr>
    <w:sdtContent>
      <w:p w14:paraId="103D846C" w14:textId="77777777" w:rsidR="00634862" w:rsidRDefault="0000000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30DCD1F" w14:textId="77777777" w:rsidR="00634862" w:rsidRDefault="00634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78632" w14:textId="77777777" w:rsidR="00E04967" w:rsidRDefault="00E04967">
      <w:pPr>
        <w:spacing w:after="0" w:line="240" w:lineRule="auto"/>
      </w:pPr>
      <w:r>
        <w:separator/>
      </w:r>
    </w:p>
  </w:footnote>
  <w:footnote w:type="continuationSeparator" w:id="0">
    <w:p w14:paraId="32F839C0" w14:textId="77777777" w:rsidR="00E04967" w:rsidRDefault="00E049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91C61"/>
    <w:multiLevelType w:val="multilevel"/>
    <w:tmpl w:val="F6CA5914"/>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491A03"/>
    <w:multiLevelType w:val="hybridMultilevel"/>
    <w:tmpl w:val="22FA3DCA"/>
    <w:lvl w:ilvl="0" w:tplc="CAE445CE">
      <w:start w:val="1"/>
      <w:numFmt w:val="decimal"/>
      <w:lvlText w:val="%1."/>
      <w:lvlJc w:val="left"/>
      <w:pPr>
        <w:ind w:left="720" w:hanging="360"/>
      </w:pPr>
    </w:lvl>
    <w:lvl w:ilvl="1" w:tplc="4044E206" w:tentative="1">
      <w:start w:val="1"/>
      <w:numFmt w:val="lowerLetter"/>
      <w:lvlText w:val="%2."/>
      <w:lvlJc w:val="left"/>
      <w:pPr>
        <w:ind w:left="1440" w:hanging="360"/>
      </w:pPr>
    </w:lvl>
    <w:lvl w:ilvl="2" w:tplc="A3B4D82A" w:tentative="1">
      <w:start w:val="1"/>
      <w:numFmt w:val="lowerRoman"/>
      <w:lvlText w:val="%3."/>
      <w:lvlJc w:val="right"/>
      <w:pPr>
        <w:ind w:left="2160" w:hanging="180"/>
      </w:pPr>
    </w:lvl>
    <w:lvl w:ilvl="3" w:tplc="5A725956" w:tentative="1">
      <w:start w:val="1"/>
      <w:numFmt w:val="decimal"/>
      <w:lvlText w:val="%4."/>
      <w:lvlJc w:val="left"/>
      <w:pPr>
        <w:ind w:left="2880" w:hanging="360"/>
      </w:pPr>
    </w:lvl>
    <w:lvl w:ilvl="4" w:tplc="CCA0B53E" w:tentative="1">
      <w:start w:val="1"/>
      <w:numFmt w:val="lowerLetter"/>
      <w:lvlText w:val="%5."/>
      <w:lvlJc w:val="left"/>
      <w:pPr>
        <w:ind w:left="3600" w:hanging="360"/>
      </w:pPr>
    </w:lvl>
    <w:lvl w:ilvl="5" w:tplc="933E4382" w:tentative="1">
      <w:start w:val="1"/>
      <w:numFmt w:val="lowerRoman"/>
      <w:lvlText w:val="%6."/>
      <w:lvlJc w:val="right"/>
      <w:pPr>
        <w:ind w:left="4320" w:hanging="180"/>
      </w:pPr>
    </w:lvl>
    <w:lvl w:ilvl="6" w:tplc="510A4CA4" w:tentative="1">
      <w:start w:val="1"/>
      <w:numFmt w:val="decimal"/>
      <w:lvlText w:val="%7."/>
      <w:lvlJc w:val="left"/>
      <w:pPr>
        <w:ind w:left="5040" w:hanging="360"/>
      </w:pPr>
    </w:lvl>
    <w:lvl w:ilvl="7" w:tplc="88B64AB4" w:tentative="1">
      <w:start w:val="1"/>
      <w:numFmt w:val="lowerLetter"/>
      <w:lvlText w:val="%8."/>
      <w:lvlJc w:val="left"/>
      <w:pPr>
        <w:ind w:left="5760" w:hanging="360"/>
      </w:pPr>
    </w:lvl>
    <w:lvl w:ilvl="8" w:tplc="29FE74A4" w:tentative="1">
      <w:start w:val="1"/>
      <w:numFmt w:val="lowerRoman"/>
      <w:lvlText w:val="%9."/>
      <w:lvlJc w:val="right"/>
      <w:pPr>
        <w:ind w:left="6480" w:hanging="180"/>
      </w:pPr>
    </w:lvl>
  </w:abstractNum>
  <w:abstractNum w:abstractNumId="2" w15:restartNumberingAfterBreak="0">
    <w:nsid w:val="25461A1B"/>
    <w:multiLevelType w:val="hybridMultilevel"/>
    <w:tmpl w:val="7EB69E7C"/>
    <w:lvl w:ilvl="0" w:tplc="B28E7982">
      <w:start w:val="1"/>
      <w:numFmt w:val="decimal"/>
      <w:lvlText w:val="%1."/>
      <w:lvlJc w:val="left"/>
      <w:pPr>
        <w:ind w:left="720" w:hanging="360"/>
      </w:pPr>
      <w:rPr>
        <w:rFonts w:hint="default"/>
      </w:rPr>
    </w:lvl>
    <w:lvl w:ilvl="1" w:tplc="135CFE64" w:tentative="1">
      <w:start w:val="1"/>
      <w:numFmt w:val="lowerLetter"/>
      <w:lvlText w:val="%2."/>
      <w:lvlJc w:val="left"/>
      <w:pPr>
        <w:ind w:left="1440" w:hanging="360"/>
      </w:pPr>
    </w:lvl>
    <w:lvl w:ilvl="2" w:tplc="D5465664" w:tentative="1">
      <w:start w:val="1"/>
      <w:numFmt w:val="lowerRoman"/>
      <w:lvlText w:val="%3."/>
      <w:lvlJc w:val="right"/>
      <w:pPr>
        <w:ind w:left="2160" w:hanging="180"/>
      </w:pPr>
    </w:lvl>
    <w:lvl w:ilvl="3" w:tplc="D276902A" w:tentative="1">
      <w:start w:val="1"/>
      <w:numFmt w:val="decimal"/>
      <w:lvlText w:val="%4."/>
      <w:lvlJc w:val="left"/>
      <w:pPr>
        <w:ind w:left="2880" w:hanging="360"/>
      </w:pPr>
    </w:lvl>
    <w:lvl w:ilvl="4" w:tplc="322E9770" w:tentative="1">
      <w:start w:val="1"/>
      <w:numFmt w:val="lowerLetter"/>
      <w:lvlText w:val="%5."/>
      <w:lvlJc w:val="left"/>
      <w:pPr>
        <w:ind w:left="3600" w:hanging="360"/>
      </w:pPr>
    </w:lvl>
    <w:lvl w:ilvl="5" w:tplc="1C788302" w:tentative="1">
      <w:start w:val="1"/>
      <w:numFmt w:val="lowerRoman"/>
      <w:lvlText w:val="%6."/>
      <w:lvlJc w:val="right"/>
      <w:pPr>
        <w:ind w:left="4320" w:hanging="180"/>
      </w:pPr>
    </w:lvl>
    <w:lvl w:ilvl="6" w:tplc="425E7410" w:tentative="1">
      <w:start w:val="1"/>
      <w:numFmt w:val="decimal"/>
      <w:lvlText w:val="%7."/>
      <w:lvlJc w:val="left"/>
      <w:pPr>
        <w:ind w:left="5040" w:hanging="360"/>
      </w:pPr>
    </w:lvl>
    <w:lvl w:ilvl="7" w:tplc="2128401E" w:tentative="1">
      <w:start w:val="1"/>
      <w:numFmt w:val="lowerLetter"/>
      <w:lvlText w:val="%8."/>
      <w:lvlJc w:val="left"/>
      <w:pPr>
        <w:ind w:left="5760" w:hanging="360"/>
      </w:pPr>
    </w:lvl>
    <w:lvl w:ilvl="8" w:tplc="1764BAFC" w:tentative="1">
      <w:start w:val="1"/>
      <w:numFmt w:val="lowerRoman"/>
      <w:lvlText w:val="%9."/>
      <w:lvlJc w:val="right"/>
      <w:pPr>
        <w:ind w:left="6480" w:hanging="180"/>
      </w:pPr>
    </w:lvl>
  </w:abstractNum>
  <w:abstractNum w:abstractNumId="3" w15:restartNumberingAfterBreak="0">
    <w:nsid w:val="4B106FBC"/>
    <w:multiLevelType w:val="multilevel"/>
    <w:tmpl w:val="85BE5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1051982">
    <w:abstractNumId w:val="3"/>
  </w:num>
  <w:num w:numId="2" w16cid:durableId="1787308154">
    <w:abstractNumId w:val="1"/>
  </w:num>
  <w:num w:numId="3" w16cid:durableId="1210023592">
    <w:abstractNumId w:val="2"/>
  </w:num>
  <w:num w:numId="4" w16cid:durableId="1407924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9D0"/>
    <w:rsid w:val="00034FCD"/>
    <w:rsid w:val="000704A6"/>
    <w:rsid w:val="00085656"/>
    <w:rsid w:val="00256C01"/>
    <w:rsid w:val="002F6891"/>
    <w:rsid w:val="00393434"/>
    <w:rsid w:val="003F1A39"/>
    <w:rsid w:val="00541225"/>
    <w:rsid w:val="005849BE"/>
    <w:rsid w:val="00596818"/>
    <w:rsid w:val="00634862"/>
    <w:rsid w:val="006354C3"/>
    <w:rsid w:val="00637FEC"/>
    <w:rsid w:val="0076685D"/>
    <w:rsid w:val="007C7C21"/>
    <w:rsid w:val="008A3944"/>
    <w:rsid w:val="0093510E"/>
    <w:rsid w:val="009712AB"/>
    <w:rsid w:val="00A8552E"/>
    <w:rsid w:val="00B11490"/>
    <w:rsid w:val="00B449D0"/>
    <w:rsid w:val="00C01394"/>
    <w:rsid w:val="00C63D19"/>
    <w:rsid w:val="00C7761E"/>
    <w:rsid w:val="00C80A4B"/>
    <w:rsid w:val="00CC28D9"/>
    <w:rsid w:val="00DF1F8E"/>
    <w:rsid w:val="00E04967"/>
    <w:rsid w:val="00E07573"/>
    <w:rsid w:val="00E4140A"/>
    <w:rsid w:val="00EA7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58240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12A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712A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712A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9712AB"/>
    <w:pPr>
      <w:keepNext/>
      <w:keepLines/>
      <w:spacing w:before="40" w:after="0"/>
      <w:outlineLvl w:val="2"/>
    </w:pPr>
    <w:rPr>
      <w:rFonts w:eastAsiaTheme="majorEastAsia" w:cstheme="majorBidi"/>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2A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9712A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semiHidden/>
    <w:rsid w:val="009712AB"/>
    <w:rPr>
      <w:rFonts w:ascii="Times New Roman" w:eastAsiaTheme="majorEastAsia" w:hAnsi="Times New Roman" w:cstheme="majorBidi"/>
      <w:sz w:val="28"/>
      <w:szCs w:val="24"/>
    </w:rPr>
  </w:style>
  <w:style w:type="paragraph" w:styleId="ListParagraph">
    <w:name w:val="List Paragraph"/>
    <w:basedOn w:val="Normal"/>
    <w:uiPriority w:val="34"/>
    <w:qFormat/>
    <w:rsid w:val="00E4140A"/>
    <w:pPr>
      <w:ind w:left="720"/>
      <w:contextualSpacing/>
    </w:pPr>
  </w:style>
  <w:style w:type="paragraph" w:styleId="Header">
    <w:name w:val="header"/>
    <w:basedOn w:val="Normal"/>
    <w:link w:val="HeaderChar"/>
    <w:uiPriority w:val="99"/>
    <w:unhideWhenUsed/>
    <w:rsid w:val="006348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862"/>
    <w:rPr>
      <w:rFonts w:ascii="Times New Roman" w:hAnsi="Times New Roman"/>
      <w:sz w:val="24"/>
    </w:rPr>
  </w:style>
  <w:style w:type="paragraph" w:styleId="Footer">
    <w:name w:val="footer"/>
    <w:basedOn w:val="Normal"/>
    <w:link w:val="FooterChar"/>
    <w:uiPriority w:val="99"/>
    <w:unhideWhenUsed/>
    <w:rsid w:val="006348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862"/>
    <w:rPr>
      <w:rFonts w:ascii="Times New Roman" w:hAnsi="Times New Roman"/>
      <w:sz w:val="24"/>
    </w:rPr>
  </w:style>
  <w:style w:type="paragraph" w:styleId="TOCHeading">
    <w:name w:val="TOC Heading"/>
    <w:basedOn w:val="Heading1"/>
    <w:next w:val="Normal"/>
    <w:uiPriority w:val="39"/>
    <w:unhideWhenUsed/>
    <w:qFormat/>
    <w:rsid w:val="00634862"/>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34862"/>
    <w:pPr>
      <w:spacing w:after="100"/>
    </w:pPr>
  </w:style>
  <w:style w:type="paragraph" w:styleId="TOC2">
    <w:name w:val="toc 2"/>
    <w:basedOn w:val="Normal"/>
    <w:next w:val="Normal"/>
    <w:autoRedefine/>
    <w:uiPriority w:val="39"/>
    <w:unhideWhenUsed/>
    <w:rsid w:val="00634862"/>
    <w:pPr>
      <w:spacing w:after="100"/>
      <w:ind w:left="240"/>
    </w:pPr>
  </w:style>
  <w:style w:type="character" w:styleId="Hyperlink">
    <w:name w:val="Hyperlink"/>
    <w:basedOn w:val="DefaultParagraphFont"/>
    <w:uiPriority w:val="99"/>
    <w:unhideWhenUsed/>
    <w:rsid w:val="006348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33742">
      <w:bodyDiv w:val="1"/>
      <w:marLeft w:val="0"/>
      <w:marRight w:val="0"/>
      <w:marTop w:val="0"/>
      <w:marBottom w:val="0"/>
      <w:divBdr>
        <w:top w:val="none" w:sz="0" w:space="0" w:color="auto"/>
        <w:left w:val="none" w:sz="0" w:space="0" w:color="auto"/>
        <w:bottom w:val="none" w:sz="0" w:space="0" w:color="auto"/>
        <w:right w:val="none" w:sz="0" w:space="0" w:color="auto"/>
      </w:divBdr>
      <w:divsChild>
        <w:div w:id="1221090958">
          <w:marLeft w:val="0"/>
          <w:marRight w:val="0"/>
          <w:marTop w:val="0"/>
          <w:marBottom w:val="0"/>
          <w:divBdr>
            <w:top w:val="single" w:sz="6" w:space="0" w:color="auto"/>
            <w:left w:val="single" w:sz="6" w:space="0" w:color="auto"/>
            <w:bottom w:val="single" w:sz="6" w:space="0" w:color="auto"/>
            <w:right w:val="single" w:sz="6" w:space="0" w:color="auto"/>
          </w:divBdr>
        </w:div>
      </w:divsChild>
    </w:div>
    <w:div w:id="142628238">
      <w:bodyDiv w:val="1"/>
      <w:marLeft w:val="0"/>
      <w:marRight w:val="0"/>
      <w:marTop w:val="0"/>
      <w:marBottom w:val="0"/>
      <w:divBdr>
        <w:top w:val="none" w:sz="0" w:space="0" w:color="auto"/>
        <w:left w:val="none" w:sz="0" w:space="0" w:color="auto"/>
        <w:bottom w:val="none" w:sz="0" w:space="0" w:color="auto"/>
        <w:right w:val="none" w:sz="0" w:space="0" w:color="auto"/>
      </w:divBdr>
      <w:divsChild>
        <w:div w:id="1080252669">
          <w:marLeft w:val="0"/>
          <w:marRight w:val="0"/>
          <w:marTop w:val="0"/>
          <w:marBottom w:val="0"/>
          <w:divBdr>
            <w:top w:val="single" w:sz="6" w:space="0" w:color="auto"/>
            <w:left w:val="single" w:sz="6" w:space="0" w:color="auto"/>
            <w:bottom w:val="single" w:sz="6" w:space="0" w:color="auto"/>
            <w:right w:val="single" w:sz="6" w:space="0" w:color="auto"/>
          </w:divBdr>
        </w:div>
      </w:divsChild>
    </w:div>
    <w:div w:id="1457598310">
      <w:bodyDiv w:val="1"/>
      <w:marLeft w:val="0"/>
      <w:marRight w:val="0"/>
      <w:marTop w:val="0"/>
      <w:marBottom w:val="0"/>
      <w:divBdr>
        <w:top w:val="none" w:sz="0" w:space="0" w:color="auto"/>
        <w:left w:val="none" w:sz="0" w:space="0" w:color="auto"/>
        <w:bottom w:val="none" w:sz="0" w:space="0" w:color="auto"/>
        <w:right w:val="none" w:sz="0" w:space="0" w:color="auto"/>
      </w:divBdr>
      <w:divsChild>
        <w:div w:id="595090888">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5636E8-6575-454D-9627-CD8BC303F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2910</Words>
  <Characters>16592</Characters>
  <Application>Microsoft Office Word</Application>
  <DocSecurity>0</DocSecurity>
  <Lines>138</Lines>
  <Paragraphs>38</Paragraphs>
  <ScaleCrop>false</ScaleCrop>
  <Company/>
  <LinksUpToDate>false</LinksUpToDate>
  <CharactersWithSpaces>19464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2024-02-13T19:06:00Z</dcterms:created>
  <dcterms:modified xsi:type="dcterms:W3CDTF">2024-03-02T00:15:00Z</dcterms:modified>
</cp:coreProperties>
</file>