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709E96" w14:textId="77777777" w:rsidR="00AA1C72" w:rsidRPr="00250C10" w:rsidRDefault="00AA1C72" w:rsidP="00AA1C72">
      <w:pPr>
        <w:spacing w:line="360" w:lineRule="auto"/>
        <w:jc w:val="both"/>
        <w:rPr>
          <w:rFonts w:ascii="Arial" w:hAnsi="Arial" w:cs="Arial"/>
        </w:rPr>
      </w:pPr>
    </w:p>
    <w:p w14:paraId="2080CE6A" w14:textId="77777777" w:rsidR="00AA1C72" w:rsidRPr="00250C10" w:rsidRDefault="00AA1C72" w:rsidP="00AA1C72">
      <w:pPr>
        <w:spacing w:line="360" w:lineRule="auto"/>
        <w:jc w:val="center"/>
        <w:rPr>
          <w:rFonts w:ascii="Arial" w:hAnsi="Arial" w:cs="Arial"/>
          <w:b/>
          <w:color w:val="156082" w:themeColor="accent1"/>
          <w:sz w:val="40"/>
          <w:szCs w:val="40"/>
        </w:rPr>
      </w:pPr>
      <w:r w:rsidRPr="00250C10">
        <w:rPr>
          <w:rFonts w:ascii="Arial" w:hAnsi="Arial" w:cs="Arial"/>
          <w:b/>
          <w:color w:val="156082" w:themeColor="accent1"/>
          <w:sz w:val="40"/>
          <w:szCs w:val="40"/>
        </w:rPr>
        <w:t>MODULE TITLE AND CODE: BMIH 5007 – FINANCIAL MANAGEMENT FOR THE HOTEL INDUSTRY</w:t>
      </w:r>
    </w:p>
    <w:p w14:paraId="087B7DE5" w14:textId="77777777" w:rsidR="00AA1C72" w:rsidRPr="00250C10" w:rsidRDefault="00AA1C72" w:rsidP="00AA1C72">
      <w:pPr>
        <w:spacing w:line="360" w:lineRule="auto"/>
        <w:jc w:val="center"/>
        <w:rPr>
          <w:rFonts w:ascii="Arial" w:hAnsi="Arial" w:cs="Arial"/>
          <w:b/>
          <w:color w:val="156082" w:themeColor="accent1"/>
          <w:sz w:val="40"/>
          <w:szCs w:val="40"/>
        </w:rPr>
      </w:pPr>
    </w:p>
    <w:p w14:paraId="04997550" w14:textId="77777777" w:rsidR="00AA1C72" w:rsidRPr="00250C10" w:rsidRDefault="00AA1C72" w:rsidP="00AA1C72">
      <w:pPr>
        <w:spacing w:line="360" w:lineRule="auto"/>
        <w:jc w:val="center"/>
        <w:rPr>
          <w:rFonts w:ascii="Arial" w:hAnsi="Arial" w:cs="Arial"/>
          <w:b/>
          <w:color w:val="156082" w:themeColor="accent1"/>
          <w:sz w:val="40"/>
          <w:szCs w:val="40"/>
        </w:rPr>
      </w:pPr>
    </w:p>
    <w:p w14:paraId="70D29CCA" w14:textId="77777777" w:rsidR="00E107F6" w:rsidRPr="00E107F6" w:rsidRDefault="00E107F6" w:rsidP="00E107F6">
      <w:pPr>
        <w:spacing w:line="360" w:lineRule="auto"/>
        <w:jc w:val="center"/>
        <w:rPr>
          <w:rFonts w:ascii="Arial" w:hAnsi="Arial" w:cs="Arial"/>
          <w:b/>
          <w:bCs/>
          <w:color w:val="156082" w:themeColor="accent1"/>
          <w:sz w:val="52"/>
          <w:szCs w:val="52"/>
        </w:rPr>
      </w:pPr>
      <w:r w:rsidRPr="00E107F6">
        <w:rPr>
          <w:rFonts w:ascii="Arial" w:hAnsi="Arial" w:cs="Arial"/>
          <w:b/>
          <w:bCs/>
          <w:color w:val="156082" w:themeColor="accent1"/>
          <w:sz w:val="52"/>
          <w:szCs w:val="52"/>
        </w:rPr>
        <w:t>Report Case Study: Urban</w:t>
      </w:r>
    </w:p>
    <w:p w14:paraId="0E363D9B" w14:textId="5AD5D26A" w:rsidR="00AA1C72" w:rsidRPr="00250C10" w:rsidRDefault="00E107F6" w:rsidP="00E107F6">
      <w:pPr>
        <w:spacing w:line="360" w:lineRule="auto"/>
        <w:jc w:val="center"/>
        <w:rPr>
          <w:rFonts w:ascii="Arial" w:hAnsi="Arial" w:cs="Arial"/>
          <w:b/>
          <w:color w:val="156082" w:themeColor="accent1"/>
          <w:sz w:val="52"/>
          <w:szCs w:val="52"/>
        </w:rPr>
      </w:pPr>
      <w:r w:rsidRPr="00250C10">
        <w:rPr>
          <w:rFonts w:ascii="Arial" w:hAnsi="Arial" w:cs="Arial"/>
          <w:b/>
          <w:bCs/>
          <w:color w:val="156082" w:themeColor="accent1"/>
          <w:sz w:val="52"/>
          <w:szCs w:val="52"/>
        </w:rPr>
        <w:t>Heights Hotel</w:t>
      </w:r>
    </w:p>
    <w:p w14:paraId="51E617FB" w14:textId="77777777" w:rsidR="00AA1C72" w:rsidRPr="00250C10" w:rsidRDefault="00AA1C72" w:rsidP="00AA1C72">
      <w:pPr>
        <w:spacing w:line="360" w:lineRule="auto"/>
        <w:jc w:val="both"/>
        <w:rPr>
          <w:rFonts w:ascii="Arial" w:hAnsi="Arial" w:cs="Arial"/>
          <w:b/>
          <w:color w:val="156082" w:themeColor="accent1"/>
          <w:sz w:val="40"/>
          <w:szCs w:val="40"/>
        </w:rPr>
      </w:pPr>
    </w:p>
    <w:p w14:paraId="0332ECA0" w14:textId="77777777" w:rsidR="00AA1C72" w:rsidRPr="00250C10" w:rsidRDefault="00AA1C72" w:rsidP="00AA1C72">
      <w:pPr>
        <w:spacing w:line="360" w:lineRule="auto"/>
        <w:jc w:val="both"/>
        <w:rPr>
          <w:rFonts w:ascii="Arial" w:hAnsi="Arial" w:cs="Arial"/>
          <w:b/>
          <w:color w:val="156082" w:themeColor="accent1"/>
          <w:sz w:val="40"/>
          <w:szCs w:val="40"/>
        </w:rPr>
      </w:pPr>
    </w:p>
    <w:p w14:paraId="19E8B8C6" w14:textId="77777777" w:rsidR="00AA1C72" w:rsidRPr="00250C10" w:rsidRDefault="00AA1C72" w:rsidP="00AA1C72">
      <w:pPr>
        <w:spacing w:line="360" w:lineRule="auto"/>
        <w:jc w:val="both"/>
        <w:rPr>
          <w:rFonts w:ascii="Arial" w:hAnsi="Arial" w:cs="Arial"/>
          <w:b/>
          <w:color w:val="156082" w:themeColor="accent1"/>
          <w:sz w:val="40"/>
          <w:szCs w:val="40"/>
        </w:rPr>
      </w:pPr>
    </w:p>
    <w:p w14:paraId="100554B5" w14:textId="77777777" w:rsidR="00AA1C72" w:rsidRPr="00250C10" w:rsidRDefault="00AA1C72" w:rsidP="00AA1C72">
      <w:pPr>
        <w:spacing w:line="360" w:lineRule="auto"/>
        <w:jc w:val="both"/>
        <w:rPr>
          <w:rFonts w:ascii="Arial" w:hAnsi="Arial" w:cs="Arial"/>
          <w:b/>
          <w:color w:val="156082" w:themeColor="accent1"/>
          <w:sz w:val="40"/>
          <w:szCs w:val="40"/>
        </w:rPr>
      </w:pPr>
    </w:p>
    <w:p w14:paraId="378F4FE3" w14:textId="77777777" w:rsidR="00AA1C72" w:rsidRPr="00250C10" w:rsidRDefault="00AA1C72" w:rsidP="00AA1C72">
      <w:pPr>
        <w:spacing w:line="360" w:lineRule="auto"/>
        <w:jc w:val="both"/>
        <w:rPr>
          <w:rFonts w:ascii="Arial" w:hAnsi="Arial" w:cs="Arial"/>
          <w:b/>
          <w:color w:val="156082" w:themeColor="accent1"/>
          <w:sz w:val="40"/>
          <w:szCs w:val="40"/>
        </w:rPr>
      </w:pPr>
    </w:p>
    <w:p w14:paraId="0FF890C8" w14:textId="77777777" w:rsidR="00AA1C72" w:rsidRPr="00250C10" w:rsidRDefault="00AA1C72" w:rsidP="00AA1C72">
      <w:pPr>
        <w:spacing w:line="360" w:lineRule="auto"/>
        <w:jc w:val="both"/>
        <w:rPr>
          <w:rFonts w:ascii="Arial" w:hAnsi="Arial" w:cs="Arial"/>
          <w:b/>
          <w:color w:val="156082" w:themeColor="accent1"/>
          <w:sz w:val="40"/>
          <w:szCs w:val="40"/>
        </w:rPr>
      </w:pPr>
    </w:p>
    <w:p w14:paraId="4DD70FEA" w14:textId="77777777" w:rsidR="00AA1C72" w:rsidRPr="00250C10" w:rsidRDefault="00AA1C72" w:rsidP="00AA1C72">
      <w:pPr>
        <w:spacing w:line="360" w:lineRule="auto"/>
        <w:jc w:val="both"/>
        <w:rPr>
          <w:rFonts w:ascii="Arial" w:hAnsi="Arial" w:cs="Arial"/>
          <w:b/>
          <w:color w:val="156082" w:themeColor="accent1"/>
          <w:sz w:val="40"/>
          <w:szCs w:val="40"/>
        </w:rPr>
      </w:pPr>
      <w:r w:rsidRPr="00250C10">
        <w:rPr>
          <w:rFonts w:ascii="Arial" w:hAnsi="Arial" w:cs="Arial"/>
          <w:b/>
          <w:color w:val="156082" w:themeColor="accent1"/>
          <w:sz w:val="40"/>
          <w:szCs w:val="40"/>
        </w:rPr>
        <w:t>STUDENT NAME: SHABANA BEGUM</w:t>
      </w:r>
    </w:p>
    <w:p w14:paraId="4E8A53E1" w14:textId="77777777" w:rsidR="00AA1C72" w:rsidRPr="00250C10" w:rsidRDefault="00AA1C72" w:rsidP="00AA1C72">
      <w:pPr>
        <w:spacing w:line="360" w:lineRule="auto"/>
        <w:jc w:val="both"/>
        <w:rPr>
          <w:rFonts w:ascii="Arial" w:hAnsi="Arial" w:cs="Arial"/>
          <w:b/>
          <w:color w:val="156082" w:themeColor="accent1"/>
          <w:sz w:val="40"/>
          <w:szCs w:val="40"/>
        </w:rPr>
      </w:pPr>
      <w:r w:rsidRPr="00250C10">
        <w:rPr>
          <w:rFonts w:ascii="Arial" w:hAnsi="Arial" w:cs="Arial"/>
          <w:b/>
          <w:color w:val="156082" w:themeColor="accent1"/>
          <w:sz w:val="40"/>
          <w:szCs w:val="40"/>
        </w:rPr>
        <w:t>STUDENT ID: 2223853</w:t>
      </w:r>
    </w:p>
    <w:p w14:paraId="171F6A9B" w14:textId="77777777" w:rsidR="002C18E8" w:rsidRDefault="00AA1C72" w:rsidP="001309DE">
      <w:pPr>
        <w:spacing w:line="360" w:lineRule="auto"/>
        <w:jc w:val="both"/>
        <w:rPr>
          <w:rFonts w:ascii="Arial" w:hAnsi="Arial" w:cs="Arial"/>
          <w:b/>
          <w:color w:val="156082" w:themeColor="accent1"/>
          <w:sz w:val="40"/>
          <w:szCs w:val="40"/>
        </w:rPr>
      </w:pPr>
      <w:r w:rsidRPr="00250C10">
        <w:rPr>
          <w:rFonts w:ascii="Arial" w:hAnsi="Arial" w:cs="Arial"/>
          <w:b/>
          <w:color w:val="156082" w:themeColor="accent1"/>
          <w:sz w:val="40"/>
          <w:szCs w:val="40"/>
        </w:rPr>
        <w:t xml:space="preserve">Word Count: </w:t>
      </w:r>
      <w:r w:rsidR="006D5249" w:rsidRPr="00250C10">
        <w:rPr>
          <w:rFonts w:ascii="Arial" w:hAnsi="Arial" w:cs="Arial"/>
          <w:b/>
          <w:color w:val="156082" w:themeColor="accent1"/>
          <w:sz w:val="40"/>
          <w:szCs w:val="40"/>
        </w:rPr>
        <w:t>3260</w:t>
      </w:r>
    </w:p>
    <w:p w14:paraId="3FB910FF" w14:textId="77777777" w:rsidR="002C18E8" w:rsidRDefault="002C18E8" w:rsidP="001309DE">
      <w:pPr>
        <w:spacing w:line="360" w:lineRule="auto"/>
        <w:jc w:val="both"/>
        <w:rPr>
          <w:rFonts w:ascii="Arial" w:hAnsi="Arial" w:cs="Arial"/>
          <w:b/>
          <w:color w:val="156082" w:themeColor="accent1"/>
          <w:sz w:val="40"/>
          <w:szCs w:val="40"/>
        </w:rPr>
      </w:pPr>
    </w:p>
    <w:p w14:paraId="29774203" w14:textId="77777777" w:rsidR="002C18E8" w:rsidRDefault="002C18E8" w:rsidP="001309DE">
      <w:pPr>
        <w:spacing w:line="360" w:lineRule="auto"/>
        <w:jc w:val="both"/>
        <w:rPr>
          <w:rFonts w:ascii="Arial" w:hAnsi="Arial" w:cs="Arial"/>
          <w:b/>
          <w:color w:val="156082" w:themeColor="accent1"/>
          <w:sz w:val="40"/>
          <w:szCs w:val="40"/>
        </w:rPr>
      </w:pPr>
    </w:p>
    <w:p w14:paraId="3EA48169" w14:textId="77777777" w:rsidR="002C18E8" w:rsidRDefault="002C18E8" w:rsidP="001309DE">
      <w:pPr>
        <w:spacing w:line="360" w:lineRule="auto"/>
        <w:jc w:val="both"/>
        <w:rPr>
          <w:rFonts w:ascii="Arial" w:hAnsi="Arial" w:cs="Arial"/>
          <w:b/>
          <w:color w:val="156082" w:themeColor="accent1"/>
          <w:sz w:val="40"/>
          <w:szCs w:val="40"/>
        </w:rPr>
      </w:pPr>
    </w:p>
    <w:p w14:paraId="48057F6C" w14:textId="77777777" w:rsidR="002C18E8" w:rsidRPr="002C18E8" w:rsidRDefault="002C18E8" w:rsidP="002C18E8">
      <w:pPr>
        <w:spacing w:line="360" w:lineRule="auto"/>
        <w:jc w:val="center"/>
        <w:rPr>
          <w:rFonts w:ascii="Times New Roman" w:hAnsi="Times New Roman" w:cs="Times New Roman"/>
          <w:b/>
          <w:bCs/>
          <w:color w:val="156082" w:themeColor="accent1"/>
          <w:sz w:val="44"/>
          <w:szCs w:val="44"/>
        </w:rPr>
      </w:pPr>
      <w:r w:rsidRPr="002C18E8">
        <w:rPr>
          <w:rFonts w:ascii="Times New Roman" w:hAnsi="Times New Roman" w:cs="Times New Roman"/>
          <w:b/>
          <w:bCs/>
          <w:color w:val="156082" w:themeColor="accent1"/>
          <w:sz w:val="44"/>
          <w:szCs w:val="44"/>
        </w:rPr>
        <w:lastRenderedPageBreak/>
        <w:t xml:space="preserve">Acknowledgments of AI usage: </w:t>
      </w:r>
    </w:p>
    <w:p w14:paraId="15F629C1" w14:textId="4F5851C4" w:rsidR="002C18E8" w:rsidRDefault="002C18E8" w:rsidP="002C18E8">
      <w:pPr>
        <w:jc w:val="both"/>
        <w:rPr>
          <w:rFonts w:ascii="Times New Roman" w:hAnsi="Times New Roman" w:cs="Times New Roman"/>
        </w:rPr>
      </w:pPr>
      <w:r w:rsidRPr="00F70FFB">
        <w:rPr>
          <w:rFonts w:ascii="Times New Roman" w:hAnsi="Times New Roman" w:cs="Times New Roman"/>
        </w:rPr>
        <w:t>I acknowledge the use of consensus, ChatGPT to search for</w:t>
      </w:r>
      <w:r w:rsidRPr="00A04781">
        <w:rPr>
          <w:rFonts w:ascii="Times New Roman" w:hAnsi="Times New Roman" w:cs="Times New Roman"/>
        </w:rPr>
        <w:t xml:space="preserve"> structuring the submission, including creating a draft structure, identifying parts and headings of the assignment and PROOFREAD it</w:t>
      </w:r>
      <w:r w:rsidRPr="00F70FFB">
        <w:rPr>
          <w:rFonts w:ascii="Times New Roman" w:hAnsi="Times New Roman" w:cs="Times New Roman"/>
        </w:rPr>
        <w:t>. I confirm that I have not presented any AI generated text as my own work. I confirm I</w:t>
      </w:r>
      <w:r>
        <w:rPr>
          <w:rFonts w:ascii="Times New Roman" w:hAnsi="Times New Roman" w:cs="Times New Roman"/>
        </w:rPr>
        <w:t xml:space="preserve"> </w:t>
      </w:r>
      <w:r w:rsidRPr="00F70FFB">
        <w:rPr>
          <w:rFonts w:ascii="Times New Roman" w:hAnsi="Times New Roman" w:cs="Times New Roman"/>
        </w:rPr>
        <w:t>have copies of my drafts, notes, and other resources I used before, and after the use of</w:t>
      </w:r>
      <w:r>
        <w:rPr>
          <w:rFonts w:ascii="Times New Roman" w:hAnsi="Times New Roman" w:cs="Times New Roman"/>
        </w:rPr>
        <w:t xml:space="preserve"> </w:t>
      </w:r>
      <w:r w:rsidRPr="00F70FFB">
        <w:rPr>
          <w:rFonts w:ascii="Times New Roman" w:hAnsi="Times New Roman" w:cs="Times New Roman"/>
        </w:rPr>
        <w:t>AI tools which I may be asked to provide in evidence.</w:t>
      </w:r>
    </w:p>
    <w:p w14:paraId="47F6FDBA" w14:textId="5F2C3971" w:rsidR="00AA1C72" w:rsidRDefault="00AA1C72" w:rsidP="001309DE">
      <w:pPr>
        <w:spacing w:line="360" w:lineRule="auto"/>
        <w:jc w:val="both"/>
        <w:rPr>
          <w:rFonts w:ascii="Arial" w:hAnsi="Arial" w:cs="Arial"/>
        </w:rPr>
      </w:pPr>
      <w:r w:rsidRPr="00250C10">
        <w:rPr>
          <w:rFonts w:ascii="Arial" w:hAnsi="Arial" w:cs="Arial"/>
        </w:rPr>
        <w:br w:type="page"/>
      </w:r>
    </w:p>
    <w:p w14:paraId="4685A9A3" w14:textId="77777777" w:rsidR="002C18E8" w:rsidRDefault="002C18E8" w:rsidP="001309DE">
      <w:pPr>
        <w:spacing w:line="360" w:lineRule="auto"/>
        <w:jc w:val="both"/>
        <w:rPr>
          <w:rFonts w:ascii="Arial" w:hAnsi="Arial" w:cs="Arial"/>
        </w:rPr>
      </w:pPr>
    </w:p>
    <w:p w14:paraId="245EA0D0" w14:textId="77777777" w:rsidR="002C18E8" w:rsidRDefault="002C18E8" w:rsidP="001309DE">
      <w:pPr>
        <w:spacing w:line="360" w:lineRule="auto"/>
        <w:jc w:val="both"/>
        <w:rPr>
          <w:rFonts w:ascii="Arial" w:hAnsi="Arial" w:cs="Arial"/>
        </w:rPr>
      </w:pPr>
    </w:p>
    <w:sdt>
      <w:sdtPr>
        <w:rPr>
          <w:rFonts w:asciiTheme="minorHAnsi" w:eastAsiaTheme="minorEastAsia" w:hAnsiTheme="minorHAnsi" w:cstheme="minorBidi"/>
          <w:b w:val="0"/>
          <w:bCs w:val="0"/>
          <w:color w:val="auto"/>
          <w:kern w:val="2"/>
          <w:sz w:val="24"/>
          <w:szCs w:val="24"/>
          <w:lang w:val="en-GB"/>
          <w14:ligatures w14:val="standardContextual"/>
        </w:rPr>
        <w:id w:val="-2008738913"/>
        <w:docPartObj>
          <w:docPartGallery w:val="Table of Contents"/>
          <w:docPartUnique/>
        </w:docPartObj>
      </w:sdtPr>
      <w:sdtEndPr>
        <w:rPr>
          <w:noProof/>
        </w:rPr>
      </w:sdtEndPr>
      <w:sdtContent>
        <w:p w14:paraId="5EF2294A" w14:textId="7575D2BF" w:rsidR="002C18E8" w:rsidRDefault="002C18E8">
          <w:pPr>
            <w:pStyle w:val="TOCHeading"/>
          </w:pPr>
          <w:r>
            <w:t>Table of Contents</w:t>
          </w:r>
        </w:p>
        <w:p w14:paraId="7A38F47F" w14:textId="5142392B" w:rsidR="002C18E8" w:rsidRDefault="002C18E8">
          <w:pPr>
            <w:pStyle w:val="TOC1"/>
            <w:tabs>
              <w:tab w:val="right" w:leader="dot" w:pos="9011"/>
            </w:tabs>
            <w:rPr>
              <w:noProof/>
            </w:rPr>
          </w:pPr>
          <w:r>
            <w:rPr>
              <w:b w:val="0"/>
              <w:bCs w:val="0"/>
            </w:rPr>
            <w:fldChar w:fldCharType="begin"/>
          </w:r>
          <w:r>
            <w:instrText xml:space="preserve"> TOC \o "1-3" \h \z \u </w:instrText>
          </w:r>
          <w:r>
            <w:rPr>
              <w:b w:val="0"/>
              <w:bCs w:val="0"/>
            </w:rPr>
            <w:fldChar w:fldCharType="separate"/>
          </w:r>
          <w:hyperlink w:anchor="_Toc181922144" w:history="1">
            <w:r w:rsidRPr="005A48E5">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_Toc181922144 \h </w:instrText>
            </w:r>
            <w:r>
              <w:rPr>
                <w:noProof/>
                <w:webHidden/>
              </w:rPr>
            </w:r>
            <w:r>
              <w:rPr>
                <w:noProof/>
                <w:webHidden/>
              </w:rPr>
              <w:fldChar w:fldCharType="separate"/>
            </w:r>
            <w:r>
              <w:rPr>
                <w:noProof/>
                <w:webHidden/>
              </w:rPr>
              <w:t>3</w:t>
            </w:r>
            <w:r>
              <w:rPr>
                <w:noProof/>
                <w:webHidden/>
              </w:rPr>
              <w:fldChar w:fldCharType="end"/>
            </w:r>
          </w:hyperlink>
        </w:p>
        <w:p w14:paraId="7608A3CB" w14:textId="690518A2" w:rsidR="002C18E8" w:rsidRDefault="002C18E8">
          <w:pPr>
            <w:pStyle w:val="TOC1"/>
            <w:tabs>
              <w:tab w:val="right" w:leader="dot" w:pos="9011"/>
            </w:tabs>
            <w:rPr>
              <w:noProof/>
            </w:rPr>
          </w:pPr>
          <w:hyperlink w:anchor="_Toc181922145" w:history="1">
            <w:r w:rsidRPr="005A48E5">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_Toc181922145 \h </w:instrText>
            </w:r>
            <w:r>
              <w:rPr>
                <w:noProof/>
                <w:webHidden/>
              </w:rPr>
            </w:r>
            <w:r>
              <w:rPr>
                <w:noProof/>
                <w:webHidden/>
              </w:rPr>
              <w:fldChar w:fldCharType="separate"/>
            </w:r>
            <w:r>
              <w:rPr>
                <w:noProof/>
                <w:webHidden/>
              </w:rPr>
              <w:t>4</w:t>
            </w:r>
            <w:r>
              <w:rPr>
                <w:noProof/>
                <w:webHidden/>
              </w:rPr>
              <w:fldChar w:fldCharType="end"/>
            </w:r>
          </w:hyperlink>
        </w:p>
        <w:p w14:paraId="4480A618" w14:textId="3D5DB1B8" w:rsidR="002C18E8" w:rsidRDefault="002C18E8">
          <w:pPr>
            <w:pStyle w:val="TOC1"/>
            <w:tabs>
              <w:tab w:val="right" w:leader="dot" w:pos="9011"/>
            </w:tabs>
            <w:rPr>
              <w:noProof/>
            </w:rPr>
          </w:pPr>
          <w:hyperlink w:anchor="_Toc181922146" w:history="1">
            <w:r w:rsidRPr="005A48E5">
              <w:rPr>
                <w:rStyle w:val="Hyperlink"/>
                <w:rFonts w:ascii="Arial" w:hAnsi="Arial" w:cs="Arial"/>
                <w:noProof/>
              </w:rPr>
              <w:t>Financial Analysis</w:t>
            </w:r>
            <w:r>
              <w:rPr>
                <w:noProof/>
                <w:webHidden/>
              </w:rPr>
              <w:tab/>
            </w:r>
            <w:r>
              <w:rPr>
                <w:noProof/>
                <w:webHidden/>
              </w:rPr>
              <w:fldChar w:fldCharType="begin"/>
            </w:r>
            <w:r>
              <w:rPr>
                <w:noProof/>
                <w:webHidden/>
              </w:rPr>
              <w:instrText xml:space="preserve"> PAGEREF _Toc181922146 \h </w:instrText>
            </w:r>
            <w:r>
              <w:rPr>
                <w:noProof/>
                <w:webHidden/>
              </w:rPr>
            </w:r>
            <w:r>
              <w:rPr>
                <w:noProof/>
                <w:webHidden/>
              </w:rPr>
              <w:fldChar w:fldCharType="separate"/>
            </w:r>
            <w:r>
              <w:rPr>
                <w:noProof/>
                <w:webHidden/>
              </w:rPr>
              <w:t>4</w:t>
            </w:r>
            <w:r>
              <w:rPr>
                <w:noProof/>
                <w:webHidden/>
              </w:rPr>
              <w:fldChar w:fldCharType="end"/>
            </w:r>
          </w:hyperlink>
        </w:p>
        <w:p w14:paraId="1670D098" w14:textId="7A13BD84" w:rsidR="002C18E8" w:rsidRDefault="002C18E8">
          <w:pPr>
            <w:pStyle w:val="TOC1"/>
            <w:tabs>
              <w:tab w:val="right" w:leader="dot" w:pos="9011"/>
            </w:tabs>
            <w:rPr>
              <w:noProof/>
            </w:rPr>
          </w:pPr>
          <w:hyperlink w:anchor="_Toc181922147" w:history="1">
            <w:r w:rsidRPr="005A48E5">
              <w:rPr>
                <w:rStyle w:val="Hyperlink"/>
                <w:rFonts w:ascii="Arial" w:hAnsi="Arial" w:cs="Arial"/>
                <w:noProof/>
              </w:rPr>
              <w:t>Key Issues and Risk Management</w:t>
            </w:r>
            <w:r>
              <w:rPr>
                <w:noProof/>
                <w:webHidden/>
              </w:rPr>
              <w:tab/>
            </w:r>
            <w:r>
              <w:rPr>
                <w:noProof/>
                <w:webHidden/>
              </w:rPr>
              <w:fldChar w:fldCharType="begin"/>
            </w:r>
            <w:r>
              <w:rPr>
                <w:noProof/>
                <w:webHidden/>
              </w:rPr>
              <w:instrText xml:space="preserve"> PAGEREF _Toc181922147 \h </w:instrText>
            </w:r>
            <w:r>
              <w:rPr>
                <w:noProof/>
                <w:webHidden/>
              </w:rPr>
            </w:r>
            <w:r>
              <w:rPr>
                <w:noProof/>
                <w:webHidden/>
              </w:rPr>
              <w:fldChar w:fldCharType="separate"/>
            </w:r>
            <w:r>
              <w:rPr>
                <w:noProof/>
                <w:webHidden/>
              </w:rPr>
              <w:t>9</w:t>
            </w:r>
            <w:r>
              <w:rPr>
                <w:noProof/>
                <w:webHidden/>
              </w:rPr>
              <w:fldChar w:fldCharType="end"/>
            </w:r>
          </w:hyperlink>
        </w:p>
        <w:p w14:paraId="00FF23F3" w14:textId="4C33607B" w:rsidR="002C18E8" w:rsidRDefault="002C18E8">
          <w:pPr>
            <w:pStyle w:val="TOC1"/>
            <w:tabs>
              <w:tab w:val="right" w:leader="dot" w:pos="9011"/>
            </w:tabs>
            <w:rPr>
              <w:noProof/>
            </w:rPr>
          </w:pPr>
          <w:hyperlink w:anchor="_Toc181922148" w:history="1">
            <w:r w:rsidRPr="005A48E5">
              <w:rPr>
                <w:rStyle w:val="Hyperlink"/>
                <w:rFonts w:ascii="Arial" w:hAnsi="Arial" w:cs="Arial"/>
                <w:noProof/>
              </w:rPr>
              <w:t>Strategies for Mitigation</w:t>
            </w:r>
            <w:r>
              <w:rPr>
                <w:noProof/>
                <w:webHidden/>
              </w:rPr>
              <w:tab/>
            </w:r>
            <w:r>
              <w:rPr>
                <w:noProof/>
                <w:webHidden/>
              </w:rPr>
              <w:fldChar w:fldCharType="begin"/>
            </w:r>
            <w:r>
              <w:rPr>
                <w:noProof/>
                <w:webHidden/>
              </w:rPr>
              <w:instrText xml:space="preserve"> PAGEREF _Toc181922148 \h </w:instrText>
            </w:r>
            <w:r>
              <w:rPr>
                <w:noProof/>
                <w:webHidden/>
              </w:rPr>
            </w:r>
            <w:r>
              <w:rPr>
                <w:noProof/>
                <w:webHidden/>
              </w:rPr>
              <w:fldChar w:fldCharType="separate"/>
            </w:r>
            <w:r>
              <w:rPr>
                <w:noProof/>
                <w:webHidden/>
              </w:rPr>
              <w:t>10</w:t>
            </w:r>
            <w:r>
              <w:rPr>
                <w:noProof/>
                <w:webHidden/>
              </w:rPr>
              <w:fldChar w:fldCharType="end"/>
            </w:r>
          </w:hyperlink>
        </w:p>
        <w:p w14:paraId="5712D4C1" w14:textId="4AFB3711" w:rsidR="002C18E8" w:rsidRDefault="002C18E8">
          <w:pPr>
            <w:pStyle w:val="TOC1"/>
            <w:tabs>
              <w:tab w:val="right" w:leader="dot" w:pos="9011"/>
            </w:tabs>
            <w:rPr>
              <w:noProof/>
            </w:rPr>
          </w:pPr>
          <w:hyperlink w:anchor="_Toc181922149" w:history="1">
            <w:r w:rsidRPr="005A48E5">
              <w:rPr>
                <w:rStyle w:val="Hyperlink"/>
                <w:rFonts w:ascii="Arial" w:hAnsi="Arial" w:cs="Arial"/>
                <w:noProof/>
              </w:rPr>
              <w:t>Turnaround Strategy</w:t>
            </w:r>
            <w:r>
              <w:rPr>
                <w:noProof/>
                <w:webHidden/>
              </w:rPr>
              <w:tab/>
            </w:r>
            <w:r>
              <w:rPr>
                <w:noProof/>
                <w:webHidden/>
              </w:rPr>
              <w:fldChar w:fldCharType="begin"/>
            </w:r>
            <w:r>
              <w:rPr>
                <w:noProof/>
                <w:webHidden/>
              </w:rPr>
              <w:instrText xml:space="preserve"> PAGEREF _Toc181922149 \h </w:instrText>
            </w:r>
            <w:r>
              <w:rPr>
                <w:noProof/>
                <w:webHidden/>
              </w:rPr>
            </w:r>
            <w:r>
              <w:rPr>
                <w:noProof/>
                <w:webHidden/>
              </w:rPr>
              <w:fldChar w:fldCharType="separate"/>
            </w:r>
            <w:r>
              <w:rPr>
                <w:noProof/>
                <w:webHidden/>
              </w:rPr>
              <w:t>11</w:t>
            </w:r>
            <w:r>
              <w:rPr>
                <w:noProof/>
                <w:webHidden/>
              </w:rPr>
              <w:fldChar w:fldCharType="end"/>
            </w:r>
          </w:hyperlink>
        </w:p>
        <w:p w14:paraId="0878C1CA" w14:textId="299638B2" w:rsidR="002C18E8" w:rsidRDefault="002C18E8">
          <w:pPr>
            <w:pStyle w:val="TOC1"/>
            <w:tabs>
              <w:tab w:val="right" w:leader="dot" w:pos="9011"/>
            </w:tabs>
            <w:rPr>
              <w:noProof/>
            </w:rPr>
          </w:pPr>
          <w:hyperlink w:anchor="_Toc181922150" w:history="1">
            <w:r w:rsidRPr="005A48E5">
              <w:rPr>
                <w:rStyle w:val="Hyperlink"/>
                <w:rFonts w:ascii="Arial" w:hAnsi="Arial" w:cs="Arial"/>
                <w:noProof/>
              </w:rPr>
              <w:t>Marketing and Revenue Management</w:t>
            </w:r>
            <w:r>
              <w:rPr>
                <w:noProof/>
                <w:webHidden/>
              </w:rPr>
              <w:tab/>
            </w:r>
            <w:r>
              <w:rPr>
                <w:noProof/>
                <w:webHidden/>
              </w:rPr>
              <w:fldChar w:fldCharType="begin"/>
            </w:r>
            <w:r>
              <w:rPr>
                <w:noProof/>
                <w:webHidden/>
              </w:rPr>
              <w:instrText xml:space="preserve"> PAGEREF _Toc181922150 \h </w:instrText>
            </w:r>
            <w:r>
              <w:rPr>
                <w:noProof/>
                <w:webHidden/>
              </w:rPr>
            </w:r>
            <w:r>
              <w:rPr>
                <w:noProof/>
                <w:webHidden/>
              </w:rPr>
              <w:fldChar w:fldCharType="separate"/>
            </w:r>
            <w:r>
              <w:rPr>
                <w:noProof/>
                <w:webHidden/>
              </w:rPr>
              <w:t>14</w:t>
            </w:r>
            <w:r>
              <w:rPr>
                <w:noProof/>
                <w:webHidden/>
              </w:rPr>
              <w:fldChar w:fldCharType="end"/>
            </w:r>
          </w:hyperlink>
        </w:p>
        <w:p w14:paraId="1BAF20E0" w14:textId="2E91AA8D" w:rsidR="002C18E8" w:rsidRDefault="002C18E8">
          <w:pPr>
            <w:pStyle w:val="TOC1"/>
            <w:tabs>
              <w:tab w:val="right" w:leader="dot" w:pos="9011"/>
            </w:tabs>
            <w:rPr>
              <w:noProof/>
            </w:rPr>
          </w:pPr>
          <w:hyperlink w:anchor="_Toc181922151" w:history="1">
            <w:r w:rsidRPr="005A48E5">
              <w:rPr>
                <w:rStyle w:val="Hyperlink"/>
                <w:rFonts w:ascii="Arial" w:hAnsi="Arial" w:cs="Arial"/>
                <w:noProof/>
              </w:rPr>
              <w:t>Implementation Plan</w:t>
            </w:r>
            <w:r>
              <w:rPr>
                <w:noProof/>
                <w:webHidden/>
              </w:rPr>
              <w:tab/>
            </w:r>
            <w:r>
              <w:rPr>
                <w:noProof/>
                <w:webHidden/>
              </w:rPr>
              <w:fldChar w:fldCharType="begin"/>
            </w:r>
            <w:r>
              <w:rPr>
                <w:noProof/>
                <w:webHidden/>
              </w:rPr>
              <w:instrText xml:space="preserve"> PAGEREF _Toc181922151 \h </w:instrText>
            </w:r>
            <w:r>
              <w:rPr>
                <w:noProof/>
                <w:webHidden/>
              </w:rPr>
            </w:r>
            <w:r>
              <w:rPr>
                <w:noProof/>
                <w:webHidden/>
              </w:rPr>
              <w:fldChar w:fldCharType="separate"/>
            </w:r>
            <w:r>
              <w:rPr>
                <w:noProof/>
                <w:webHidden/>
              </w:rPr>
              <w:t>15</w:t>
            </w:r>
            <w:r>
              <w:rPr>
                <w:noProof/>
                <w:webHidden/>
              </w:rPr>
              <w:fldChar w:fldCharType="end"/>
            </w:r>
          </w:hyperlink>
        </w:p>
        <w:p w14:paraId="288CF796" w14:textId="63A290C3" w:rsidR="002C18E8" w:rsidRDefault="002C18E8">
          <w:pPr>
            <w:pStyle w:val="TOC1"/>
            <w:tabs>
              <w:tab w:val="right" w:leader="dot" w:pos="9011"/>
            </w:tabs>
            <w:rPr>
              <w:noProof/>
            </w:rPr>
          </w:pPr>
          <w:hyperlink w:anchor="_Toc181922152" w:history="1">
            <w:r w:rsidRPr="005A48E5">
              <w:rPr>
                <w:rStyle w:val="Hyperlink"/>
                <w:rFonts w:ascii="Arial" w:hAnsi="Arial" w:cs="Arial"/>
                <w:noProof/>
              </w:rPr>
              <w:t>Conclusion and Recommendations</w:t>
            </w:r>
            <w:r>
              <w:rPr>
                <w:noProof/>
                <w:webHidden/>
              </w:rPr>
              <w:tab/>
            </w:r>
            <w:r>
              <w:rPr>
                <w:noProof/>
                <w:webHidden/>
              </w:rPr>
              <w:fldChar w:fldCharType="begin"/>
            </w:r>
            <w:r>
              <w:rPr>
                <w:noProof/>
                <w:webHidden/>
              </w:rPr>
              <w:instrText xml:space="preserve"> PAGEREF _Toc181922152 \h </w:instrText>
            </w:r>
            <w:r>
              <w:rPr>
                <w:noProof/>
                <w:webHidden/>
              </w:rPr>
            </w:r>
            <w:r>
              <w:rPr>
                <w:noProof/>
                <w:webHidden/>
              </w:rPr>
              <w:fldChar w:fldCharType="separate"/>
            </w:r>
            <w:r>
              <w:rPr>
                <w:noProof/>
                <w:webHidden/>
              </w:rPr>
              <w:t>16</w:t>
            </w:r>
            <w:r>
              <w:rPr>
                <w:noProof/>
                <w:webHidden/>
              </w:rPr>
              <w:fldChar w:fldCharType="end"/>
            </w:r>
          </w:hyperlink>
        </w:p>
        <w:p w14:paraId="4302F089" w14:textId="0437F41A" w:rsidR="002C18E8" w:rsidRDefault="002C18E8">
          <w:pPr>
            <w:pStyle w:val="TOC1"/>
            <w:tabs>
              <w:tab w:val="right" w:leader="dot" w:pos="9011"/>
            </w:tabs>
            <w:rPr>
              <w:noProof/>
            </w:rPr>
          </w:pPr>
          <w:hyperlink w:anchor="_Toc181922153" w:history="1">
            <w:r w:rsidRPr="005A48E5">
              <w:rPr>
                <w:rStyle w:val="Hyperlink"/>
                <w:rFonts w:ascii="Arial" w:hAnsi="Arial" w:cs="Arial"/>
                <w:noProof/>
              </w:rPr>
              <w:t>Implementation and Monitoring</w:t>
            </w:r>
            <w:r>
              <w:rPr>
                <w:noProof/>
                <w:webHidden/>
              </w:rPr>
              <w:tab/>
            </w:r>
            <w:r>
              <w:rPr>
                <w:noProof/>
                <w:webHidden/>
              </w:rPr>
              <w:fldChar w:fldCharType="begin"/>
            </w:r>
            <w:r>
              <w:rPr>
                <w:noProof/>
                <w:webHidden/>
              </w:rPr>
              <w:instrText xml:space="preserve"> PAGEREF _Toc181922153 \h </w:instrText>
            </w:r>
            <w:r>
              <w:rPr>
                <w:noProof/>
                <w:webHidden/>
              </w:rPr>
            </w:r>
            <w:r>
              <w:rPr>
                <w:noProof/>
                <w:webHidden/>
              </w:rPr>
              <w:fldChar w:fldCharType="separate"/>
            </w:r>
            <w:r>
              <w:rPr>
                <w:noProof/>
                <w:webHidden/>
              </w:rPr>
              <w:t>17</w:t>
            </w:r>
            <w:r>
              <w:rPr>
                <w:noProof/>
                <w:webHidden/>
              </w:rPr>
              <w:fldChar w:fldCharType="end"/>
            </w:r>
          </w:hyperlink>
        </w:p>
        <w:p w14:paraId="62D296B4" w14:textId="100EE3FD" w:rsidR="002C18E8" w:rsidRDefault="002C18E8">
          <w:pPr>
            <w:pStyle w:val="TOC1"/>
            <w:tabs>
              <w:tab w:val="right" w:leader="dot" w:pos="9011"/>
            </w:tabs>
            <w:rPr>
              <w:noProof/>
            </w:rPr>
          </w:pPr>
          <w:hyperlink w:anchor="_Toc181922154" w:history="1">
            <w:r w:rsidRPr="005A48E5">
              <w:rPr>
                <w:rStyle w:val="Hyperlink"/>
                <w:rFonts w:ascii="Arial" w:hAnsi="Arial" w:cs="Arial"/>
                <w:noProof/>
              </w:rPr>
              <w:t>References list:</w:t>
            </w:r>
            <w:r>
              <w:rPr>
                <w:noProof/>
                <w:webHidden/>
              </w:rPr>
              <w:tab/>
            </w:r>
            <w:r>
              <w:rPr>
                <w:noProof/>
                <w:webHidden/>
              </w:rPr>
              <w:fldChar w:fldCharType="begin"/>
            </w:r>
            <w:r>
              <w:rPr>
                <w:noProof/>
                <w:webHidden/>
              </w:rPr>
              <w:instrText xml:space="preserve"> PAGEREF _Toc181922154 \h </w:instrText>
            </w:r>
            <w:r>
              <w:rPr>
                <w:noProof/>
                <w:webHidden/>
              </w:rPr>
            </w:r>
            <w:r>
              <w:rPr>
                <w:noProof/>
                <w:webHidden/>
              </w:rPr>
              <w:fldChar w:fldCharType="separate"/>
            </w:r>
            <w:r>
              <w:rPr>
                <w:noProof/>
                <w:webHidden/>
              </w:rPr>
              <w:t>17</w:t>
            </w:r>
            <w:r>
              <w:rPr>
                <w:noProof/>
                <w:webHidden/>
              </w:rPr>
              <w:fldChar w:fldCharType="end"/>
            </w:r>
          </w:hyperlink>
        </w:p>
        <w:p w14:paraId="0B26D1E7" w14:textId="264D1044" w:rsidR="002C18E8" w:rsidRDefault="002C18E8">
          <w:r>
            <w:rPr>
              <w:b/>
              <w:bCs/>
              <w:noProof/>
            </w:rPr>
            <w:fldChar w:fldCharType="end"/>
          </w:r>
        </w:p>
      </w:sdtContent>
    </w:sdt>
    <w:p w14:paraId="47C8F133" w14:textId="77777777" w:rsidR="002C18E8" w:rsidRDefault="002C18E8" w:rsidP="001309DE">
      <w:pPr>
        <w:spacing w:line="360" w:lineRule="auto"/>
        <w:jc w:val="both"/>
        <w:rPr>
          <w:rFonts w:ascii="Arial" w:hAnsi="Arial" w:cs="Arial"/>
        </w:rPr>
      </w:pPr>
    </w:p>
    <w:p w14:paraId="5E0228CD" w14:textId="77777777" w:rsidR="002C18E8" w:rsidRDefault="002C18E8" w:rsidP="001309DE">
      <w:pPr>
        <w:spacing w:line="360" w:lineRule="auto"/>
        <w:jc w:val="both"/>
        <w:rPr>
          <w:rFonts w:ascii="Arial" w:hAnsi="Arial" w:cs="Arial"/>
        </w:rPr>
      </w:pPr>
    </w:p>
    <w:p w14:paraId="33AF56C3" w14:textId="77777777" w:rsidR="002C18E8" w:rsidRDefault="002C18E8" w:rsidP="001309DE">
      <w:pPr>
        <w:spacing w:line="360" w:lineRule="auto"/>
        <w:jc w:val="both"/>
        <w:rPr>
          <w:rFonts w:ascii="Arial" w:hAnsi="Arial" w:cs="Arial"/>
        </w:rPr>
      </w:pPr>
    </w:p>
    <w:p w14:paraId="65951F4D" w14:textId="77777777" w:rsidR="002C18E8" w:rsidRDefault="002C18E8" w:rsidP="001309DE">
      <w:pPr>
        <w:spacing w:line="360" w:lineRule="auto"/>
        <w:jc w:val="both"/>
        <w:rPr>
          <w:rFonts w:ascii="Arial" w:hAnsi="Arial" w:cs="Arial"/>
        </w:rPr>
      </w:pPr>
    </w:p>
    <w:p w14:paraId="0DF9FC7F" w14:textId="77777777" w:rsidR="002C18E8" w:rsidRDefault="002C18E8" w:rsidP="001309DE">
      <w:pPr>
        <w:spacing w:line="360" w:lineRule="auto"/>
        <w:jc w:val="both"/>
        <w:rPr>
          <w:rFonts w:ascii="Arial" w:hAnsi="Arial" w:cs="Arial"/>
        </w:rPr>
      </w:pPr>
    </w:p>
    <w:p w14:paraId="3644B4C7" w14:textId="77777777" w:rsidR="002C18E8" w:rsidRDefault="002C18E8" w:rsidP="001309DE">
      <w:pPr>
        <w:spacing w:line="360" w:lineRule="auto"/>
        <w:jc w:val="both"/>
        <w:rPr>
          <w:rFonts w:ascii="Arial" w:hAnsi="Arial" w:cs="Arial"/>
        </w:rPr>
      </w:pPr>
    </w:p>
    <w:p w14:paraId="70E6EEE6" w14:textId="77777777" w:rsidR="002C18E8" w:rsidRDefault="002C18E8" w:rsidP="001309DE">
      <w:pPr>
        <w:spacing w:line="360" w:lineRule="auto"/>
        <w:jc w:val="both"/>
        <w:rPr>
          <w:rFonts w:ascii="Arial" w:hAnsi="Arial" w:cs="Arial"/>
        </w:rPr>
      </w:pPr>
    </w:p>
    <w:p w14:paraId="3AA90DC7" w14:textId="77777777" w:rsidR="002C18E8" w:rsidRDefault="002C18E8" w:rsidP="001309DE">
      <w:pPr>
        <w:spacing w:line="360" w:lineRule="auto"/>
        <w:jc w:val="both"/>
        <w:rPr>
          <w:rFonts w:ascii="Arial" w:hAnsi="Arial" w:cs="Arial"/>
        </w:rPr>
      </w:pPr>
    </w:p>
    <w:p w14:paraId="5EF8C053" w14:textId="77777777" w:rsidR="002C18E8" w:rsidRDefault="002C18E8" w:rsidP="001309DE">
      <w:pPr>
        <w:spacing w:line="360" w:lineRule="auto"/>
        <w:jc w:val="both"/>
        <w:rPr>
          <w:rFonts w:ascii="Arial" w:hAnsi="Arial" w:cs="Arial"/>
        </w:rPr>
      </w:pPr>
    </w:p>
    <w:p w14:paraId="2D8903F5" w14:textId="77777777" w:rsidR="002C18E8" w:rsidRDefault="002C18E8" w:rsidP="001309DE">
      <w:pPr>
        <w:spacing w:line="360" w:lineRule="auto"/>
        <w:jc w:val="both"/>
        <w:rPr>
          <w:rFonts w:ascii="Arial" w:hAnsi="Arial" w:cs="Arial"/>
        </w:rPr>
      </w:pPr>
    </w:p>
    <w:p w14:paraId="7784D2BF" w14:textId="77777777" w:rsidR="002C18E8" w:rsidRDefault="002C18E8" w:rsidP="001309DE">
      <w:pPr>
        <w:spacing w:line="360" w:lineRule="auto"/>
        <w:jc w:val="both"/>
        <w:rPr>
          <w:rFonts w:ascii="Arial" w:hAnsi="Arial" w:cs="Arial"/>
        </w:rPr>
      </w:pPr>
    </w:p>
    <w:p w14:paraId="3C378BB4" w14:textId="77777777" w:rsidR="002C18E8" w:rsidRDefault="002C18E8" w:rsidP="001309DE">
      <w:pPr>
        <w:spacing w:line="360" w:lineRule="auto"/>
        <w:jc w:val="both"/>
        <w:rPr>
          <w:rFonts w:ascii="Arial" w:hAnsi="Arial" w:cs="Arial"/>
        </w:rPr>
      </w:pPr>
    </w:p>
    <w:p w14:paraId="61C10018" w14:textId="77777777" w:rsidR="002C18E8" w:rsidRDefault="002C18E8" w:rsidP="001309DE">
      <w:pPr>
        <w:spacing w:line="360" w:lineRule="auto"/>
        <w:jc w:val="both"/>
        <w:rPr>
          <w:rFonts w:ascii="Arial" w:hAnsi="Arial" w:cs="Arial"/>
        </w:rPr>
      </w:pPr>
    </w:p>
    <w:p w14:paraId="1FB2FC90" w14:textId="77777777" w:rsidR="002C18E8" w:rsidRDefault="002C18E8" w:rsidP="001309DE">
      <w:pPr>
        <w:spacing w:line="360" w:lineRule="auto"/>
        <w:jc w:val="both"/>
        <w:rPr>
          <w:rFonts w:ascii="Arial" w:hAnsi="Arial" w:cs="Arial"/>
        </w:rPr>
      </w:pPr>
    </w:p>
    <w:p w14:paraId="1988D4E0" w14:textId="77777777" w:rsidR="002C18E8" w:rsidRPr="00250C10" w:rsidRDefault="002C18E8" w:rsidP="001309DE">
      <w:pPr>
        <w:spacing w:line="360" w:lineRule="auto"/>
        <w:jc w:val="both"/>
        <w:rPr>
          <w:rFonts w:ascii="Arial" w:hAnsi="Arial" w:cs="Arial"/>
        </w:rPr>
      </w:pPr>
    </w:p>
    <w:p w14:paraId="300AC179" w14:textId="77777777" w:rsidR="001309DE" w:rsidRPr="00250C10" w:rsidRDefault="001309DE" w:rsidP="001309DE">
      <w:pPr>
        <w:spacing w:line="360" w:lineRule="auto"/>
        <w:jc w:val="both"/>
        <w:rPr>
          <w:rFonts w:ascii="Arial" w:hAnsi="Arial" w:cs="Arial"/>
        </w:rPr>
      </w:pPr>
    </w:p>
    <w:p w14:paraId="7F5B342E" w14:textId="77777777" w:rsidR="00DB68D7" w:rsidRPr="00250C10" w:rsidRDefault="00DB68D7" w:rsidP="00250C10">
      <w:pPr>
        <w:pStyle w:val="Heading1"/>
        <w:rPr>
          <w:rFonts w:ascii="Arial" w:hAnsi="Arial" w:cs="Arial"/>
          <w:b/>
          <w:bCs/>
          <w:color w:val="156082" w:themeColor="accent1"/>
          <w:sz w:val="28"/>
          <w:szCs w:val="28"/>
        </w:rPr>
      </w:pPr>
      <w:bookmarkStart w:id="0" w:name="_Toc181922144"/>
      <w:r w:rsidRPr="00250C10">
        <w:rPr>
          <w:rFonts w:ascii="Arial" w:hAnsi="Arial" w:cs="Arial"/>
          <w:b/>
          <w:bCs/>
          <w:color w:val="156082" w:themeColor="accent1"/>
          <w:sz w:val="28"/>
          <w:szCs w:val="28"/>
        </w:rPr>
        <w:lastRenderedPageBreak/>
        <w:t>Executive Summary</w:t>
      </w:r>
      <w:bookmarkEnd w:id="0"/>
    </w:p>
    <w:p w14:paraId="76CD690F" w14:textId="77777777" w:rsidR="006B2759" w:rsidRPr="00250C10" w:rsidRDefault="006B2759" w:rsidP="00747C8F">
      <w:pPr>
        <w:spacing w:before="240" w:line="360" w:lineRule="auto"/>
        <w:jc w:val="both"/>
        <w:rPr>
          <w:rFonts w:ascii="Arial" w:hAnsi="Arial" w:cs="Arial"/>
        </w:rPr>
      </w:pPr>
      <w:r w:rsidRPr="00250C10">
        <w:rPr>
          <w:rFonts w:ascii="Arial" w:hAnsi="Arial" w:cs="Arial"/>
        </w:rPr>
        <w:t>This report examines the pressing financial challenges confronting Urban Heights Hotel, which include a significant decline in revenue, reduced occupancy rates, and deteriorating customer satisfaction levels. In order to assess the hotel's financial health and identify important areas of concern, the study thoroughly examines important financial measures, paying special attention to profitability, liquidity, and solvency ratios. These financial stresses have been made worse by economic pressures such rising inflation and consumer spending shifting towards more affordable options, which has made managing operating costs and generating income more difficult (Atrill &amp; McLaney, 2021).</w:t>
      </w:r>
    </w:p>
    <w:p w14:paraId="7BFF4E9E" w14:textId="77777777" w:rsidR="006B2759" w:rsidRPr="006B2759" w:rsidRDefault="006B2759" w:rsidP="006B2759">
      <w:pPr>
        <w:spacing w:before="240" w:line="360" w:lineRule="auto"/>
        <w:jc w:val="both"/>
        <w:rPr>
          <w:rFonts w:ascii="Arial" w:hAnsi="Arial" w:cs="Arial"/>
        </w:rPr>
      </w:pPr>
      <w:r w:rsidRPr="006B2759">
        <w:rPr>
          <w:rFonts w:ascii="Arial" w:hAnsi="Arial" w:cs="Arial"/>
        </w:rPr>
        <w:t>According to the findings, quick strategic actions are necessary to stop the hotel's financial downturn and put it in a competitive position. Implementing cost-cutting measures to increase profitability, improving service quality to increase customer happiness, and repositioning the market to attract and retain clients in a changing market are some of the main recommendations (Drury, 2021). By stabilising cash flow, cutting costs, and fostering client loyalty, these suggested measures seek to set up Urban Heights for long-term success. The suggestions offer the hotel a workable road map for overcoming present financial difficulties and ensuring a robust, sustainable future (Walker, 2021).</w:t>
      </w:r>
    </w:p>
    <w:p w14:paraId="37803191" w14:textId="77777777" w:rsidR="001309DE" w:rsidRPr="00250C10" w:rsidRDefault="001309DE" w:rsidP="00747C8F">
      <w:pPr>
        <w:spacing w:before="240" w:line="360" w:lineRule="auto"/>
        <w:jc w:val="both"/>
        <w:rPr>
          <w:rFonts w:ascii="Arial" w:hAnsi="Arial" w:cs="Arial"/>
        </w:rPr>
      </w:pPr>
    </w:p>
    <w:p w14:paraId="5C9ED79A" w14:textId="77777777" w:rsidR="001309DE" w:rsidRPr="00250C10" w:rsidRDefault="001309DE" w:rsidP="00747C8F">
      <w:pPr>
        <w:spacing w:before="240" w:line="360" w:lineRule="auto"/>
        <w:jc w:val="both"/>
        <w:rPr>
          <w:rFonts w:ascii="Arial" w:hAnsi="Arial" w:cs="Arial"/>
        </w:rPr>
      </w:pPr>
    </w:p>
    <w:p w14:paraId="35085F79" w14:textId="77777777" w:rsidR="001309DE" w:rsidRPr="00250C10" w:rsidRDefault="001309DE" w:rsidP="00747C8F">
      <w:pPr>
        <w:spacing w:before="240" w:line="360" w:lineRule="auto"/>
        <w:jc w:val="both"/>
        <w:rPr>
          <w:rFonts w:ascii="Arial" w:hAnsi="Arial" w:cs="Arial"/>
        </w:rPr>
      </w:pPr>
    </w:p>
    <w:p w14:paraId="41A08711" w14:textId="77777777" w:rsidR="001309DE" w:rsidRPr="00250C10" w:rsidRDefault="001309DE" w:rsidP="00747C8F">
      <w:pPr>
        <w:spacing w:before="240" w:line="360" w:lineRule="auto"/>
        <w:jc w:val="both"/>
        <w:rPr>
          <w:rFonts w:ascii="Arial" w:hAnsi="Arial" w:cs="Arial"/>
        </w:rPr>
      </w:pPr>
    </w:p>
    <w:p w14:paraId="7AF4A9D7" w14:textId="77777777" w:rsidR="001309DE" w:rsidRPr="00250C10" w:rsidRDefault="001309DE" w:rsidP="00747C8F">
      <w:pPr>
        <w:spacing w:before="240" w:line="360" w:lineRule="auto"/>
        <w:jc w:val="both"/>
        <w:rPr>
          <w:rFonts w:ascii="Arial" w:hAnsi="Arial" w:cs="Arial"/>
        </w:rPr>
      </w:pPr>
    </w:p>
    <w:p w14:paraId="7101A4E6" w14:textId="77777777" w:rsidR="001309DE" w:rsidRPr="00250C10" w:rsidRDefault="001309DE" w:rsidP="00747C8F">
      <w:pPr>
        <w:spacing w:before="240" w:line="360" w:lineRule="auto"/>
        <w:jc w:val="both"/>
        <w:rPr>
          <w:rFonts w:ascii="Arial" w:hAnsi="Arial" w:cs="Arial"/>
        </w:rPr>
      </w:pPr>
    </w:p>
    <w:p w14:paraId="4EE3B786" w14:textId="77777777" w:rsidR="001309DE" w:rsidRPr="005E3A35" w:rsidRDefault="001309DE" w:rsidP="00747C8F">
      <w:pPr>
        <w:spacing w:before="240" w:line="360" w:lineRule="auto"/>
        <w:jc w:val="both"/>
        <w:rPr>
          <w:rFonts w:ascii="Arial" w:hAnsi="Arial" w:cs="Arial"/>
        </w:rPr>
      </w:pPr>
    </w:p>
    <w:p w14:paraId="03759F73" w14:textId="77777777" w:rsidR="00DB68D7" w:rsidRPr="00DB68D7" w:rsidRDefault="00DB68D7" w:rsidP="00250C10">
      <w:pPr>
        <w:pStyle w:val="Heading1"/>
        <w:rPr>
          <w:rFonts w:ascii="Arial" w:hAnsi="Arial" w:cs="Arial"/>
          <w:b/>
          <w:bCs/>
          <w:color w:val="156082" w:themeColor="accent1"/>
          <w:sz w:val="28"/>
          <w:szCs w:val="28"/>
        </w:rPr>
      </w:pPr>
      <w:bookmarkStart w:id="1" w:name="_Toc181922145"/>
      <w:r w:rsidRPr="00DB68D7">
        <w:rPr>
          <w:rFonts w:ascii="Arial" w:hAnsi="Arial" w:cs="Arial"/>
          <w:b/>
          <w:bCs/>
          <w:color w:val="156082" w:themeColor="accent1"/>
          <w:sz w:val="28"/>
          <w:szCs w:val="28"/>
        </w:rPr>
        <w:lastRenderedPageBreak/>
        <w:t>Introduction</w:t>
      </w:r>
      <w:bookmarkEnd w:id="1"/>
    </w:p>
    <w:p w14:paraId="02B1B93A" w14:textId="77777777" w:rsidR="006B2759" w:rsidRPr="006B2759" w:rsidRDefault="006B2759" w:rsidP="006B2759">
      <w:pPr>
        <w:spacing w:before="240" w:line="360" w:lineRule="auto"/>
        <w:jc w:val="both"/>
        <w:rPr>
          <w:rFonts w:ascii="Arial" w:hAnsi="Arial" w:cs="Arial"/>
        </w:rPr>
      </w:pPr>
      <w:r w:rsidRPr="006B2759">
        <w:rPr>
          <w:rFonts w:ascii="Arial" w:hAnsi="Arial" w:cs="Arial"/>
        </w:rPr>
        <w:t>Urban Heights Hotel is experiencing rising financial pressures due to a combination of internal inefficiencies and adverse external economic conditions. While occupancy rates are still declining, internal operating costs have increased, underscoring the urgent need for a successful financial recovery plan. The hospitality industry is extremely vulnerable to external economic swings, and more recent developments including growing inflation, heightened competition, and changes in consumer behaviour have put more pressure on the sector (Jones &amp; Lockwood, 2004). Customers are changing their discretionary spending to reflect economic uncertainty and are looking for more affordable lodging options. Urban Heights has been adversely harmed by this trend, which has made its revenue problems worse and jeopardised its long-term survival.</w:t>
      </w:r>
    </w:p>
    <w:p w14:paraId="1EB95A17" w14:textId="77777777" w:rsidR="006B2759" w:rsidRPr="006B2759" w:rsidRDefault="006B2759" w:rsidP="006B2759">
      <w:pPr>
        <w:spacing w:before="240" w:line="360" w:lineRule="auto"/>
        <w:jc w:val="both"/>
        <w:rPr>
          <w:rFonts w:ascii="Arial" w:hAnsi="Arial" w:cs="Arial"/>
        </w:rPr>
      </w:pPr>
      <w:r w:rsidRPr="006B2759">
        <w:rPr>
          <w:rFonts w:ascii="Arial" w:hAnsi="Arial" w:cs="Arial"/>
        </w:rPr>
        <w:t>Through the analysis of three important ratios—profitability, liquidity, and solvency—this research seeks to present a comprehensive financial evaluation of Urban Heights in order to analyse the hotel's present financial status and pinpoint areas that require urgent attention (Schmidgall, 2016). The paper aims to identify the fundamental problems that underlie the financial deterioration and offer practical remedies through this examination. Through an analysis of current market developments, including rising operating expenses, varying demand, and changing visitor expectations, this report will present recovery plans customised to meet Urban Heights' requirements. In order for Urban Heights to restore its financial stability and fortify its competitive position in a difficult market, the recommendations centre on cost reduction, customer service enhancements, and targeted market repositioning (Rutherford &amp; O'Fallon, 2011).</w:t>
      </w:r>
    </w:p>
    <w:p w14:paraId="3E518C7B" w14:textId="6FE647A6" w:rsidR="00DB68D7" w:rsidRPr="00DB68D7" w:rsidRDefault="00DB68D7" w:rsidP="00250C10">
      <w:pPr>
        <w:pStyle w:val="Heading1"/>
        <w:rPr>
          <w:rFonts w:ascii="Arial" w:hAnsi="Arial" w:cs="Arial"/>
          <w:b/>
          <w:bCs/>
          <w:color w:val="156082" w:themeColor="accent1"/>
          <w:sz w:val="28"/>
          <w:szCs w:val="28"/>
        </w:rPr>
      </w:pPr>
      <w:bookmarkStart w:id="2" w:name="_Toc181922146"/>
      <w:r w:rsidRPr="00DB68D7">
        <w:rPr>
          <w:rFonts w:ascii="Arial" w:hAnsi="Arial" w:cs="Arial"/>
          <w:b/>
          <w:bCs/>
          <w:color w:val="156082" w:themeColor="accent1"/>
          <w:sz w:val="28"/>
          <w:szCs w:val="28"/>
        </w:rPr>
        <w:t>Financial Analysis</w:t>
      </w:r>
      <w:bookmarkEnd w:id="2"/>
      <w:r w:rsidRPr="00DB68D7">
        <w:rPr>
          <w:rFonts w:ascii="Arial" w:hAnsi="Arial" w:cs="Arial"/>
          <w:b/>
          <w:bCs/>
          <w:color w:val="156082" w:themeColor="accent1"/>
          <w:sz w:val="28"/>
          <w:szCs w:val="28"/>
        </w:rPr>
        <w:t xml:space="preserve"> </w:t>
      </w:r>
    </w:p>
    <w:p w14:paraId="2133F4FF" w14:textId="2A973223" w:rsidR="006B2759" w:rsidRPr="006B2759" w:rsidRDefault="006B2759" w:rsidP="006B2759">
      <w:pPr>
        <w:spacing w:before="240" w:line="360" w:lineRule="auto"/>
        <w:jc w:val="both"/>
        <w:rPr>
          <w:rFonts w:ascii="Arial" w:hAnsi="Arial" w:cs="Arial"/>
        </w:rPr>
      </w:pPr>
      <w:r w:rsidRPr="006B2759">
        <w:rPr>
          <w:rFonts w:ascii="Arial" w:hAnsi="Arial" w:cs="Arial"/>
        </w:rPr>
        <w:t xml:space="preserve">By analysing profitability, liquidity, and solvency ratios from 2021 to 2023, this financial research assesses the significant obstacles Urban Heights faces. These indicators show the hotel's financial burden and serve as a foundation for comprehending the constraints and prerequisites for a workable recovery plan. This part also </w:t>
      </w:r>
      <w:r w:rsidR="002962E0" w:rsidRPr="006B2759">
        <w:rPr>
          <w:rFonts w:ascii="Arial" w:hAnsi="Arial" w:cs="Arial"/>
        </w:rPr>
        <w:t>considers</w:t>
      </w:r>
      <w:r w:rsidRPr="006B2759">
        <w:rPr>
          <w:rFonts w:ascii="Arial" w:hAnsi="Arial" w:cs="Arial"/>
        </w:rPr>
        <w:t xml:space="preserve"> external economic issues that have further limited the hotel's capacity to generate income and control costs, such as inflation and changing client preferences.</w:t>
      </w:r>
    </w:p>
    <w:p w14:paraId="3238BF43" w14:textId="77777777" w:rsidR="00253D77" w:rsidRPr="00253D77" w:rsidRDefault="00253D77" w:rsidP="00747C8F">
      <w:pPr>
        <w:spacing w:before="240" w:line="360" w:lineRule="auto"/>
        <w:jc w:val="both"/>
        <w:rPr>
          <w:rFonts w:ascii="Arial" w:hAnsi="Arial" w:cs="Arial"/>
          <w:b/>
          <w:bCs/>
        </w:rPr>
      </w:pPr>
      <w:r w:rsidRPr="00253D77">
        <w:rPr>
          <w:rFonts w:ascii="Arial" w:hAnsi="Arial" w:cs="Arial"/>
          <w:b/>
          <w:bCs/>
        </w:rPr>
        <w:lastRenderedPageBreak/>
        <w:t>Profitability</w:t>
      </w:r>
    </w:p>
    <w:p w14:paraId="726BBC23" w14:textId="77777777" w:rsidR="006B2759" w:rsidRPr="006B2759" w:rsidRDefault="006B2759" w:rsidP="006B2759">
      <w:pPr>
        <w:spacing w:before="240" w:line="360" w:lineRule="auto"/>
        <w:jc w:val="both"/>
        <w:rPr>
          <w:rFonts w:ascii="Arial" w:hAnsi="Arial" w:cs="Arial"/>
        </w:rPr>
      </w:pPr>
      <w:r w:rsidRPr="006B2759">
        <w:rPr>
          <w:rFonts w:ascii="Arial" w:hAnsi="Arial" w:cs="Arial"/>
        </w:rPr>
        <w:t>Over the past three years, Urban Heights' profitability has significantly decreased. After being positive 28% in 2021, net profit margins dropped precipitously to -27.8% in 2023, indicating a serious decline in financial health (Atrill &amp; McLaney, 2021). Due to declining occupancy rates and rising operating costs, revenue decreased from £2,500,000 in 2021 to £1,800,000 in 2023. Gross profit margins have been further reduced by rising prices, especially in labour and suppliers, which emphasises how urgently expense control is needed to stop further financial decline (Drury, 2021).</w:t>
      </w:r>
    </w:p>
    <w:p w14:paraId="69AB807B" w14:textId="77777777" w:rsidR="004358BD" w:rsidRPr="00250C10" w:rsidRDefault="004358BD" w:rsidP="00747C8F">
      <w:pPr>
        <w:spacing w:before="240" w:line="360" w:lineRule="auto"/>
        <w:jc w:val="both"/>
        <w:rPr>
          <w:rFonts w:ascii="Arial" w:hAnsi="Arial" w:cs="Arial"/>
        </w:rPr>
      </w:pPr>
    </w:p>
    <w:p w14:paraId="3132B8E2" w14:textId="161E882F" w:rsidR="004358BD" w:rsidRPr="00253D77" w:rsidRDefault="004358BD" w:rsidP="00747C8F">
      <w:pPr>
        <w:spacing w:before="240" w:line="360" w:lineRule="auto"/>
        <w:jc w:val="both"/>
        <w:rPr>
          <w:rFonts w:ascii="Arial" w:hAnsi="Arial" w:cs="Arial"/>
        </w:rPr>
      </w:pPr>
      <w:r w:rsidRPr="00250C10">
        <w:rPr>
          <w:rFonts w:ascii="Arial" w:hAnsi="Arial" w:cs="Arial"/>
          <w:noProof/>
        </w:rPr>
        <w:drawing>
          <wp:inline distT="0" distB="0" distL="0" distR="0" wp14:anchorId="2C5B2A00" wp14:editId="4CC5DC77">
            <wp:extent cx="5728335" cy="2453640"/>
            <wp:effectExtent l="0" t="0" r="0" b="0"/>
            <wp:docPr id="41207358" name="Picture 1" descr="A pie chart with numbers and a few percent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07358" name="Picture 1" descr="A pie chart with numbers and a few percentages&#10;&#10;Description automatically generated"/>
                    <pic:cNvPicPr/>
                  </pic:nvPicPr>
                  <pic:blipFill>
                    <a:blip r:embed="rId6"/>
                    <a:stretch>
                      <a:fillRect/>
                    </a:stretch>
                  </pic:blipFill>
                  <pic:spPr>
                    <a:xfrm>
                      <a:off x="0" y="0"/>
                      <a:ext cx="5728335" cy="2453640"/>
                    </a:xfrm>
                    <a:prstGeom prst="rect">
                      <a:avLst/>
                    </a:prstGeom>
                  </pic:spPr>
                </pic:pic>
              </a:graphicData>
            </a:graphic>
          </wp:inline>
        </w:drawing>
      </w:r>
    </w:p>
    <w:tbl>
      <w:tblPr>
        <w:tblStyle w:val="GridTable4-Accent6"/>
        <w:tblW w:w="6560" w:type="dxa"/>
        <w:jc w:val="center"/>
        <w:tblLook w:val="04A0" w:firstRow="1" w:lastRow="0" w:firstColumn="1" w:lastColumn="0" w:noHBand="0" w:noVBand="1"/>
      </w:tblPr>
      <w:tblGrid>
        <w:gridCol w:w="2380"/>
        <w:gridCol w:w="1420"/>
        <w:gridCol w:w="1420"/>
        <w:gridCol w:w="1418"/>
      </w:tblGrid>
      <w:tr w:rsidR="004358BD" w:rsidRPr="00250C10" w14:paraId="7392498C" w14:textId="77777777" w:rsidTr="00AB4CD3">
        <w:trPr>
          <w:cnfStyle w:val="100000000000" w:firstRow="1" w:lastRow="0" w:firstColumn="0" w:lastColumn="0" w:oddVBand="0" w:evenVBand="0" w:oddHBand="0"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2380" w:type="dxa"/>
            <w:noWrap/>
            <w:hideMark/>
          </w:tcPr>
          <w:p w14:paraId="5CA89042" w14:textId="77777777" w:rsidR="004358BD" w:rsidRPr="00250C10" w:rsidRDefault="004358BD" w:rsidP="00AB4CD3">
            <w:pPr>
              <w:jc w:val="center"/>
              <w:rPr>
                <w:rFonts w:ascii="Arial" w:eastAsia="Times New Roman" w:hAnsi="Arial" w:cs="Arial"/>
                <w:color w:val="000000"/>
                <w:sz w:val="24"/>
                <w:szCs w:val="24"/>
                <w:lang w:eastAsia="en-GB"/>
              </w:rPr>
            </w:pPr>
            <w:r w:rsidRPr="00250C10">
              <w:rPr>
                <w:rFonts w:ascii="Arial" w:eastAsia="Times New Roman" w:hAnsi="Arial" w:cs="Arial"/>
                <w:color w:val="000000"/>
                <w:sz w:val="24"/>
                <w:szCs w:val="24"/>
                <w:lang w:eastAsia="en-GB"/>
              </w:rPr>
              <w:t xml:space="preserve">Year </w:t>
            </w:r>
          </w:p>
        </w:tc>
        <w:tc>
          <w:tcPr>
            <w:tcW w:w="1420" w:type="dxa"/>
            <w:noWrap/>
            <w:hideMark/>
          </w:tcPr>
          <w:p w14:paraId="49B31FDF" w14:textId="77777777" w:rsidR="004358BD" w:rsidRPr="00250C10" w:rsidRDefault="004358BD" w:rsidP="00AB4CD3">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GB"/>
              </w:rPr>
            </w:pPr>
            <w:r w:rsidRPr="00250C10">
              <w:rPr>
                <w:rFonts w:ascii="Arial" w:eastAsia="Times New Roman" w:hAnsi="Arial" w:cs="Arial"/>
                <w:color w:val="000000"/>
                <w:sz w:val="24"/>
                <w:szCs w:val="24"/>
                <w:lang w:eastAsia="en-GB"/>
              </w:rPr>
              <w:t>2021</w:t>
            </w:r>
          </w:p>
        </w:tc>
        <w:tc>
          <w:tcPr>
            <w:tcW w:w="1420" w:type="dxa"/>
            <w:noWrap/>
            <w:hideMark/>
          </w:tcPr>
          <w:p w14:paraId="77DA9D6D" w14:textId="77777777" w:rsidR="004358BD" w:rsidRPr="00250C10" w:rsidRDefault="004358BD" w:rsidP="00AB4CD3">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GB"/>
              </w:rPr>
            </w:pPr>
            <w:r w:rsidRPr="00250C10">
              <w:rPr>
                <w:rFonts w:ascii="Arial" w:eastAsia="Times New Roman" w:hAnsi="Arial" w:cs="Arial"/>
                <w:color w:val="000000"/>
                <w:sz w:val="24"/>
                <w:szCs w:val="24"/>
                <w:lang w:eastAsia="en-GB"/>
              </w:rPr>
              <w:t>2022</w:t>
            </w:r>
          </w:p>
        </w:tc>
        <w:tc>
          <w:tcPr>
            <w:tcW w:w="1340" w:type="dxa"/>
            <w:noWrap/>
            <w:hideMark/>
          </w:tcPr>
          <w:p w14:paraId="18D662A0" w14:textId="77777777" w:rsidR="004358BD" w:rsidRPr="00250C10" w:rsidRDefault="004358BD" w:rsidP="00AB4CD3">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sz w:val="24"/>
                <w:szCs w:val="24"/>
                <w:lang w:eastAsia="en-GB"/>
              </w:rPr>
            </w:pPr>
            <w:r w:rsidRPr="00250C10">
              <w:rPr>
                <w:rFonts w:ascii="Arial" w:eastAsia="Times New Roman" w:hAnsi="Arial" w:cs="Arial"/>
                <w:color w:val="000000"/>
                <w:sz w:val="24"/>
                <w:szCs w:val="24"/>
                <w:lang w:eastAsia="en-GB"/>
              </w:rPr>
              <w:t>2023</w:t>
            </w:r>
          </w:p>
        </w:tc>
      </w:tr>
      <w:tr w:rsidR="004358BD" w:rsidRPr="00250C10" w14:paraId="676C2237" w14:textId="77777777" w:rsidTr="00AB4CD3">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380" w:type="dxa"/>
            <w:noWrap/>
            <w:hideMark/>
          </w:tcPr>
          <w:p w14:paraId="4E1C6D41" w14:textId="77777777" w:rsidR="004358BD" w:rsidRPr="00250C10" w:rsidRDefault="004358BD" w:rsidP="00AB4CD3">
            <w:pPr>
              <w:rPr>
                <w:rFonts w:ascii="Arial" w:eastAsia="Times New Roman" w:hAnsi="Arial" w:cs="Arial"/>
                <w:color w:val="000000"/>
                <w:sz w:val="24"/>
                <w:szCs w:val="24"/>
                <w:lang w:eastAsia="en-GB"/>
              </w:rPr>
            </w:pPr>
            <w:r w:rsidRPr="00250C10">
              <w:rPr>
                <w:rFonts w:ascii="Arial" w:eastAsia="Times New Roman" w:hAnsi="Arial" w:cs="Arial"/>
                <w:color w:val="000000"/>
                <w:sz w:val="24"/>
                <w:szCs w:val="24"/>
                <w:lang w:eastAsia="en-GB"/>
              </w:rPr>
              <w:t xml:space="preserve">Revenue </w:t>
            </w:r>
          </w:p>
        </w:tc>
        <w:tc>
          <w:tcPr>
            <w:tcW w:w="1420" w:type="dxa"/>
            <w:noWrap/>
            <w:hideMark/>
          </w:tcPr>
          <w:p w14:paraId="339837F2" w14:textId="77777777" w:rsidR="004358BD" w:rsidRPr="00250C10" w:rsidRDefault="004358BD" w:rsidP="00AB4CD3">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GB"/>
              </w:rPr>
            </w:pPr>
            <w:r w:rsidRPr="00250C10">
              <w:rPr>
                <w:rFonts w:ascii="Arial" w:eastAsia="Times New Roman" w:hAnsi="Arial" w:cs="Arial"/>
                <w:color w:val="000000"/>
                <w:sz w:val="24"/>
                <w:szCs w:val="24"/>
                <w:lang w:eastAsia="en-GB"/>
              </w:rPr>
              <w:t xml:space="preserve">£2,500,000 </w:t>
            </w:r>
          </w:p>
        </w:tc>
        <w:tc>
          <w:tcPr>
            <w:tcW w:w="1420" w:type="dxa"/>
            <w:noWrap/>
            <w:hideMark/>
          </w:tcPr>
          <w:p w14:paraId="71A716E1" w14:textId="77777777" w:rsidR="004358BD" w:rsidRPr="00250C10" w:rsidRDefault="004358BD" w:rsidP="00AB4CD3">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GB"/>
              </w:rPr>
            </w:pPr>
            <w:r w:rsidRPr="00250C10">
              <w:rPr>
                <w:rFonts w:ascii="Arial" w:eastAsia="Times New Roman" w:hAnsi="Arial" w:cs="Arial"/>
                <w:color w:val="000000"/>
                <w:sz w:val="24"/>
                <w:szCs w:val="24"/>
                <w:lang w:eastAsia="en-GB"/>
              </w:rPr>
              <w:t xml:space="preserve">£2,200,000 </w:t>
            </w:r>
          </w:p>
        </w:tc>
        <w:tc>
          <w:tcPr>
            <w:tcW w:w="1340" w:type="dxa"/>
            <w:noWrap/>
            <w:hideMark/>
          </w:tcPr>
          <w:p w14:paraId="32259905" w14:textId="77777777" w:rsidR="004358BD" w:rsidRPr="00250C10" w:rsidRDefault="004358BD" w:rsidP="00AB4CD3">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4"/>
                <w:szCs w:val="24"/>
                <w:lang w:eastAsia="en-GB"/>
              </w:rPr>
            </w:pPr>
            <w:r w:rsidRPr="00250C10">
              <w:rPr>
                <w:rFonts w:ascii="Arial" w:eastAsia="Times New Roman" w:hAnsi="Arial" w:cs="Arial"/>
                <w:color w:val="000000"/>
                <w:sz w:val="24"/>
                <w:szCs w:val="24"/>
                <w:lang w:eastAsia="en-GB"/>
              </w:rPr>
              <w:t>£1,800,000</w:t>
            </w:r>
          </w:p>
        </w:tc>
      </w:tr>
    </w:tbl>
    <w:p w14:paraId="4EE25A21" w14:textId="77777777" w:rsidR="004358BD" w:rsidRPr="00250C10" w:rsidRDefault="004358BD" w:rsidP="00747C8F">
      <w:pPr>
        <w:spacing w:before="240" w:line="360" w:lineRule="auto"/>
        <w:jc w:val="both"/>
        <w:rPr>
          <w:rFonts w:ascii="Arial" w:hAnsi="Arial" w:cs="Arial"/>
        </w:rPr>
      </w:pPr>
    </w:p>
    <w:p w14:paraId="0F4562B3" w14:textId="77777777" w:rsidR="006B2759" w:rsidRPr="00250C10" w:rsidRDefault="006B2759" w:rsidP="006B2759">
      <w:pPr>
        <w:spacing w:before="240" w:line="360" w:lineRule="auto"/>
        <w:jc w:val="both"/>
        <w:rPr>
          <w:rFonts w:ascii="Arial" w:hAnsi="Arial" w:cs="Arial"/>
        </w:rPr>
      </w:pPr>
      <w:r w:rsidRPr="006B2759">
        <w:rPr>
          <w:rFonts w:ascii="Arial" w:hAnsi="Arial" w:cs="Arial"/>
        </w:rPr>
        <w:t>This downward trend can be visually represented by a bar chart that shows the revenue decline from 2021 to 2023. This will serve to highlight the severity of the issue and the necessity of cost-control measures to stabilise profitability. If nothing is done, the hotel's financial situation would probably get worse due to its inability to pay for growing expenses.</w:t>
      </w:r>
    </w:p>
    <w:p w14:paraId="29791A74" w14:textId="77777777" w:rsidR="006B2759" w:rsidRPr="00250C10" w:rsidRDefault="006B2759" w:rsidP="006B2759">
      <w:pPr>
        <w:spacing w:before="240" w:line="360" w:lineRule="auto"/>
        <w:jc w:val="both"/>
        <w:rPr>
          <w:rFonts w:ascii="Arial" w:hAnsi="Arial" w:cs="Arial"/>
          <w:b/>
          <w:bCs/>
        </w:rPr>
      </w:pPr>
      <w:r w:rsidRPr="006B2759">
        <w:rPr>
          <w:rFonts w:ascii="Arial" w:hAnsi="Arial" w:cs="Arial"/>
        </w:rPr>
        <w:br/>
      </w:r>
      <w:r w:rsidRPr="006B2759">
        <w:rPr>
          <w:rFonts w:ascii="Arial" w:hAnsi="Arial" w:cs="Arial"/>
          <w:b/>
          <w:bCs/>
        </w:rPr>
        <w:t xml:space="preserve">Liquidity </w:t>
      </w:r>
    </w:p>
    <w:p w14:paraId="5AB90763" w14:textId="73E814F6" w:rsidR="006B2759" w:rsidRPr="006B2759" w:rsidRDefault="006B2759" w:rsidP="006B2759">
      <w:pPr>
        <w:spacing w:before="240" w:line="360" w:lineRule="auto"/>
        <w:jc w:val="both"/>
        <w:rPr>
          <w:rFonts w:ascii="Arial" w:hAnsi="Arial" w:cs="Arial"/>
        </w:rPr>
      </w:pPr>
      <w:r w:rsidRPr="006B2759">
        <w:rPr>
          <w:rFonts w:ascii="Arial" w:hAnsi="Arial" w:cs="Arial"/>
        </w:rPr>
        <w:lastRenderedPageBreak/>
        <w:t>According to liquidity ratios, Urban Heights has significant cash flow issues. The hotel's current ratio, which gauges its capacity to fulfil short-term commitments, dropped from 1.4 in 2021 to 0.6 in 2023, suggesting that current liabilities greatly outweigh current assets (Wild, Shaw &amp; Chiappetta, 2018). The hotel's limited operating flexibility and possible difficulties fulfilling short-term financial obligations are indicated by this falling ratio.</w:t>
      </w:r>
      <w:r w:rsidRPr="006B2759">
        <w:rPr>
          <w:rFonts w:ascii="Arial" w:hAnsi="Arial" w:cs="Arial"/>
        </w:rPr>
        <w:br/>
      </w:r>
    </w:p>
    <w:p w14:paraId="7E49DE98" w14:textId="77777777" w:rsidR="006B2759" w:rsidRPr="006B2759" w:rsidRDefault="006B2759" w:rsidP="006B2759">
      <w:pPr>
        <w:spacing w:before="240" w:line="360" w:lineRule="auto"/>
        <w:jc w:val="both"/>
        <w:rPr>
          <w:rFonts w:ascii="Arial" w:hAnsi="Arial" w:cs="Arial"/>
        </w:rPr>
      </w:pPr>
      <w:r w:rsidRPr="006B2759">
        <w:rPr>
          <w:rFonts w:ascii="Arial" w:hAnsi="Arial" w:cs="Arial"/>
        </w:rPr>
        <w:t>Furthermore, the hotel's cash reserves have drastically decreased from £300,000 in 2021 to £100,000 in 2023, making it more difficult to handle unforeseen costs and keep things running smoothly (Morrison, 2018). Another worrying indicator is the decline in accounts receivable from £150,000 in 2021 to £80,000 in 2023, which is a result of fewer reservations and late payments that further strain cash flow (Slack, Brandon-Jones &amp; Johnston, 2019). The liquidity issues can be clearly shown in a line graph that shows the declining trend in the cash reserves and current ratio throughout this time.</w:t>
      </w:r>
    </w:p>
    <w:p w14:paraId="5BBBB58C" w14:textId="08E1A622" w:rsidR="004358BD" w:rsidRPr="00253D77" w:rsidRDefault="004358BD" w:rsidP="004358BD">
      <w:pPr>
        <w:spacing w:before="240" w:line="360" w:lineRule="auto"/>
        <w:jc w:val="center"/>
        <w:rPr>
          <w:rFonts w:ascii="Arial" w:hAnsi="Arial" w:cs="Arial"/>
        </w:rPr>
      </w:pPr>
      <w:r w:rsidRPr="00250C10">
        <w:rPr>
          <w:rFonts w:ascii="Arial" w:hAnsi="Arial" w:cs="Arial"/>
          <w:noProof/>
        </w:rPr>
        <w:drawing>
          <wp:inline distT="0" distB="0" distL="0" distR="0" wp14:anchorId="53AF2D9C" wp14:editId="5DEA2CD7">
            <wp:extent cx="5728335" cy="3437255"/>
            <wp:effectExtent l="0" t="0" r="0" b="4445"/>
            <wp:docPr id="1112083267" name="Picture 1" descr="A graph with red and orang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083267" name="Picture 1" descr="A graph with red and orange line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28335" cy="3437255"/>
                    </a:xfrm>
                    <a:prstGeom prst="rect">
                      <a:avLst/>
                    </a:prstGeom>
                  </pic:spPr>
                </pic:pic>
              </a:graphicData>
            </a:graphic>
          </wp:inline>
        </w:drawing>
      </w:r>
    </w:p>
    <w:p w14:paraId="70447E29" w14:textId="77777777" w:rsidR="006B2759" w:rsidRPr="00250C10" w:rsidRDefault="006B2759" w:rsidP="006B2759">
      <w:pPr>
        <w:spacing w:before="240" w:line="360" w:lineRule="auto"/>
        <w:jc w:val="both"/>
        <w:rPr>
          <w:rFonts w:ascii="Arial" w:hAnsi="Arial" w:cs="Arial"/>
        </w:rPr>
      </w:pPr>
      <w:r w:rsidRPr="006B2759">
        <w:rPr>
          <w:rFonts w:ascii="Arial" w:hAnsi="Arial" w:cs="Arial"/>
        </w:rPr>
        <w:t xml:space="preserve">Urban Heights' operational flexibility is directly impacted by declining liquidity, which makes it difficult to adopt new tactics in the absence of funding. This limits the amount </w:t>
      </w:r>
      <w:r w:rsidRPr="006B2759">
        <w:rPr>
          <w:rFonts w:ascii="Arial" w:hAnsi="Arial" w:cs="Arial"/>
        </w:rPr>
        <w:lastRenderedPageBreak/>
        <w:t>of money that may be spent on client retention initiatives or service enhancements, both of which are crucial for long-term recovery.</w:t>
      </w:r>
    </w:p>
    <w:p w14:paraId="7D61DD17" w14:textId="77777777" w:rsidR="006B2759" w:rsidRPr="00074444" w:rsidRDefault="006B2759" w:rsidP="006B2759">
      <w:pPr>
        <w:spacing w:before="240" w:line="360" w:lineRule="auto"/>
        <w:jc w:val="both"/>
        <w:rPr>
          <w:rFonts w:ascii="Arial" w:hAnsi="Arial" w:cs="Arial"/>
          <w:b/>
          <w:bCs/>
        </w:rPr>
      </w:pPr>
      <w:r w:rsidRPr="006B2759">
        <w:rPr>
          <w:rFonts w:ascii="Arial" w:hAnsi="Arial" w:cs="Arial"/>
        </w:rPr>
        <w:br/>
      </w:r>
      <w:r w:rsidRPr="00074444">
        <w:rPr>
          <w:rFonts w:ascii="Arial" w:hAnsi="Arial" w:cs="Arial"/>
          <w:b/>
          <w:bCs/>
        </w:rPr>
        <w:t>Solvency</w:t>
      </w:r>
    </w:p>
    <w:p w14:paraId="01D150F9" w14:textId="4F9399BE" w:rsidR="006B2759" w:rsidRPr="006B2759" w:rsidRDefault="006B2759" w:rsidP="006B2759">
      <w:pPr>
        <w:spacing w:before="240" w:line="360" w:lineRule="auto"/>
        <w:jc w:val="both"/>
        <w:rPr>
          <w:rFonts w:ascii="Arial" w:hAnsi="Arial" w:cs="Arial"/>
        </w:rPr>
      </w:pPr>
      <w:r w:rsidRPr="006B2759">
        <w:rPr>
          <w:rFonts w:ascii="Arial" w:hAnsi="Arial" w:cs="Arial"/>
        </w:rPr>
        <w:br/>
        <w:t>An increased reliance on debt is revealed by solvency metrics, indicating the hotel's rising financial danger. The hotel's reliance on debt financing as its equity basis deteriorates is reflected in the debt-to-equity ratio, which increased from 1.5 in 2021 to 2.2 in 2023 (Jones &amp; Lockwood, 2004). Due to its high level of leverage, the hotel has less financial flexibility and is less able to obtain extra money for possible turnaround measures (Kotas, 1999).</w:t>
      </w:r>
    </w:p>
    <w:p w14:paraId="2D467916" w14:textId="77777777" w:rsidR="006B2759" w:rsidRPr="006B2759" w:rsidRDefault="006B2759" w:rsidP="006B2759">
      <w:pPr>
        <w:spacing w:before="240" w:line="360" w:lineRule="auto"/>
        <w:jc w:val="both"/>
        <w:rPr>
          <w:rFonts w:ascii="Arial" w:hAnsi="Arial" w:cs="Arial"/>
        </w:rPr>
      </w:pPr>
      <w:r w:rsidRPr="006B2759">
        <w:rPr>
          <w:rFonts w:ascii="Arial" w:hAnsi="Arial" w:cs="Arial"/>
        </w:rPr>
        <w:t>The hotel's balance sheet was impacted by operational losses throughout this time, as total liabilities rose from £3,250,000 to £3,300,000 and shareholder equity decreased from £2,200,000 to £1,380,000. The rise in financial risk and the requirement for restructuring would be graphically represented by a chart that compares solvency metrics, such as the debt-to-equity ratio and changes in equity and liabilities.</w:t>
      </w:r>
    </w:p>
    <w:p w14:paraId="0CC78180" w14:textId="2564BB99" w:rsidR="004358BD" w:rsidRPr="00253D77" w:rsidRDefault="004358BD" w:rsidP="00747C8F">
      <w:pPr>
        <w:spacing w:before="240" w:line="360" w:lineRule="auto"/>
        <w:jc w:val="both"/>
        <w:rPr>
          <w:rFonts w:ascii="Arial" w:hAnsi="Arial" w:cs="Arial"/>
        </w:rPr>
      </w:pPr>
      <w:r w:rsidRPr="00250C10">
        <w:rPr>
          <w:rFonts w:ascii="Arial" w:hAnsi="Arial" w:cs="Arial"/>
          <w:noProof/>
        </w:rPr>
        <w:drawing>
          <wp:inline distT="0" distB="0" distL="0" distR="0" wp14:anchorId="247D93E2" wp14:editId="1218D683">
            <wp:extent cx="5728335" cy="3437255"/>
            <wp:effectExtent l="0" t="0" r="0" b="4445"/>
            <wp:docPr id="1976028960" name="Picture 2" descr="A graph with orange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028960" name="Picture 2" descr="A graph with orange lines and numb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8335" cy="3437255"/>
                    </a:xfrm>
                    <a:prstGeom prst="rect">
                      <a:avLst/>
                    </a:prstGeom>
                  </pic:spPr>
                </pic:pic>
              </a:graphicData>
            </a:graphic>
          </wp:inline>
        </w:drawing>
      </w:r>
    </w:p>
    <w:p w14:paraId="67C1C28C" w14:textId="77777777" w:rsidR="006B2759" w:rsidRPr="00250C10" w:rsidRDefault="006B2759" w:rsidP="006B2759">
      <w:pPr>
        <w:spacing w:before="240" w:line="360" w:lineRule="auto"/>
        <w:jc w:val="both"/>
        <w:rPr>
          <w:rFonts w:ascii="Arial" w:hAnsi="Arial" w:cs="Arial"/>
        </w:rPr>
      </w:pPr>
      <w:r w:rsidRPr="006B2759">
        <w:rPr>
          <w:rFonts w:ascii="Arial" w:hAnsi="Arial" w:cs="Arial"/>
        </w:rPr>
        <w:lastRenderedPageBreak/>
        <w:t>Urban Heights' capacity to fund necessary upgrades is hampered by its growing debt load, which also puts the hotel in risk of becoming unduly reliant on its lenders. Improving solvency and ensuring long-term stability would require lowering debt and looking at equity financing possibilities (Rutherford &amp; O'Fallon, 2011).</w:t>
      </w:r>
    </w:p>
    <w:p w14:paraId="3F8C8072" w14:textId="77777777" w:rsidR="006B2759" w:rsidRPr="00250C10" w:rsidRDefault="006B2759" w:rsidP="006B2759">
      <w:pPr>
        <w:spacing w:before="240" w:line="360" w:lineRule="auto"/>
        <w:jc w:val="both"/>
        <w:rPr>
          <w:rFonts w:ascii="Arial" w:hAnsi="Arial" w:cs="Arial"/>
          <w:b/>
          <w:bCs/>
        </w:rPr>
      </w:pPr>
      <w:r w:rsidRPr="006B2759">
        <w:rPr>
          <w:rFonts w:ascii="Arial" w:hAnsi="Arial" w:cs="Arial"/>
          <w:b/>
          <w:bCs/>
        </w:rPr>
        <w:br/>
        <w:t>External Economic Factors</w:t>
      </w:r>
    </w:p>
    <w:p w14:paraId="09FDBF1F" w14:textId="6C7DE131" w:rsidR="00253D77" w:rsidRPr="00250C10" w:rsidRDefault="006B2759" w:rsidP="00747C8F">
      <w:pPr>
        <w:spacing w:before="240" w:line="360" w:lineRule="auto"/>
        <w:jc w:val="both"/>
        <w:rPr>
          <w:rFonts w:ascii="Arial" w:hAnsi="Arial" w:cs="Arial"/>
        </w:rPr>
      </w:pPr>
      <w:r w:rsidRPr="006B2759">
        <w:rPr>
          <w:rFonts w:ascii="Arial" w:hAnsi="Arial" w:cs="Arial"/>
        </w:rPr>
        <w:br/>
        <w:t>Broader economic forces, namely inflation and shifting consumer behaviour, exacerbate Urban Heights' problems. Operating costs have gone up due to rising inflation, particularly for labour, utilities, and supplies. Additionally, it has become more difficult for the hotel to draw in and keep customers due to changes in consumer spending, which favour less expensive travel options (Pizam, 2010). By connecting these outside variables to the internal financial analysis, Urban Heights can get a comprehensive picture of the issues it needs to deal with in order to stay competitive.</w:t>
      </w:r>
      <w:r w:rsidRPr="006B2759">
        <w:rPr>
          <w:rFonts w:ascii="Arial" w:hAnsi="Arial" w:cs="Arial"/>
        </w:rPr>
        <w:br/>
      </w:r>
    </w:p>
    <w:p w14:paraId="7145F232" w14:textId="77777777" w:rsidR="00250C10" w:rsidRPr="00250C10" w:rsidRDefault="00250C10" w:rsidP="00747C8F">
      <w:pPr>
        <w:spacing w:before="240" w:line="360" w:lineRule="auto"/>
        <w:jc w:val="both"/>
        <w:rPr>
          <w:rFonts w:ascii="Arial" w:hAnsi="Arial" w:cs="Arial"/>
        </w:rPr>
      </w:pPr>
    </w:p>
    <w:p w14:paraId="1DE40F2D" w14:textId="77777777" w:rsidR="00250C10" w:rsidRPr="00250C10" w:rsidRDefault="00250C10" w:rsidP="00747C8F">
      <w:pPr>
        <w:spacing w:before="240" w:line="360" w:lineRule="auto"/>
        <w:jc w:val="both"/>
        <w:rPr>
          <w:rFonts w:ascii="Arial" w:hAnsi="Arial" w:cs="Arial"/>
        </w:rPr>
      </w:pPr>
    </w:p>
    <w:p w14:paraId="4679EA8F" w14:textId="77777777" w:rsidR="00250C10" w:rsidRPr="00250C10" w:rsidRDefault="00250C10" w:rsidP="00747C8F">
      <w:pPr>
        <w:spacing w:before="240" w:line="360" w:lineRule="auto"/>
        <w:jc w:val="both"/>
        <w:rPr>
          <w:rFonts w:ascii="Arial" w:hAnsi="Arial" w:cs="Arial"/>
        </w:rPr>
      </w:pPr>
    </w:p>
    <w:p w14:paraId="7D289104" w14:textId="195790A8" w:rsidR="00DB68D7" w:rsidRPr="00DB68D7" w:rsidRDefault="00DB68D7" w:rsidP="00250C10">
      <w:pPr>
        <w:pStyle w:val="Heading1"/>
        <w:rPr>
          <w:rFonts w:ascii="Arial" w:hAnsi="Arial" w:cs="Arial"/>
          <w:b/>
          <w:bCs/>
          <w:color w:val="156082" w:themeColor="accent1"/>
          <w:sz w:val="28"/>
          <w:szCs w:val="28"/>
        </w:rPr>
      </w:pPr>
      <w:bookmarkStart w:id="3" w:name="_Toc181922147"/>
      <w:r w:rsidRPr="00DB68D7">
        <w:rPr>
          <w:rFonts w:ascii="Arial" w:hAnsi="Arial" w:cs="Arial"/>
          <w:b/>
          <w:bCs/>
          <w:color w:val="156082" w:themeColor="accent1"/>
          <w:sz w:val="28"/>
          <w:szCs w:val="28"/>
        </w:rPr>
        <w:t>Key Issues and Risk Management</w:t>
      </w:r>
      <w:bookmarkEnd w:id="3"/>
      <w:r w:rsidRPr="00DB68D7">
        <w:rPr>
          <w:rFonts w:ascii="Arial" w:hAnsi="Arial" w:cs="Arial"/>
          <w:b/>
          <w:bCs/>
          <w:color w:val="156082" w:themeColor="accent1"/>
          <w:sz w:val="28"/>
          <w:szCs w:val="28"/>
        </w:rPr>
        <w:t xml:space="preserve"> </w:t>
      </w:r>
    </w:p>
    <w:p w14:paraId="4BF99681" w14:textId="77777777" w:rsidR="006B2759" w:rsidRPr="006B2759" w:rsidRDefault="006B2759" w:rsidP="006B2759">
      <w:pPr>
        <w:spacing w:before="240" w:line="360" w:lineRule="auto"/>
        <w:jc w:val="both"/>
        <w:rPr>
          <w:rFonts w:ascii="Arial" w:hAnsi="Arial" w:cs="Arial"/>
        </w:rPr>
      </w:pPr>
      <w:r w:rsidRPr="006B2759">
        <w:rPr>
          <w:rFonts w:ascii="Arial" w:hAnsi="Arial" w:cs="Arial"/>
        </w:rPr>
        <w:t>A number of significant issues, such as declining customer satisfaction, growing operating expenses, and decreasing occupancy, pose a danger to the financial health of the Urban Heights Hotel. These risks are exacerbated by wider economic pressures including inflation and decreased disposable income, which have caused hotel occupancy rates to decline as travellers choose less expensive vacation options (Pizam, 2010). Furthermore, growing labour, utility, and supply costs have reduced profit margins, highlighting the necessity of thorough risk management to lessen financial effects (Rutherford &amp; O'Fallon, 2011).</w:t>
      </w:r>
    </w:p>
    <w:p w14:paraId="7115F516" w14:textId="77777777" w:rsidR="002251DA" w:rsidRPr="00250C10" w:rsidRDefault="002251DA" w:rsidP="00747C8F">
      <w:pPr>
        <w:spacing w:before="240" w:line="360" w:lineRule="auto"/>
        <w:jc w:val="both"/>
        <w:rPr>
          <w:rFonts w:ascii="Arial" w:hAnsi="Arial" w:cs="Arial"/>
          <w:b/>
          <w:bCs/>
        </w:rPr>
      </w:pPr>
      <w:r w:rsidRPr="002251DA">
        <w:rPr>
          <w:rFonts w:ascii="Arial" w:hAnsi="Arial" w:cs="Arial"/>
          <w:b/>
          <w:bCs/>
        </w:rPr>
        <w:t>Risk Identification and Assessment</w:t>
      </w:r>
    </w:p>
    <w:p w14:paraId="242516D0" w14:textId="602FA962" w:rsidR="00674010" w:rsidRPr="00674010" w:rsidRDefault="00674010" w:rsidP="00674010">
      <w:pPr>
        <w:spacing w:before="240" w:line="360" w:lineRule="auto"/>
        <w:jc w:val="both"/>
        <w:rPr>
          <w:rFonts w:ascii="Arial" w:hAnsi="Arial" w:cs="Arial"/>
          <w:b/>
          <w:bCs/>
        </w:rPr>
      </w:pPr>
    </w:p>
    <w:tbl>
      <w:tblPr>
        <w:tblStyle w:val="GridTable4-Accent2"/>
        <w:tblW w:w="0" w:type="auto"/>
        <w:tblLook w:val="04A0" w:firstRow="1" w:lastRow="0" w:firstColumn="1" w:lastColumn="0" w:noHBand="0" w:noVBand="1"/>
      </w:tblPr>
      <w:tblGrid>
        <w:gridCol w:w="1872"/>
        <w:gridCol w:w="1416"/>
        <w:gridCol w:w="990"/>
        <w:gridCol w:w="1057"/>
        <w:gridCol w:w="3676"/>
      </w:tblGrid>
      <w:tr w:rsidR="00674010" w:rsidRPr="00250C10" w14:paraId="5909CC20" w14:textId="77777777" w:rsidTr="006740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E8E1E9" w14:textId="77777777" w:rsidR="00674010" w:rsidRPr="00674010" w:rsidRDefault="00674010" w:rsidP="00674010">
            <w:pPr>
              <w:spacing w:before="240" w:line="360" w:lineRule="auto"/>
              <w:jc w:val="both"/>
              <w:rPr>
                <w:rFonts w:ascii="Arial" w:hAnsi="Arial" w:cs="Arial"/>
              </w:rPr>
            </w:pPr>
            <w:r w:rsidRPr="00674010">
              <w:rPr>
                <w:rFonts w:ascii="Arial" w:hAnsi="Arial" w:cs="Arial"/>
              </w:rPr>
              <w:t>Risk</w:t>
            </w:r>
          </w:p>
        </w:tc>
        <w:tc>
          <w:tcPr>
            <w:tcW w:w="0" w:type="auto"/>
            <w:hideMark/>
          </w:tcPr>
          <w:p w14:paraId="2A2F71E6" w14:textId="77777777" w:rsidR="00674010" w:rsidRPr="00674010" w:rsidRDefault="00674010" w:rsidP="00674010">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674010">
              <w:rPr>
                <w:rFonts w:ascii="Arial" w:hAnsi="Arial" w:cs="Arial"/>
              </w:rPr>
              <w:t>Likelihood</w:t>
            </w:r>
          </w:p>
        </w:tc>
        <w:tc>
          <w:tcPr>
            <w:tcW w:w="0" w:type="auto"/>
            <w:hideMark/>
          </w:tcPr>
          <w:p w14:paraId="79315E9E" w14:textId="77777777" w:rsidR="00674010" w:rsidRPr="00674010" w:rsidRDefault="00674010" w:rsidP="00674010">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674010">
              <w:rPr>
                <w:rFonts w:ascii="Arial" w:hAnsi="Arial" w:cs="Arial"/>
              </w:rPr>
              <w:t>Impact</w:t>
            </w:r>
          </w:p>
        </w:tc>
        <w:tc>
          <w:tcPr>
            <w:tcW w:w="0" w:type="auto"/>
            <w:hideMark/>
          </w:tcPr>
          <w:p w14:paraId="7607B9F9" w14:textId="77777777" w:rsidR="00674010" w:rsidRPr="00674010" w:rsidRDefault="00674010" w:rsidP="00674010">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674010">
              <w:rPr>
                <w:rFonts w:ascii="Arial" w:hAnsi="Arial" w:cs="Arial"/>
              </w:rPr>
              <w:t>Priority</w:t>
            </w:r>
          </w:p>
        </w:tc>
        <w:tc>
          <w:tcPr>
            <w:tcW w:w="0" w:type="auto"/>
            <w:hideMark/>
          </w:tcPr>
          <w:p w14:paraId="217678EC" w14:textId="77777777" w:rsidR="00674010" w:rsidRPr="00674010" w:rsidRDefault="00674010" w:rsidP="00674010">
            <w:pPr>
              <w:spacing w:before="240"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674010">
              <w:rPr>
                <w:rFonts w:ascii="Arial" w:hAnsi="Arial" w:cs="Arial"/>
              </w:rPr>
              <w:t>Mitigation Strategy</w:t>
            </w:r>
          </w:p>
        </w:tc>
      </w:tr>
      <w:tr w:rsidR="00674010" w:rsidRPr="00250C10" w14:paraId="3414367F" w14:textId="77777777" w:rsidTr="006740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E8D205" w14:textId="77777777" w:rsidR="00674010" w:rsidRPr="00674010" w:rsidRDefault="00674010" w:rsidP="00674010">
            <w:pPr>
              <w:spacing w:before="240" w:line="360" w:lineRule="auto"/>
              <w:jc w:val="both"/>
              <w:rPr>
                <w:rFonts w:ascii="Arial" w:hAnsi="Arial" w:cs="Arial"/>
              </w:rPr>
            </w:pPr>
            <w:r w:rsidRPr="00674010">
              <w:rPr>
                <w:rFonts w:ascii="Arial" w:hAnsi="Arial" w:cs="Arial"/>
              </w:rPr>
              <w:t>Occupancy &amp; Satisfaction</w:t>
            </w:r>
          </w:p>
        </w:tc>
        <w:tc>
          <w:tcPr>
            <w:tcW w:w="0" w:type="auto"/>
            <w:hideMark/>
          </w:tcPr>
          <w:p w14:paraId="69CE0752" w14:textId="77777777" w:rsidR="00674010" w:rsidRPr="00674010" w:rsidRDefault="00674010" w:rsidP="00674010">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674010">
              <w:rPr>
                <w:rFonts w:ascii="Arial" w:hAnsi="Arial" w:cs="Arial"/>
                <w:b/>
                <w:bCs/>
              </w:rPr>
              <w:t>High</w:t>
            </w:r>
          </w:p>
        </w:tc>
        <w:tc>
          <w:tcPr>
            <w:tcW w:w="0" w:type="auto"/>
            <w:hideMark/>
          </w:tcPr>
          <w:p w14:paraId="1FFBB825" w14:textId="77777777" w:rsidR="00674010" w:rsidRPr="00674010" w:rsidRDefault="00674010" w:rsidP="00674010">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674010">
              <w:rPr>
                <w:rFonts w:ascii="Arial" w:hAnsi="Arial" w:cs="Arial"/>
                <w:b/>
                <w:bCs/>
              </w:rPr>
              <w:t>High</w:t>
            </w:r>
          </w:p>
        </w:tc>
        <w:tc>
          <w:tcPr>
            <w:tcW w:w="0" w:type="auto"/>
            <w:hideMark/>
          </w:tcPr>
          <w:p w14:paraId="16D437BD" w14:textId="77777777" w:rsidR="00674010" w:rsidRPr="00674010" w:rsidRDefault="00674010" w:rsidP="00674010">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674010">
              <w:rPr>
                <w:rFonts w:ascii="Arial" w:hAnsi="Arial" w:cs="Arial"/>
                <w:b/>
                <w:bCs/>
              </w:rPr>
              <w:t>High</w:t>
            </w:r>
          </w:p>
        </w:tc>
        <w:tc>
          <w:tcPr>
            <w:tcW w:w="0" w:type="auto"/>
            <w:hideMark/>
          </w:tcPr>
          <w:p w14:paraId="666B0E65" w14:textId="77777777" w:rsidR="00674010" w:rsidRPr="00674010" w:rsidRDefault="00674010" w:rsidP="00674010">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674010">
              <w:rPr>
                <w:rFonts w:ascii="Arial" w:hAnsi="Arial" w:cs="Arial"/>
                <w:b/>
                <w:bCs/>
              </w:rPr>
              <w:t>Implement loyalty programs and improve service quality to retain guests and boost satisfaction.</w:t>
            </w:r>
          </w:p>
        </w:tc>
      </w:tr>
      <w:tr w:rsidR="00674010" w:rsidRPr="00674010" w14:paraId="5867A1AA" w14:textId="77777777" w:rsidTr="00674010">
        <w:tc>
          <w:tcPr>
            <w:cnfStyle w:val="001000000000" w:firstRow="0" w:lastRow="0" w:firstColumn="1" w:lastColumn="0" w:oddVBand="0" w:evenVBand="0" w:oddHBand="0" w:evenHBand="0" w:firstRowFirstColumn="0" w:firstRowLastColumn="0" w:lastRowFirstColumn="0" w:lastRowLastColumn="0"/>
            <w:tcW w:w="0" w:type="auto"/>
            <w:hideMark/>
          </w:tcPr>
          <w:p w14:paraId="067B7F01" w14:textId="77777777" w:rsidR="00674010" w:rsidRPr="00674010" w:rsidRDefault="00674010" w:rsidP="00674010">
            <w:pPr>
              <w:spacing w:before="240" w:line="360" w:lineRule="auto"/>
              <w:jc w:val="both"/>
              <w:rPr>
                <w:rFonts w:ascii="Arial" w:hAnsi="Arial" w:cs="Arial"/>
              </w:rPr>
            </w:pPr>
            <w:r w:rsidRPr="00674010">
              <w:rPr>
                <w:rFonts w:ascii="Arial" w:hAnsi="Arial" w:cs="Arial"/>
              </w:rPr>
              <w:t>Cost Escalation</w:t>
            </w:r>
          </w:p>
        </w:tc>
        <w:tc>
          <w:tcPr>
            <w:tcW w:w="0" w:type="auto"/>
            <w:hideMark/>
          </w:tcPr>
          <w:p w14:paraId="4AC40D2C" w14:textId="77777777" w:rsidR="00674010" w:rsidRPr="00674010" w:rsidRDefault="00674010" w:rsidP="00674010">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674010">
              <w:rPr>
                <w:rFonts w:ascii="Arial" w:hAnsi="Arial" w:cs="Arial"/>
                <w:b/>
                <w:bCs/>
              </w:rPr>
              <w:t>High</w:t>
            </w:r>
          </w:p>
        </w:tc>
        <w:tc>
          <w:tcPr>
            <w:tcW w:w="0" w:type="auto"/>
            <w:hideMark/>
          </w:tcPr>
          <w:p w14:paraId="5E3A3995" w14:textId="77777777" w:rsidR="00674010" w:rsidRPr="00674010" w:rsidRDefault="00674010" w:rsidP="00674010">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674010">
              <w:rPr>
                <w:rFonts w:ascii="Arial" w:hAnsi="Arial" w:cs="Arial"/>
                <w:b/>
                <w:bCs/>
              </w:rPr>
              <w:t>High</w:t>
            </w:r>
          </w:p>
        </w:tc>
        <w:tc>
          <w:tcPr>
            <w:tcW w:w="0" w:type="auto"/>
            <w:hideMark/>
          </w:tcPr>
          <w:p w14:paraId="7ABFF8D8" w14:textId="77777777" w:rsidR="00674010" w:rsidRPr="00674010" w:rsidRDefault="00674010" w:rsidP="00674010">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674010">
              <w:rPr>
                <w:rFonts w:ascii="Arial" w:hAnsi="Arial" w:cs="Arial"/>
                <w:b/>
                <w:bCs/>
              </w:rPr>
              <w:t>High</w:t>
            </w:r>
          </w:p>
        </w:tc>
        <w:tc>
          <w:tcPr>
            <w:tcW w:w="0" w:type="auto"/>
            <w:hideMark/>
          </w:tcPr>
          <w:p w14:paraId="31BA7001" w14:textId="37E2112A" w:rsidR="00674010" w:rsidRPr="00674010" w:rsidRDefault="00674010" w:rsidP="00674010">
            <w:pPr>
              <w:spacing w:before="240"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674010">
              <w:rPr>
                <w:rFonts w:ascii="Arial" w:hAnsi="Arial" w:cs="Arial"/>
                <w:b/>
                <w:bCs/>
              </w:rPr>
              <w:t>Utili</w:t>
            </w:r>
            <w:r w:rsidR="000C699F" w:rsidRPr="00250C10">
              <w:rPr>
                <w:rFonts w:ascii="Arial" w:hAnsi="Arial" w:cs="Arial"/>
                <w:b/>
                <w:bCs/>
              </w:rPr>
              <w:t>s</w:t>
            </w:r>
            <w:r w:rsidRPr="00674010">
              <w:rPr>
                <w:rFonts w:ascii="Arial" w:hAnsi="Arial" w:cs="Arial"/>
                <w:b/>
                <w:bCs/>
              </w:rPr>
              <w:t>e energy-efficient upgrades and renegotiate supply contracts to control and reduce operational costs.</w:t>
            </w:r>
          </w:p>
        </w:tc>
      </w:tr>
      <w:tr w:rsidR="00674010" w:rsidRPr="00250C10" w14:paraId="4267DF5C" w14:textId="77777777" w:rsidTr="006740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B1E5A7" w14:textId="77777777" w:rsidR="00674010" w:rsidRPr="00674010" w:rsidRDefault="00674010" w:rsidP="00674010">
            <w:pPr>
              <w:spacing w:before="240" w:line="360" w:lineRule="auto"/>
              <w:jc w:val="both"/>
              <w:rPr>
                <w:rFonts w:ascii="Arial" w:hAnsi="Arial" w:cs="Arial"/>
              </w:rPr>
            </w:pPr>
            <w:r w:rsidRPr="00674010">
              <w:rPr>
                <w:rFonts w:ascii="Arial" w:hAnsi="Arial" w:cs="Arial"/>
              </w:rPr>
              <w:t>Liquidity Constraints</w:t>
            </w:r>
          </w:p>
        </w:tc>
        <w:tc>
          <w:tcPr>
            <w:tcW w:w="0" w:type="auto"/>
            <w:hideMark/>
          </w:tcPr>
          <w:p w14:paraId="35C40AEA" w14:textId="77777777" w:rsidR="00674010" w:rsidRPr="00674010" w:rsidRDefault="00674010" w:rsidP="00674010">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674010">
              <w:rPr>
                <w:rFonts w:ascii="Arial" w:hAnsi="Arial" w:cs="Arial"/>
                <w:b/>
                <w:bCs/>
              </w:rPr>
              <w:t>Medium</w:t>
            </w:r>
          </w:p>
        </w:tc>
        <w:tc>
          <w:tcPr>
            <w:tcW w:w="0" w:type="auto"/>
            <w:hideMark/>
          </w:tcPr>
          <w:p w14:paraId="3CE38548" w14:textId="77777777" w:rsidR="00674010" w:rsidRPr="00674010" w:rsidRDefault="00674010" w:rsidP="00674010">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674010">
              <w:rPr>
                <w:rFonts w:ascii="Arial" w:hAnsi="Arial" w:cs="Arial"/>
                <w:b/>
                <w:bCs/>
              </w:rPr>
              <w:t>High</w:t>
            </w:r>
          </w:p>
        </w:tc>
        <w:tc>
          <w:tcPr>
            <w:tcW w:w="0" w:type="auto"/>
            <w:hideMark/>
          </w:tcPr>
          <w:p w14:paraId="7F7CDF90" w14:textId="77777777" w:rsidR="00674010" w:rsidRPr="00674010" w:rsidRDefault="00674010" w:rsidP="00674010">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674010">
              <w:rPr>
                <w:rFonts w:ascii="Arial" w:hAnsi="Arial" w:cs="Arial"/>
                <w:b/>
                <w:bCs/>
              </w:rPr>
              <w:t>High</w:t>
            </w:r>
          </w:p>
        </w:tc>
        <w:tc>
          <w:tcPr>
            <w:tcW w:w="0" w:type="auto"/>
            <w:hideMark/>
          </w:tcPr>
          <w:p w14:paraId="7499914B" w14:textId="77777777" w:rsidR="00674010" w:rsidRPr="00674010" w:rsidRDefault="00674010" w:rsidP="00674010">
            <w:pPr>
              <w:spacing w:before="240"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674010">
              <w:rPr>
                <w:rFonts w:ascii="Arial" w:hAnsi="Arial" w:cs="Arial"/>
                <w:b/>
                <w:bCs/>
              </w:rPr>
              <w:t>Improve cash flow management and explore short-term financing options to enhance liquidity.</w:t>
            </w:r>
          </w:p>
        </w:tc>
      </w:tr>
    </w:tbl>
    <w:p w14:paraId="03D273D6" w14:textId="77777777" w:rsidR="00674010" w:rsidRPr="002251DA" w:rsidRDefault="00674010" w:rsidP="00747C8F">
      <w:pPr>
        <w:spacing w:before="240" w:line="360" w:lineRule="auto"/>
        <w:jc w:val="both"/>
        <w:rPr>
          <w:rFonts w:ascii="Arial" w:hAnsi="Arial" w:cs="Arial"/>
          <w:b/>
          <w:bCs/>
        </w:rPr>
      </w:pPr>
    </w:p>
    <w:p w14:paraId="0D23B6E2" w14:textId="77777777" w:rsidR="006B2759" w:rsidRPr="00250C10" w:rsidRDefault="006B2759" w:rsidP="006B2759">
      <w:pPr>
        <w:spacing w:before="240" w:line="360" w:lineRule="auto"/>
        <w:jc w:val="both"/>
        <w:rPr>
          <w:rFonts w:ascii="Arial" w:hAnsi="Arial" w:cs="Arial"/>
        </w:rPr>
      </w:pPr>
      <w:r w:rsidRPr="00250C10">
        <w:rPr>
          <w:rFonts w:ascii="Arial" w:hAnsi="Arial" w:cs="Arial"/>
        </w:rPr>
        <w:t>A risk management framework should be used to identify and rank each risk according to its likelihood and possible impact in order to methodically handle these issues. A risk matrix, which classifies threats as high, medium, or low priority, can be used to organise this assessment. For Urban Heights, the following high-priority hazards have been identified:</w:t>
      </w:r>
    </w:p>
    <w:p w14:paraId="5B01A933" w14:textId="77777777" w:rsidR="006B2759" w:rsidRPr="00250C10" w:rsidRDefault="006B2759" w:rsidP="006B2759">
      <w:pPr>
        <w:spacing w:before="240" w:line="360" w:lineRule="auto"/>
        <w:jc w:val="both"/>
        <w:rPr>
          <w:rFonts w:ascii="Arial" w:hAnsi="Arial" w:cs="Arial"/>
        </w:rPr>
      </w:pPr>
      <w:r w:rsidRPr="00250C10">
        <w:rPr>
          <w:rFonts w:ascii="Arial" w:hAnsi="Arial" w:cs="Arial"/>
        </w:rPr>
        <w:br/>
      </w:r>
      <w:r w:rsidRPr="00250C10">
        <w:rPr>
          <w:rFonts w:ascii="Arial" w:hAnsi="Arial" w:cs="Arial"/>
          <w:b/>
          <w:bCs/>
        </w:rPr>
        <w:t>1. Occupancy and Customer Satisfaction:</w:t>
      </w:r>
      <w:r w:rsidRPr="00250C10">
        <w:rPr>
          <w:rFonts w:ascii="Arial" w:hAnsi="Arial" w:cs="Arial"/>
        </w:rPr>
        <w:t xml:space="preserve"> Revenue and market position are directly threatened by declining occupancy rates and low customer satisfaction. While fewer visitors translate into less money, unhappy customers can harm a brand's reputation and make repeat business less likely.</w:t>
      </w:r>
    </w:p>
    <w:p w14:paraId="40B825CE" w14:textId="77777777" w:rsidR="006B2759" w:rsidRPr="00250C10" w:rsidRDefault="006B2759" w:rsidP="006B2759">
      <w:pPr>
        <w:spacing w:before="240" w:line="360" w:lineRule="auto"/>
        <w:jc w:val="both"/>
        <w:rPr>
          <w:rFonts w:ascii="Arial" w:hAnsi="Arial" w:cs="Arial"/>
        </w:rPr>
      </w:pPr>
      <w:r w:rsidRPr="00250C10">
        <w:rPr>
          <w:rFonts w:ascii="Arial" w:hAnsi="Arial" w:cs="Arial"/>
        </w:rPr>
        <w:br/>
      </w:r>
      <w:r w:rsidRPr="00250C10">
        <w:rPr>
          <w:rFonts w:ascii="Arial" w:hAnsi="Arial" w:cs="Arial"/>
          <w:b/>
          <w:bCs/>
        </w:rPr>
        <w:t>2. Cost Escalation:</w:t>
      </w:r>
      <w:r w:rsidRPr="00250C10">
        <w:rPr>
          <w:rFonts w:ascii="Arial" w:hAnsi="Arial" w:cs="Arial"/>
        </w:rPr>
        <w:t xml:space="preserve"> Growing labour, supply, and utility costs have a big influence on profitability, particularly in a setting where costs are high. Inflationary forces that raise the price of necessary operational expenses increase this danger.</w:t>
      </w:r>
    </w:p>
    <w:p w14:paraId="5905B88C" w14:textId="62A8E309" w:rsidR="006B2759" w:rsidRPr="00250C10" w:rsidRDefault="00074444" w:rsidP="006B2759">
      <w:pPr>
        <w:spacing w:line="360" w:lineRule="auto"/>
        <w:jc w:val="both"/>
        <w:rPr>
          <w:rFonts w:ascii="Arial" w:hAnsi="Arial" w:cs="Arial"/>
        </w:rPr>
      </w:pPr>
      <w:r>
        <w:rPr>
          <w:rFonts w:ascii="Arial" w:hAnsi="Arial" w:cs="Arial"/>
          <w:b/>
          <w:bCs/>
        </w:rPr>
        <w:lastRenderedPageBreak/>
        <w:t xml:space="preserve">3. </w:t>
      </w:r>
      <w:r w:rsidR="006B2759" w:rsidRPr="00074444">
        <w:rPr>
          <w:rFonts w:ascii="Arial" w:hAnsi="Arial" w:cs="Arial"/>
          <w:b/>
          <w:bCs/>
        </w:rPr>
        <w:t>Liquidity Limitations:</w:t>
      </w:r>
      <w:r w:rsidR="006B2759" w:rsidRPr="00250C10">
        <w:rPr>
          <w:rFonts w:ascii="Arial" w:hAnsi="Arial" w:cs="Arial"/>
        </w:rPr>
        <w:t xml:space="preserve"> The hotel's resilience and flexibility are further impacted by its inability to invest in upgrades or meet unforeseen financial demands due to inadequate cash flow and insufficient liquidity.</w:t>
      </w:r>
    </w:p>
    <w:p w14:paraId="62B4FB65" w14:textId="77777777" w:rsidR="006B2759" w:rsidRPr="00250C10" w:rsidRDefault="006B2759" w:rsidP="00250C10">
      <w:pPr>
        <w:pStyle w:val="Heading1"/>
        <w:rPr>
          <w:rFonts w:ascii="Arial" w:eastAsiaTheme="minorEastAsia" w:hAnsi="Arial" w:cs="Arial"/>
          <w:b/>
          <w:bCs/>
          <w:color w:val="auto"/>
          <w:sz w:val="24"/>
          <w:szCs w:val="24"/>
        </w:rPr>
      </w:pPr>
      <w:r w:rsidRPr="00250C10">
        <w:rPr>
          <w:rFonts w:ascii="Arial" w:eastAsiaTheme="minorEastAsia" w:hAnsi="Arial" w:cs="Arial"/>
          <w:color w:val="auto"/>
        </w:rPr>
        <w:br/>
      </w:r>
      <w:bookmarkStart w:id="4" w:name="_Toc181922148"/>
      <w:r w:rsidRPr="00250C10">
        <w:rPr>
          <w:rFonts w:ascii="Arial" w:hAnsi="Arial" w:cs="Arial"/>
          <w:b/>
          <w:bCs/>
          <w:color w:val="156082" w:themeColor="accent1"/>
          <w:sz w:val="28"/>
          <w:szCs w:val="28"/>
        </w:rPr>
        <w:t>Strategies for Mitigation</w:t>
      </w:r>
      <w:bookmarkEnd w:id="4"/>
    </w:p>
    <w:p w14:paraId="572D25DB" w14:textId="77777777" w:rsidR="006B2759" w:rsidRPr="00250C10" w:rsidRDefault="006B2759" w:rsidP="006B2759">
      <w:pPr>
        <w:spacing w:line="360" w:lineRule="auto"/>
        <w:jc w:val="both"/>
        <w:rPr>
          <w:rFonts w:ascii="Arial" w:hAnsi="Arial" w:cs="Arial"/>
        </w:rPr>
      </w:pPr>
      <w:r w:rsidRPr="00250C10">
        <w:rPr>
          <w:rFonts w:ascii="Arial" w:hAnsi="Arial" w:cs="Arial"/>
        </w:rPr>
        <w:br/>
      </w:r>
      <w:r w:rsidRPr="00250C10">
        <w:rPr>
          <w:rFonts w:ascii="Arial" w:hAnsi="Arial" w:cs="Arial"/>
          <w:b/>
          <w:bCs/>
        </w:rPr>
        <w:t>1. Occupancy and Satisfaction:</w:t>
      </w:r>
      <w:r w:rsidRPr="00250C10">
        <w:rPr>
          <w:rFonts w:ascii="Arial" w:hAnsi="Arial" w:cs="Arial"/>
        </w:rPr>
        <w:t xml:space="preserve"> Urban Heights should put focused client retention tactics into place to alleviate occupancy difficulties and raise customer satisfaction. In a competitive market, implementing a loyalty program that provides discounts or other advantages to returning customers could increase retention by roughly 20–30% and promote loyalty (Woods &amp; King, 2010). Enhancing customer happiness and promoting favourable ratings can also be achieved by addressing frequent customer pain points, such as expedited check-in and customised experiences.</w:t>
      </w:r>
    </w:p>
    <w:p w14:paraId="47C10929" w14:textId="71153F5F" w:rsidR="006B2759" w:rsidRPr="00250C10" w:rsidRDefault="006B2759" w:rsidP="006B2759">
      <w:pPr>
        <w:spacing w:line="360" w:lineRule="auto"/>
        <w:jc w:val="both"/>
        <w:rPr>
          <w:rFonts w:ascii="Arial" w:eastAsia="Times New Roman" w:hAnsi="Arial" w:cs="Arial"/>
          <w:kern w:val="0"/>
          <w:lang w:eastAsia="en-GB"/>
          <w14:ligatures w14:val="none"/>
        </w:rPr>
      </w:pPr>
      <w:r w:rsidRPr="00250C10">
        <w:rPr>
          <w:rFonts w:ascii="Arial" w:eastAsia="Times New Roman" w:hAnsi="Arial" w:cs="Arial"/>
          <w:color w:val="000000"/>
          <w:kern w:val="0"/>
          <w:lang w:eastAsia="en-GB"/>
          <w14:ligatures w14:val="none"/>
        </w:rPr>
        <w:br/>
      </w:r>
    </w:p>
    <w:p w14:paraId="44064D3C" w14:textId="77777777" w:rsidR="006B2759" w:rsidRPr="00250C10" w:rsidRDefault="006B2759" w:rsidP="006B2759">
      <w:pPr>
        <w:spacing w:before="240" w:line="360" w:lineRule="auto"/>
        <w:jc w:val="both"/>
        <w:rPr>
          <w:rFonts w:ascii="Arial" w:hAnsi="Arial" w:cs="Arial"/>
          <w:b/>
          <w:bCs/>
        </w:rPr>
      </w:pPr>
      <w:r w:rsidRPr="00250C10">
        <w:rPr>
          <w:rFonts w:ascii="Arial" w:hAnsi="Arial" w:cs="Arial"/>
          <w:b/>
          <w:bCs/>
        </w:rPr>
        <w:t xml:space="preserve">2. </w:t>
      </w:r>
      <w:r w:rsidRPr="006B2759">
        <w:rPr>
          <w:rFonts w:ascii="Arial" w:hAnsi="Arial" w:cs="Arial"/>
          <w:b/>
          <w:bCs/>
        </w:rPr>
        <w:t xml:space="preserve">Cost Control: </w:t>
      </w:r>
      <w:r w:rsidRPr="006B2759">
        <w:rPr>
          <w:rFonts w:ascii="Arial" w:hAnsi="Arial" w:cs="Arial"/>
        </w:rPr>
        <w:t>Sustaining profitability requires efficient cost management. Smart thermostats and LED lighting are two examples of energy-efficient enhancements that could lower utility expenditures by 10% to 15%, easing some of the inflationary pressures on operational costs (Yu, 1999). Rising expenses can also be reduced by renegotiating supply contracts to obtain bulk savings.</w:t>
      </w:r>
    </w:p>
    <w:p w14:paraId="302C0D05" w14:textId="22FE31B3" w:rsidR="006B2759" w:rsidRPr="00250C10" w:rsidRDefault="006B2759" w:rsidP="006B2759">
      <w:pPr>
        <w:spacing w:before="240" w:line="360" w:lineRule="auto"/>
        <w:jc w:val="both"/>
        <w:rPr>
          <w:rFonts w:ascii="Arial" w:hAnsi="Arial" w:cs="Arial"/>
        </w:rPr>
      </w:pPr>
      <w:r w:rsidRPr="006B2759">
        <w:rPr>
          <w:rFonts w:ascii="Arial" w:hAnsi="Arial" w:cs="Arial"/>
          <w:b/>
          <w:bCs/>
        </w:rPr>
        <w:br/>
      </w:r>
      <w:r w:rsidRPr="00250C10">
        <w:rPr>
          <w:rFonts w:ascii="Arial" w:hAnsi="Arial" w:cs="Arial"/>
          <w:b/>
          <w:bCs/>
        </w:rPr>
        <w:t xml:space="preserve">3. </w:t>
      </w:r>
      <w:r w:rsidRPr="006B2759">
        <w:rPr>
          <w:rFonts w:ascii="Arial" w:hAnsi="Arial" w:cs="Arial"/>
          <w:b/>
          <w:bCs/>
        </w:rPr>
        <w:t xml:space="preserve">Financial flexibility and planning: </w:t>
      </w:r>
      <w:r w:rsidRPr="006B2759">
        <w:rPr>
          <w:rFonts w:ascii="Arial" w:hAnsi="Arial" w:cs="Arial"/>
        </w:rPr>
        <w:t>Urban Heights should use scenario planning, which entails evaluating possible economic outcomes and formulating plans appropriately, to be ready for changes in the economy. This proactive strategy keeps the hotel's operations stable by enabling it to swiftly adapt to shifting circumstances, including increasing inflation or changes in demand (Walker, 2021).</w:t>
      </w:r>
    </w:p>
    <w:p w14:paraId="578C8180" w14:textId="40CDBF2E" w:rsidR="006B2759" w:rsidRPr="006B2759" w:rsidRDefault="006B2759" w:rsidP="006B2759">
      <w:pPr>
        <w:spacing w:before="240" w:line="360" w:lineRule="auto"/>
        <w:jc w:val="both"/>
        <w:rPr>
          <w:rFonts w:ascii="Arial" w:hAnsi="Arial" w:cs="Arial"/>
          <w:b/>
          <w:bCs/>
        </w:rPr>
      </w:pPr>
      <w:r w:rsidRPr="006B2759">
        <w:rPr>
          <w:rFonts w:ascii="Arial" w:hAnsi="Arial" w:cs="Arial"/>
          <w:b/>
          <w:bCs/>
        </w:rPr>
        <w:br/>
      </w:r>
    </w:p>
    <w:p w14:paraId="337C9B06" w14:textId="77777777" w:rsidR="006B2759" w:rsidRPr="00250C10" w:rsidRDefault="006B2759" w:rsidP="006B2759">
      <w:pPr>
        <w:spacing w:before="240" w:line="360" w:lineRule="auto"/>
        <w:jc w:val="both"/>
        <w:rPr>
          <w:rFonts w:ascii="Arial" w:hAnsi="Arial" w:cs="Arial"/>
        </w:rPr>
      </w:pPr>
      <w:r w:rsidRPr="006B2759">
        <w:rPr>
          <w:rFonts w:ascii="Arial" w:hAnsi="Arial" w:cs="Arial"/>
        </w:rPr>
        <w:t xml:space="preserve">Urban Heights can reduce the most urgent threats and enhance its operational and financial resilience by giving priority to these solutions. For the hotel's long-term </w:t>
      </w:r>
      <w:r w:rsidRPr="006B2759">
        <w:rPr>
          <w:rFonts w:ascii="Arial" w:hAnsi="Arial" w:cs="Arial"/>
        </w:rPr>
        <w:lastRenderedPageBreak/>
        <w:t>viability, this risk management framework offers an organised method for recognising, evaluating, and reacting to financial risks.</w:t>
      </w:r>
    </w:p>
    <w:p w14:paraId="154C3F60" w14:textId="57780C4C" w:rsidR="006B2759" w:rsidRPr="00250C10" w:rsidRDefault="006B2759" w:rsidP="00250C10">
      <w:pPr>
        <w:pStyle w:val="Heading1"/>
        <w:rPr>
          <w:rFonts w:ascii="Arial" w:hAnsi="Arial" w:cs="Arial"/>
          <w:b/>
          <w:bCs/>
        </w:rPr>
      </w:pPr>
      <w:r w:rsidRPr="00250C10">
        <w:rPr>
          <w:rFonts w:ascii="Arial" w:hAnsi="Arial" w:cs="Arial"/>
        </w:rPr>
        <w:br/>
      </w:r>
      <w:r w:rsidRPr="00250C10">
        <w:rPr>
          <w:rFonts w:ascii="Arial" w:hAnsi="Arial" w:cs="Arial"/>
        </w:rPr>
        <w:br/>
      </w:r>
      <w:r w:rsidRPr="00250C10">
        <w:rPr>
          <w:rFonts w:ascii="Arial" w:hAnsi="Arial" w:cs="Arial"/>
        </w:rPr>
        <w:br/>
      </w:r>
      <w:r w:rsidRPr="00250C10">
        <w:rPr>
          <w:rFonts w:ascii="Arial" w:hAnsi="Arial" w:cs="Arial"/>
        </w:rPr>
        <w:br/>
      </w:r>
      <w:bookmarkStart w:id="5" w:name="_Toc181922149"/>
      <w:r w:rsidRPr="00250C10">
        <w:rPr>
          <w:rFonts w:ascii="Arial" w:hAnsi="Arial" w:cs="Arial"/>
          <w:b/>
          <w:bCs/>
          <w:color w:val="156082" w:themeColor="accent1"/>
          <w:sz w:val="28"/>
          <w:szCs w:val="28"/>
        </w:rPr>
        <w:t>Turnaround Strategy</w:t>
      </w:r>
      <w:bookmarkEnd w:id="5"/>
      <w:r w:rsidRPr="00250C10">
        <w:rPr>
          <w:rFonts w:ascii="Arial" w:hAnsi="Arial" w:cs="Arial"/>
          <w:b/>
          <w:bCs/>
          <w:color w:val="156082" w:themeColor="accent1"/>
          <w:sz w:val="28"/>
          <w:szCs w:val="28"/>
        </w:rPr>
        <w:t> </w:t>
      </w:r>
    </w:p>
    <w:p w14:paraId="0047A455" w14:textId="77777777" w:rsidR="006B2759" w:rsidRPr="00250C10" w:rsidRDefault="006B2759" w:rsidP="006B2759">
      <w:pPr>
        <w:spacing w:before="240" w:line="360" w:lineRule="auto"/>
        <w:jc w:val="both"/>
        <w:rPr>
          <w:rFonts w:ascii="Arial" w:hAnsi="Arial" w:cs="Arial"/>
        </w:rPr>
      </w:pPr>
      <w:r w:rsidRPr="006B2759">
        <w:rPr>
          <w:rFonts w:ascii="Arial" w:hAnsi="Arial" w:cs="Arial"/>
        </w:rPr>
        <w:br/>
        <w:t>The three main pillars of the suggested turnaround plan for the Urban Heights Hotel are strategic repositioning, cost optimisation, and client retention. Every tactic is intended to alleviate the hotel's current financial difficulties, reduce hazards that have been identified, and enhance long-term sustainability.</w:t>
      </w:r>
    </w:p>
    <w:p w14:paraId="1AE627E9" w14:textId="4E285A32" w:rsidR="006B2759" w:rsidRPr="006B2759" w:rsidRDefault="006B2759" w:rsidP="006B2759">
      <w:pPr>
        <w:spacing w:before="240" w:line="360" w:lineRule="auto"/>
        <w:jc w:val="both"/>
        <w:rPr>
          <w:rFonts w:ascii="Arial" w:hAnsi="Arial" w:cs="Arial"/>
        </w:rPr>
      </w:pPr>
    </w:p>
    <w:p w14:paraId="31D065D5" w14:textId="77777777" w:rsidR="006B2759" w:rsidRPr="009E2326" w:rsidRDefault="006B2759" w:rsidP="006B2759">
      <w:pPr>
        <w:spacing w:before="240" w:line="360" w:lineRule="auto"/>
        <w:jc w:val="both"/>
        <w:rPr>
          <w:rFonts w:ascii="Arial" w:hAnsi="Arial" w:cs="Arial"/>
          <w:b/>
          <w:bCs/>
        </w:rPr>
      </w:pPr>
      <w:r w:rsidRPr="009E2326">
        <w:rPr>
          <w:rFonts w:ascii="Arial" w:hAnsi="Arial" w:cs="Arial"/>
          <w:b/>
          <w:bCs/>
        </w:rPr>
        <w:t>Cost Optimi</w:t>
      </w:r>
      <w:r w:rsidRPr="00250C10">
        <w:rPr>
          <w:rFonts w:ascii="Arial" w:hAnsi="Arial" w:cs="Arial"/>
          <w:b/>
          <w:bCs/>
        </w:rPr>
        <w:t>s</w:t>
      </w:r>
      <w:r w:rsidRPr="009E2326">
        <w:rPr>
          <w:rFonts w:ascii="Arial" w:hAnsi="Arial" w:cs="Arial"/>
          <w:b/>
          <w:bCs/>
        </w:rPr>
        <w:t>ation</w:t>
      </w:r>
    </w:p>
    <w:p w14:paraId="22DF6DD4" w14:textId="77777777" w:rsidR="006B2759" w:rsidRPr="00250C10" w:rsidRDefault="006B2759" w:rsidP="006B2759">
      <w:pPr>
        <w:spacing w:before="240" w:line="360" w:lineRule="auto"/>
        <w:jc w:val="both"/>
        <w:rPr>
          <w:rFonts w:ascii="Arial" w:hAnsi="Arial" w:cs="Arial"/>
        </w:rPr>
      </w:pPr>
      <w:r w:rsidRPr="009E2326">
        <w:rPr>
          <w:rFonts w:ascii="Arial" w:hAnsi="Arial" w:cs="Arial"/>
        </w:rPr>
        <w:t>To enhance cash flow and improve profitability, cost optimi</w:t>
      </w:r>
      <w:r w:rsidRPr="00250C10">
        <w:rPr>
          <w:rFonts w:ascii="Arial" w:hAnsi="Arial" w:cs="Arial"/>
        </w:rPr>
        <w:t>s</w:t>
      </w:r>
      <w:r w:rsidRPr="009E2326">
        <w:rPr>
          <w:rFonts w:ascii="Arial" w:hAnsi="Arial" w:cs="Arial"/>
        </w:rPr>
        <w:t>ation initiatives focus on reducing operational expenses. Energy-efficient upgrades, such as installing LED lighting and smart thermostats, have the potential to lower utility costs by 10–15%, especially given the recent rise in energy prices (Seal, Garrison &amp; Noreen, 2008). For instance, replacing traditional lighting with LED options can reduce electricity usage, while smart thermostats can automate heating and cooling based on occupancy, minimi</w:t>
      </w:r>
      <w:r w:rsidRPr="00250C10">
        <w:rPr>
          <w:rFonts w:ascii="Arial" w:hAnsi="Arial" w:cs="Arial"/>
        </w:rPr>
        <w:t>s</w:t>
      </w:r>
      <w:r w:rsidRPr="009E2326">
        <w:rPr>
          <w:rFonts w:ascii="Arial" w:hAnsi="Arial" w:cs="Arial"/>
        </w:rPr>
        <w:t>ing waste. A pie chart illustrating operational costs before and after these proposed reductions can highlight the expected savings and illustrate the impact on the hotel’s budget.</w:t>
      </w:r>
    </w:p>
    <w:p w14:paraId="2179C89B" w14:textId="5BA49BED" w:rsidR="00674010" w:rsidRPr="009E2326" w:rsidRDefault="00674010" w:rsidP="00747C8F">
      <w:pPr>
        <w:spacing w:before="240" w:line="360" w:lineRule="auto"/>
        <w:jc w:val="both"/>
        <w:rPr>
          <w:rFonts w:ascii="Arial" w:hAnsi="Arial" w:cs="Arial"/>
        </w:rPr>
      </w:pPr>
      <w:r w:rsidRPr="00250C10">
        <w:rPr>
          <w:rFonts w:ascii="Arial" w:hAnsi="Arial" w:cs="Arial"/>
          <w:noProof/>
        </w:rPr>
        <w:lastRenderedPageBreak/>
        <w:drawing>
          <wp:inline distT="0" distB="0" distL="0" distR="0" wp14:anchorId="2C4BE9AD" wp14:editId="2BFF564A">
            <wp:extent cx="2759442" cy="2069657"/>
            <wp:effectExtent l="0" t="0" r="0" b="635"/>
            <wp:docPr id="1470363001" name="Picture 3"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363001" name="Picture 3" descr="A pie chart with different colored circle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89833" cy="2092451"/>
                    </a:xfrm>
                    <a:prstGeom prst="rect">
                      <a:avLst/>
                    </a:prstGeom>
                  </pic:spPr>
                </pic:pic>
              </a:graphicData>
            </a:graphic>
          </wp:inline>
        </w:drawing>
      </w:r>
      <w:r w:rsidRPr="00250C10">
        <w:rPr>
          <w:rFonts w:ascii="Arial" w:hAnsi="Arial" w:cs="Arial"/>
          <w:noProof/>
        </w:rPr>
        <w:drawing>
          <wp:inline distT="0" distB="0" distL="0" distR="0" wp14:anchorId="54FEA9DD" wp14:editId="5C00F68D">
            <wp:extent cx="2923953" cy="2193047"/>
            <wp:effectExtent l="0" t="0" r="0" b="4445"/>
            <wp:docPr id="654070498" name="Picture 4"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070498" name="Picture 4" descr="A pie chart with different colored circle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70226" cy="2227753"/>
                    </a:xfrm>
                    <a:prstGeom prst="rect">
                      <a:avLst/>
                    </a:prstGeom>
                  </pic:spPr>
                </pic:pic>
              </a:graphicData>
            </a:graphic>
          </wp:inline>
        </w:drawing>
      </w:r>
    </w:p>
    <w:p w14:paraId="0C713A0E" w14:textId="7D191FBB" w:rsidR="001309DE" w:rsidRPr="00250C10" w:rsidRDefault="00E475EC" w:rsidP="00747C8F">
      <w:pPr>
        <w:spacing w:before="240" w:line="360" w:lineRule="auto"/>
        <w:jc w:val="both"/>
        <w:rPr>
          <w:rFonts w:ascii="Arial" w:hAnsi="Arial" w:cs="Arial"/>
        </w:rPr>
      </w:pPr>
      <w:r w:rsidRPr="00E475EC">
        <w:rPr>
          <w:rFonts w:ascii="Arial" w:hAnsi="Arial" w:cs="Arial"/>
        </w:rPr>
        <w:t>Renegotiating supply contracts is another way to cut costs. The hotel can lower the unit cost of high-consumption commodities like linens and cleaning supplies</w:t>
      </w:r>
      <w:r w:rsidRPr="00250C10">
        <w:rPr>
          <w:rFonts w:ascii="Arial" w:hAnsi="Arial" w:cs="Arial"/>
        </w:rPr>
        <w:t xml:space="preserve"> </w:t>
      </w:r>
      <w:r w:rsidRPr="00E475EC">
        <w:rPr>
          <w:rFonts w:ascii="Arial" w:hAnsi="Arial" w:cs="Arial"/>
        </w:rPr>
        <w:t>which are crucial in the hospitality industry</w:t>
      </w:r>
      <w:r w:rsidRPr="00250C10">
        <w:rPr>
          <w:rFonts w:ascii="Arial" w:hAnsi="Arial" w:cs="Arial"/>
        </w:rPr>
        <w:t xml:space="preserve"> </w:t>
      </w:r>
      <w:r w:rsidRPr="00E475EC">
        <w:rPr>
          <w:rFonts w:ascii="Arial" w:hAnsi="Arial" w:cs="Arial"/>
        </w:rPr>
        <w:t>by negotiating bulk purchase agreements (Guilding, 2014). More precise demand forecasting combined with efficient inventory management can also cut waste and avoid overstocking (Evans et al., 2003). When taken as a whole, these cost-cutting initiatives seek to ease financial strain and provide the hotel more leeway in how it handles spending.</w:t>
      </w:r>
    </w:p>
    <w:p w14:paraId="45B0DE68" w14:textId="77777777" w:rsidR="001309DE" w:rsidRPr="00250C10" w:rsidRDefault="001309DE" w:rsidP="00747C8F">
      <w:pPr>
        <w:spacing w:before="240" w:line="360" w:lineRule="auto"/>
        <w:jc w:val="both"/>
        <w:rPr>
          <w:rFonts w:ascii="Arial" w:hAnsi="Arial" w:cs="Arial"/>
        </w:rPr>
      </w:pPr>
    </w:p>
    <w:p w14:paraId="6983A876" w14:textId="77777777" w:rsidR="00E475EC" w:rsidRPr="00250C10" w:rsidRDefault="00E475EC" w:rsidP="00E475EC">
      <w:pPr>
        <w:spacing w:before="240" w:line="360" w:lineRule="auto"/>
        <w:jc w:val="both"/>
        <w:rPr>
          <w:rFonts w:ascii="Arial" w:hAnsi="Arial" w:cs="Arial"/>
          <w:b/>
          <w:bCs/>
        </w:rPr>
      </w:pPr>
      <w:r w:rsidRPr="00E475EC">
        <w:rPr>
          <w:rFonts w:ascii="Arial" w:hAnsi="Arial" w:cs="Arial"/>
          <w:b/>
          <w:bCs/>
        </w:rPr>
        <w:t>Retaining customers and improving services</w:t>
      </w:r>
    </w:p>
    <w:p w14:paraId="64B314F0" w14:textId="77777777" w:rsidR="00E475EC" w:rsidRPr="00250C10" w:rsidRDefault="00E475EC" w:rsidP="00E475EC">
      <w:pPr>
        <w:spacing w:before="240" w:line="360" w:lineRule="auto"/>
        <w:jc w:val="both"/>
        <w:rPr>
          <w:rFonts w:ascii="Arial" w:hAnsi="Arial" w:cs="Arial"/>
        </w:rPr>
      </w:pPr>
      <w:r w:rsidRPr="00E475EC">
        <w:rPr>
          <w:rFonts w:ascii="Arial" w:hAnsi="Arial" w:cs="Arial"/>
        </w:rPr>
        <w:br/>
        <w:t>Stabilising occupancy rates and guaranteeing steady revenue depend on increasing client retention. Customer retention can rise by roughly 20–30% by implementing a loyalty program that provides rewards for repeat business, such as points for reservations, exclusive facilities, or discounts (Jones &amp; Lockwood, 2004). By cultivating a devoted clientele that is less susceptible to price changes, this program addresses the identified risk of decreased occupancy. In addition to providing a steady flow of income, loyal consumers serve as brand ambassadors, attracting new customers through word-of-mouth recommendations.</w:t>
      </w:r>
    </w:p>
    <w:p w14:paraId="7F242B87" w14:textId="7AE2AA7A" w:rsidR="00E475EC" w:rsidRPr="00E475EC" w:rsidRDefault="00E475EC" w:rsidP="00E475EC">
      <w:pPr>
        <w:spacing w:before="240" w:line="360" w:lineRule="auto"/>
        <w:jc w:val="both"/>
        <w:rPr>
          <w:rFonts w:ascii="Arial" w:hAnsi="Arial" w:cs="Arial"/>
        </w:rPr>
      </w:pPr>
      <w:r w:rsidRPr="00E475EC">
        <w:rPr>
          <w:rFonts w:ascii="Arial" w:hAnsi="Arial" w:cs="Arial"/>
        </w:rPr>
        <w:br/>
      </w:r>
    </w:p>
    <w:p w14:paraId="1292FD47" w14:textId="77777777" w:rsidR="00674010" w:rsidRPr="00250C10" w:rsidRDefault="00674010" w:rsidP="00747C8F">
      <w:pPr>
        <w:spacing w:before="240" w:line="360" w:lineRule="auto"/>
        <w:jc w:val="both"/>
        <w:rPr>
          <w:rFonts w:ascii="Arial" w:hAnsi="Arial" w:cs="Arial"/>
        </w:rPr>
      </w:pPr>
    </w:p>
    <w:p w14:paraId="4A50BED6" w14:textId="77777777" w:rsidR="00674010" w:rsidRPr="00250C10" w:rsidRDefault="00674010" w:rsidP="00747C8F">
      <w:pPr>
        <w:spacing w:before="240" w:line="360" w:lineRule="auto"/>
        <w:jc w:val="both"/>
        <w:rPr>
          <w:rFonts w:ascii="Arial" w:hAnsi="Arial" w:cs="Arial"/>
        </w:rPr>
      </w:pPr>
    </w:p>
    <w:tbl>
      <w:tblPr>
        <w:tblStyle w:val="GridTable5Dark-Accent2"/>
        <w:tblW w:w="8898" w:type="dxa"/>
        <w:tblLook w:val="04A0" w:firstRow="1" w:lastRow="0" w:firstColumn="1" w:lastColumn="0" w:noHBand="0" w:noVBand="1"/>
      </w:tblPr>
      <w:tblGrid>
        <w:gridCol w:w="4516"/>
        <w:gridCol w:w="1445"/>
        <w:gridCol w:w="1492"/>
        <w:gridCol w:w="1445"/>
      </w:tblGrid>
      <w:tr w:rsidR="00674010" w:rsidRPr="00674010" w14:paraId="48AA0081" w14:textId="77777777" w:rsidTr="00674010">
        <w:trPr>
          <w:cnfStyle w:val="100000000000" w:firstRow="1" w:lastRow="0" w:firstColumn="0" w:lastColumn="0" w:oddVBand="0" w:evenVBand="0" w:oddHBand="0"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4516" w:type="dxa"/>
            <w:noWrap/>
            <w:hideMark/>
          </w:tcPr>
          <w:p w14:paraId="34542E59" w14:textId="77777777" w:rsidR="00674010" w:rsidRPr="00674010" w:rsidRDefault="00674010" w:rsidP="00674010">
            <w:pPr>
              <w:jc w:val="center"/>
              <w:rPr>
                <w:rFonts w:ascii="Arial" w:eastAsia="Times New Roman" w:hAnsi="Arial" w:cs="Arial"/>
                <w:color w:val="000000"/>
                <w:kern w:val="0"/>
                <w:sz w:val="22"/>
                <w:szCs w:val="22"/>
                <w:lang w:eastAsia="en-GB"/>
                <w14:ligatures w14:val="none"/>
              </w:rPr>
            </w:pPr>
            <w:r w:rsidRPr="00674010">
              <w:rPr>
                <w:rFonts w:ascii="Arial" w:eastAsia="Times New Roman" w:hAnsi="Arial" w:cs="Arial"/>
                <w:color w:val="000000"/>
                <w:kern w:val="0"/>
                <w:sz w:val="22"/>
                <w:szCs w:val="22"/>
                <w:lang w:eastAsia="en-GB"/>
                <w14:ligatures w14:val="none"/>
              </w:rPr>
              <w:t>Metric</w:t>
            </w:r>
          </w:p>
        </w:tc>
        <w:tc>
          <w:tcPr>
            <w:tcW w:w="1445" w:type="dxa"/>
            <w:noWrap/>
            <w:hideMark/>
          </w:tcPr>
          <w:p w14:paraId="1C82DC95" w14:textId="77777777" w:rsidR="00674010" w:rsidRPr="00674010" w:rsidRDefault="00674010" w:rsidP="00674010">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674010">
              <w:rPr>
                <w:rFonts w:ascii="Arial" w:eastAsia="Times New Roman" w:hAnsi="Arial" w:cs="Arial"/>
                <w:color w:val="000000"/>
                <w:kern w:val="0"/>
                <w:sz w:val="22"/>
                <w:szCs w:val="22"/>
                <w:lang w:eastAsia="en-GB"/>
                <w14:ligatures w14:val="none"/>
              </w:rPr>
              <w:t>Current Level</w:t>
            </w:r>
          </w:p>
        </w:tc>
        <w:tc>
          <w:tcPr>
            <w:tcW w:w="1492" w:type="dxa"/>
            <w:noWrap/>
            <w:hideMark/>
          </w:tcPr>
          <w:p w14:paraId="63550835" w14:textId="77777777" w:rsidR="00674010" w:rsidRPr="00674010" w:rsidRDefault="00674010" w:rsidP="00674010">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674010">
              <w:rPr>
                <w:rFonts w:ascii="Arial" w:eastAsia="Times New Roman" w:hAnsi="Arial" w:cs="Arial"/>
                <w:color w:val="000000"/>
                <w:kern w:val="0"/>
                <w:sz w:val="22"/>
                <w:szCs w:val="22"/>
                <w:lang w:eastAsia="en-GB"/>
                <w14:ligatures w14:val="none"/>
              </w:rPr>
              <w:t>Projected Level After Loyalty Program</w:t>
            </w:r>
          </w:p>
        </w:tc>
        <w:tc>
          <w:tcPr>
            <w:tcW w:w="1445" w:type="dxa"/>
            <w:noWrap/>
            <w:hideMark/>
          </w:tcPr>
          <w:p w14:paraId="5028CF6A" w14:textId="77777777" w:rsidR="00674010" w:rsidRPr="00674010" w:rsidRDefault="00674010" w:rsidP="00674010">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p>
        </w:tc>
      </w:tr>
      <w:tr w:rsidR="00674010" w:rsidRPr="00674010" w14:paraId="796BBFF9" w14:textId="77777777" w:rsidTr="00674010">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4516" w:type="dxa"/>
            <w:noWrap/>
            <w:hideMark/>
          </w:tcPr>
          <w:p w14:paraId="3CE23D64" w14:textId="77777777" w:rsidR="00674010" w:rsidRPr="00674010" w:rsidRDefault="00674010" w:rsidP="00674010">
            <w:pPr>
              <w:rPr>
                <w:rFonts w:ascii="Arial" w:eastAsia="Times New Roman" w:hAnsi="Arial" w:cs="Arial"/>
                <w:color w:val="000000"/>
                <w:kern w:val="0"/>
                <w:sz w:val="22"/>
                <w:szCs w:val="22"/>
                <w:lang w:eastAsia="en-GB"/>
                <w14:ligatures w14:val="none"/>
              </w:rPr>
            </w:pPr>
            <w:r w:rsidRPr="00674010">
              <w:rPr>
                <w:rFonts w:ascii="Arial" w:eastAsia="Times New Roman" w:hAnsi="Arial" w:cs="Arial"/>
                <w:color w:val="000000"/>
                <w:kern w:val="0"/>
                <w:sz w:val="22"/>
                <w:szCs w:val="22"/>
                <w:lang w:eastAsia="en-GB"/>
                <w14:ligatures w14:val="none"/>
              </w:rPr>
              <w:t>Occupancy Rate (%)</w:t>
            </w:r>
          </w:p>
        </w:tc>
        <w:tc>
          <w:tcPr>
            <w:tcW w:w="1445" w:type="dxa"/>
            <w:noWrap/>
            <w:hideMark/>
          </w:tcPr>
          <w:p w14:paraId="4E59E7B7" w14:textId="77777777" w:rsidR="00674010" w:rsidRPr="00674010" w:rsidRDefault="00674010" w:rsidP="0067401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674010">
              <w:rPr>
                <w:rFonts w:ascii="Arial" w:eastAsia="Times New Roman" w:hAnsi="Arial" w:cs="Arial"/>
                <w:color w:val="000000"/>
                <w:kern w:val="0"/>
                <w:sz w:val="22"/>
                <w:szCs w:val="22"/>
                <w:lang w:eastAsia="en-GB"/>
                <w14:ligatures w14:val="none"/>
              </w:rPr>
              <w:t>65</w:t>
            </w:r>
          </w:p>
        </w:tc>
        <w:tc>
          <w:tcPr>
            <w:tcW w:w="1492" w:type="dxa"/>
            <w:noWrap/>
            <w:hideMark/>
          </w:tcPr>
          <w:p w14:paraId="6A1B2EC5" w14:textId="77777777" w:rsidR="00674010" w:rsidRPr="00674010" w:rsidRDefault="00674010" w:rsidP="0067401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674010">
              <w:rPr>
                <w:rFonts w:ascii="Arial" w:eastAsia="Times New Roman" w:hAnsi="Arial" w:cs="Arial"/>
                <w:color w:val="000000"/>
                <w:kern w:val="0"/>
                <w:sz w:val="22"/>
                <w:szCs w:val="22"/>
                <w:lang w:eastAsia="en-GB"/>
                <w14:ligatures w14:val="none"/>
              </w:rPr>
              <w:t>80</w:t>
            </w:r>
          </w:p>
        </w:tc>
        <w:tc>
          <w:tcPr>
            <w:tcW w:w="1445" w:type="dxa"/>
            <w:noWrap/>
            <w:hideMark/>
          </w:tcPr>
          <w:p w14:paraId="2FDE2CDC" w14:textId="77777777" w:rsidR="00674010" w:rsidRPr="00674010" w:rsidRDefault="00674010" w:rsidP="0067401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sz w:val="22"/>
                <w:szCs w:val="22"/>
                <w:lang w:eastAsia="en-GB"/>
                <w14:ligatures w14:val="none"/>
              </w:rPr>
            </w:pPr>
          </w:p>
        </w:tc>
      </w:tr>
      <w:tr w:rsidR="00674010" w:rsidRPr="00674010" w14:paraId="454E8FBF" w14:textId="77777777" w:rsidTr="00674010">
        <w:trPr>
          <w:trHeight w:val="347"/>
        </w:trPr>
        <w:tc>
          <w:tcPr>
            <w:cnfStyle w:val="001000000000" w:firstRow="0" w:lastRow="0" w:firstColumn="1" w:lastColumn="0" w:oddVBand="0" w:evenVBand="0" w:oddHBand="0" w:evenHBand="0" w:firstRowFirstColumn="0" w:firstRowLastColumn="0" w:lastRowFirstColumn="0" w:lastRowLastColumn="0"/>
            <w:tcW w:w="4516" w:type="dxa"/>
            <w:noWrap/>
            <w:hideMark/>
          </w:tcPr>
          <w:p w14:paraId="35B09B4F" w14:textId="77777777" w:rsidR="00674010" w:rsidRPr="00674010" w:rsidRDefault="00674010" w:rsidP="00674010">
            <w:pPr>
              <w:rPr>
                <w:rFonts w:ascii="Arial" w:eastAsia="Times New Roman" w:hAnsi="Arial" w:cs="Arial"/>
                <w:color w:val="000000"/>
                <w:kern w:val="0"/>
                <w:sz w:val="22"/>
                <w:szCs w:val="22"/>
                <w:lang w:eastAsia="en-GB"/>
                <w14:ligatures w14:val="none"/>
              </w:rPr>
            </w:pPr>
            <w:r w:rsidRPr="00674010">
              <w:rPr>
                <w:rFonts w:ascii="Arial" w:eastAsia="Times New Roman" w:hAnsi="Arial" w:cs="Arial"/>
                <w:color w:val="000000"/>
                <w:kern w:val="0"/>
                <w:sz w:val="22"/>
                <w:szCs w:val="22"/>
                <w:lang w:eastAsia="en-GB"/>
                <w14:ligatures w14:val="none"/>
              </w:rPr>
              <w:t>Customer Retention (%)</w:t>
            </w:r>
          </w:p>
        </w:tc>
        <w:tc>
          <w:tcPr>
            <w:tcW w:w="1445" w:type="dxa"/>
            <w:noWrap/>
            <w:hideMark/>
          </w:tcPr>
          <w:p w14:paraId="5342F619" w14:textId="77777777" w:rsidR="00674010" w:rsidRPr="00674010" w:rsidRDefault="00674010" w:rsidP="0067401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674010">
              <w:rPr>
                <w:rFonts w:ascii="Arial" w:eastAsia="Times New Roman" w:hAnsi="Arial" w:cs="Arial"/>
                <w:color w:val="000000"/>
                <w:kern w:val="0"/>
                <w:sz w:val="22"/>
                <w:szCs w:val="22"/>
                <w:lang w:eastAsia="en-GB"/>
                <w14:ligatures w14:val="none"/>
              </w:rPr>
              <w:t>50</w:t>
            </w:r>
          </w:p>
        </w:tc>
        <w:tc>
          <w:tcPr>
            <w:tcW w:w="1492" w:type="dxa"/>
            <w:noWrap/>
            <w:hideMark/>
          </w:tcPr>
          <w:p w14:paraId="4AE7F319" w14:textId="77777777" w:rsidR="00674010" w:rsidRPr="00674010" w:rsidRDefault="00674010" w:rsidP="0067401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674010">
              <w:rPr>
                <w:rFonts w:ascii="Arial" w:eastAsia="Times New Roman" w:hAnsi="Arial" w:cs="Arial"/>
                <w:color w:val="000000"/>
                <w:kern w:val="0"/>
                <w:sz w:val="22"/>
                <w:szCs w:val="22"/>
                <w:lang w:eastAsia="en-GB"/>
                <w14:ligatures w14:val="none"/>
              </w:rPr>
              <w:t>70</w:t>
            </w:r>
          </w:p>
        </w:tc>
        <w:tc>
          <w:tcPr>
            <w:tcW w:w="1445" w:type="dxa"/>
            <w:noWrap/>
            <w:hideMark/>
          </w:tcPr>
          <w:p w14:paraId="3F65F401" w14:textId="77777777" w:rsidR="00674010" w:rsidRPr="00674010" w:rsidRDefault="00674010" w:rsidP="00674010">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sz w:val="22"/>
                <w:szCs w:val="22"/>
                <w:lang w:eastAsia="en-GB"/>
                <w14:ligatures w14:val="none"/>
              </w:rPr>
            </w:pPr>
          </w:p>
        </w:tc>
      </w:tr>
      <w:tr w:rsidR="00674010" w:rsidRPr="00674010" w14:paraId="620ACFAF" w14:textId="77777777" w:rsidTr="00674010">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4516" w:type="dxa"/>
            <w:noWrap/>
            <w:hideMark/>
          </w:tcPr>
          <w:p w14:paraId="71ED73DE" w14:textId="77777777" w:rsidR="00674010" w:rsidRPr="00674010" w:rsidRDefault="00674010" w:rsidP="00674010">
            <w:pPr>
              <w:rPr>
                <w:rFonts w:ascii="Arial" w:eastAsia="Times New Roman" w:hAnsi="Arial" w:cs="Arial"/>
                <w:color w:val="000000"/>
                <w:kern w:val="0"/>
                <w:sz w:val="22"/>
                <w:szCs w:val="22"/>
                <w:lang w:eastAsia="en-GB"/>
                <w14:ligatures w14:val="none"/>
              </w:rPr>
            </w:pPr>
            <w:r w:rsidRPr="00674010">
              <w:rPr>
                <w:rFonts w:ascii="Arial" w:eastAsia="Times New Roman" w:hAnsi="Arial" w:cs="Arial"/>
                <w:color w:val="000000"/>
                <w:kern w:val="0"/>
                <w:sz w:val="22"/>
                <w:szCs w:val="22"/>
                <w:lang w:eastAsia="en-GB"/>
                <w14:ligatures w14:val="none"/>
              </w:rPr>
              <w:t>Average Customer Lifetime Value (£)</w:t>
            </w:r>
          </w:p>
        </w:tc>
        <w:tc>
          <w:tcPr>
            <w:tcW w:w="1445" w:type="dxa"/>
            <w:noWrap/>
            <w:hideMark/>
          </w:tcPr>
          <w:p w14:paraId="3D82F18D" w14:textId="77777777" w:rsidR="00674010" w:rsidRPr="00674010" w:rsidRDefault="00674010" w:rsidP="0067401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674010">
              <w:rPr>
                <w:rFonts w:ascii="Arial" w:eastAsia="Times New Roman" w:hAnsi="Arial" w:cs="Arial"/>
                <w:color w:val="000000"/>
                <w:kern w:val="0"/>
                <w:sz w:val="22"/>
                <w:szCs w:val="22"/>
                <w:lang w:eastAsia="en-GB"/>
                <w14:ligatures w14:val="none"/>
              </w:rPr>
              <w:t>1500</w:t>
            </w:r>
          </w:p>
        </w:tc>
        <w:tc>
          <w:tcPr>
            <w:tcW w:w="1492" w:type="dxa"/>
            <w:noWrap/>
            <w:hideMark/>
          </w:tcPr>
          <w:p w14:paraId="63798942" w14:textId="77777777" w:rsidR="00674010" w:rsidRPr="00674010" w:rsidRDefault="00674010" w:rsidP="0067401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sz w:val="22"/>
                <w:szCs w:val="22"/>
                <w:lang w:eastAsia="en-GB"/>
                <w14:ligatures w14:val="none"/>
              </w:rPr>
            </w:pPr>
            <w:r w:rsidRPr="00674010">
              <w:rPr>
                <w:rFonts w:ascii="Arial" w:eastAsia="Times New Roman" w:hAnsi="Arial" w:cs="Arial"/>
                <w:color w:val="000000"/>
                <w:kern w:val="0"/>
                <w:sz w:val="22"/>
                <w:szCs w:val="22"/>
                <w:lang w:eastAsia="en-GB"/>
                <w14:ligatures w14:val="none"/>
              </w:rPr>
              <w:t>2000</w:t>
            </w:r>
          </w:p>
        </w:tc>
        <w:tc>
          <w:tcPr>
            <w:tcW w:w="1445" w:type="dxa"/>
            <w:noWrap/>
            <w:hideMark/>
          </w:tcPr>
          <w:p w14:paraId="48939D6A" w14:textId="77777777" w:rsidR="00674010" w:rsidRPr="00674010" w:rsidRDefault="00674010" w:rsidP="00674010">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sz w:val="22"/>
                <w:szCs w:val="22"/>
                <w:lang w:eastAsia="en-GB"/>
                <w14:ligatures w14:val="none"/>
              </w:rPr>
            </w:pPr>
          </w:p>
        </w:tc>
      </w:tr>
    </w:tbl>
    <w:p w14:paraId="7B081955" w14:textId="77777777" w:rsidR="00674010" w:rsidRPr="009E2326" w:rsidRDefault="00674010" w:rsidP="00747C8F">
      <w:pPr>
        <w:spacing w:before="240" w:line="360" w:lineRule="auto"/>
        <w:jc w:val="both"/>
        <w:rPr>
          <w:rFonts w:ascii="Arial" w:hAnsi="Arial" w:cs="Arial"/>
        </w:rPr>
      </w:pPr>
    </w:p>
    <w:p w14:paraId="6B2DB22E" w14:textId="77777777" w:rsidR="00E475EC" w:rsidRPr="00250C10" w:rsidRDefault="00E475EC" w:rsidP="00E475EC">
      <w:pPr>
        <w:spacing w:before="240" w:line="360" w:lineRule="auto"/>
        <w:jc w:val="both"/>
        <w:rPr>
          <w:rFonts w:ascii="Arial" w:hAnsi="Arial" w:cs="Arial"/>
        </w:rPr>
      </w:pPr>
      <w:r w:rsidRPr="00E475EC">
        <w:rPr>
          <w:rFonts w:ascii="Arial" w:hAnsi="Arial" w:cs="Arial"/>
        </w:rPr>
        <w:t>Customer feedback-driven service improvements can further increase customer satisfaction and lower attrition. For instance, enhancing front desk productivity or implementing digital check-in choices can streamline check-in procedures, greatly improving the guest experience, resolving frequent grievances, and setting Urban Heights apart in a crowded market (Kotas, 1999). By putting in place a feedback loop where visitors may offer ideas and opinions, the hotel can proactively address customer service concerns and increase repeat business.</w:t>
      </w:r>
    </w:p>
    <w:p w14:paraId="1267D3F1" w14:textId="77777777" w:rsidR="00E475EC" w:rsidRPr="00250C10" w:rsidRDefault="00E475EC" w:rsidP="00E475EC">
      <w:pPr>
        <w:spacing w:before="240" w:line="360" w:lineRule="auto"/>
        <w:jc w:val="both"/>
        <w:rPr>
          <w:rFonts w:ascii="Arial" w:hAnsi="Arial" w:cs="Arial"/>
        </w:rPr>
      </w:pPr>
      <w:r w:rsidRPr="00E475EC">
        <w:rPr>
          <w:rFonts w:ascii="Arial" w:hAnsi="Arial" w:cs="Arial"/>
        </w:rPr>
        <w:br/>
        <w:t>Justification: Initiatives to retain customers reduce the danger of decreasing occupancy and disgruntled customers. Urban Heights can stabilise occupancy and guarantee repeat business from happy customers by enhancing service quality and encouraging loyalty.</w:t>
      </w:r>
    </w:p>
    <w:p w14:paraId="69E3B689" w14:textId="726318F3" w:rsidR="00674010" w:rsidRPr="00250C10" w:rsidRDefault="00674010" w:rsidP="00747C8F">
      <w:pPr>
        <w:spacing w:before="240" w:line="360" w:lineRule="auto"/>
        <w:jc w:val="both"/>
        <w:rPr>
          <w:rFonts w:ascii="Arial" w:hAnsi="Arial" w:cs="Arial"/>
        </w:rPr>
      </w:pPr>
    </w:p>
    <w:p w14:paraId="4F9ED408" w14:textId="77777777" w:rsidR="00E475EC" w:rsidRPr="00250C10" w:rsidRDefault="00E475EC" w:rsidP="00250C10">
      <w:pPr>
        <w:pStyle w:val="Heading1"/>
        <w:rPr>
          <w:rFonts w:ascii="Arial" w:hAnsi="Arial" w:cs="Arial"/>
          <w:b/>
          <w:bCs/>
          <w:color w:val="156082" w:themeColor="accent1"/>
          <w:sz w:val="28"/>
          <w:szCs w:val="28"/>
        </w:rPr>
      </w:pPr>
      <w:bookmarkStart w:id="6" w:name="_Toc181922150"/>
      <w:r w:rsidRPr="00E475EC">
        <w:rPr>
          <w:rFonts w:ascii="Arial" w:hAnsi="Arial" w:cs="Arial"/>
          <w:b/>
          <w:bCs/>
          <w:color w:val="156082" w:themeColor="accent1"/>
          <w:sz w:val="28"/>
          <w:szCs w:val="28"/>
        </w:rPr>
        <w:t>Marketing and Revenue Management</w:t>
      </w:r>
      <w:bookmarkEnd w:id="6"/>
    </w:p>
    <w:p w14:paraId="7A85DB8D" w14:textId="77777777" w:rsidR="00E475EC" w:rsidRPr="00250C10" w:rsidRDefault="00E475EC" w:rsidP="00E475EC">
      <w:pPr>
        <w:spacing w:before="240" w:line="360" w:lineRule="auto"/>
        <w:jc w:val="both"/>
        <w:rPr>
          <w:rFonts w:ascii="Arial" w:hAnsi="Arial" w:cs="Arial"/>
        </w:rPr>
      </w:pPr>
      <w:r w:rsidRPr="00E475EC">
        <w:rPr>
          <w:rFonts w:ascii="Arial" w:hAnsi="Arial" w:cs="Arial"/>
        </w:rPr>
        <w:br/>
        <w:t>Urban Heights can maximise earnings from current visitors while attracting new market segments with a strategic repositioning approach. To cater to consumers that are cost-conscious but value-seeking, the hotel can use a hybrid pricing strategy that strikes a compromise between quality and affordability by utilising Bowman's Strategy Clock (Slack et al., 2019). This strategy puts Urban Heights in a competitive position in a market where consumers are valuing cost-effective solutions more and more because of economic uncertainties.</w:t>
      </w:r>
    </w:p>
    <w:p w14:paraId="4F7CDEC5" w14:textId="1B39267A" w:rsidR="00E475EC" w:rsidRPr="00E475EC" w:rsidRDefault="00E475EC" w:rsidP="00E475EC">
      <w:pPr>
        <w:spacing w:before="240" w:line="360" w:lineRule="auto"/>
        <w:jc w:val="both"/>
        <w:rPr>
          <w:rFonts w:ascii="Arial" w:hAnsi="Arial" w:cs="Arial"/>
        </w:rPr>
      </w:pPr>
      <w:r w:rsidRPr="00E475EC">
        <w:rPr>
          <w:rFonts w:ascii="Arial" w:hAnsi="Arial" w:cs="Arial"/>
        </w:rPr>
        <w:lastRenderedPageBreak/>
        <w:br/>
      </w:r>
    </w:p>
    <w:p w14:paraId="4C7C5E59" w14:textId="0F14BED4" w:rsidR="00674010" w:rsidRPr="009E2326" w:rsidRDefault="00674010" w:rsidP="00250C10">
      <w:pPr>
        <w:spacing w:before="240" w:line="360" w:lineRule="auto"/>
        <w:jc w:val="center"/>
        <w:rPr>
          <w:rFonts w:ascii="Arial" w:hAnsi="Arial" w:cs="Arial"/>
        </w:rPr>
      </w:pPr>
      <w:r w:rsidRPr="00250C10">
        <w:rPr>
          <w:rFonts w:ascii="Arial" w:hAnsi="Arial" w:cs="Arial"/>
          <w:noProof/>
        </w:rPr>
        <w:drawing>
          <wp:inline distT="0" distB="0" distL="0" distR="0" wp14:anchorId="29E98576" wp14:editId="041AC589">
            <wp:extent cx="4876800" cy="3015496"/>
            <wp:effectExtent l="0" t="0" r="0" b="0"/>
            <wp:docPr id="1649094517" name="Picture 5" descr="A diagram of a market share lo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094517" name="Picture 5" descr="A diagram of a market share los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89315" cy="3023234"/>
                    </a:xfrm>
                    <a:prstGeom prst="rect">
                      <a:avLst/>
                    </a:prstGeom>
                  </pic:spPr>
                </pic:pic>
              </a:graphicData>
            </a:graphic>
          </wp:inline>
        </w:drawing>
      </w:r>
    </w:p>
    <w:p w14:paraId="30FBFED0" w14:textId="02A6B46D" w:rsidR="000A086E" w:rsidRPr="00250C10" w:rsidRDefault="000A086E" w:rsidP="00250C10">
      <w:pPr>
        <w:spacing w:before="240" w:line="360" w:lineRule="auto"/>
        <w:jc w:val="both"/>
        <w:rPr>
          <w:rFonts w:ascii="Arial" w:hAnsi="Arial" w:cs="Arial"/>
        </w:rPr>
      </w:pPr>
      <w:r w:rsidRPr="000A086E">
        <w:rPr>
          <w:rFonts w:ascii="Arial" w:hAnsi="Arial" w:cs="Arial"/>
        </w:rPr>
        <w:t>Another essential element of the revenue management plan is dynamic pricing. The hotel may maximise profits by instantly changing room rates in response to demand, especially during busy times of the year. According to studies, when demand is high, dynamic pricing models can maximise occupancy at higher rates, increasing income by up to 10% (Tranter, Stuart-Hill &amp; Parker, 2014). The financial advantages of this strategy could be further illustrated with a line graph showing the anticipated revenue rise from applying dynamic pricing.</w:t>
      </w:r>
    </w:p>
    <w:p w14:paraId="507065BD" w14:textId="63222BED" w:rsidR="00AA1C72" w:rsidRPr="009E2326" w:rsidRDefault="00AA1C72" w:rsidP="001309DE">
      <w:pPr>
        <w:spacing w:before="240" w:line="360" w:lineRule="auto"/>
        <w:jc w:val="center"/>
        <w:rPr>
          <w:rFonts w:ascii="Arial" w:hAnsi="Arial" w:cs="Arial"/>
        </w:rPr>
      </w:pPr>
      <w:r w:rsidRPr="00250C10">
        <w:rPr>
          <w:rFonts w:ascii="Arial" w:hAnsi="Arial" w:cs="Arial"/>
          <w:noProof/>
        </w:rPr>
        <w:drawing>
          <wp:inline distT="0" distB="0" distL="0" distR="0" wp14:anchorId="697B4FB4" wp14:editId="1DD3C57D">
            <wp:extent cx="4632960" cy="2779981"/>
            <wp:effectExtent l="0" t="0" r="2540" b="1905"/>
            <wp:docPr id="120685807" name="Picture 6" descr="A graph with orange and yellow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85807" name="Picture 6" descr="A graph with orange and yellow line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654925" cy="2793161"/>
                    </a:xfrm>
                    <a:prstGeom prst="rect">
                      <a:avLst/>
                    </a:prstGeom>
                  </pic:spPr>
                </pic:pic>
              </a:graphicData>
            </a:graphic>
          </wp:inline>
        </w:drawing>
      </w:r>
    </w:p>
    <w:p w14:paraId="44A46673" w14:textId="77777777" w:rsidR="000A086E" w:rsidRPr="00250C10" w:rsidRDefault="000A086E" w:rsidP="000A086E">
      <w:pPr>
        <w:spacing w:before="240" w:line="360" w:lineRule="auto"/>
        <w:jc w:val="both"/>
        <w:rPr>
          <w:rFonts w:ascii="Arial" w:hAnsi="Arial" w:cs="Arial"/>
        </w:rPr>
      </w:pPr>
      <w:r w:rsidRPr="000A086E">
        <w:rPr>
          <w:rFonts w:ascii="Arial" w:hAnsi="Arial" w:cs="Arial"/>
        </w:rPr>
        <w:lastRenderedPageBreak/>
        <w:t>Furthermore, the hotel can increase direct bookings and lessen its dependency on third-party platforms that impose exorbitant commission costs by utilising digital marketing initiatives including search engine optimisation (SEO), social media advertising, and targeted email campaigns (Yu, 1999). Customised promotions based on previous visitor behaviour or preferences can increase interaction and drive clients to the hotel's website, which has low booking costs.</w:t>
      </w:r>
    </w:p>
    <w:p w14:paraId="490E2787" w14:textId="77777777" w:rsidR="000A086E" w:rsidRPr="00250C10" w:rsidRDefault="000A086E" w:rsidP="000A086E">
      <w:pPr>
        <w:spacing w:before="240" w:line="360" w:lineRule="auto"/>
        <w:jc w:val="both"/>
        <w:rPr>
          <w:rFonts w:ascii="Arial" w:hAnsi="Arial" w:cs="Arial"/>
        </w:rPr>
      </w:pPr>
      <w:r w:rsidRPr="000A086E">
        <w:rPr>
          <w:rFonts w:ascii="Arial" w:hAnsi="Arial" w:cs="Arial"/>
        </w:rPr>
        <w:br/>
        <w:t>Justification: Through boosting direct reservations, cutting third-party commission expenses, and expanding the audience through value-focused marketing, these revenue management and marketing techniques alleviate budgetary limitations. This improves the hotel's market standing in addition to increasing revenue.</w:t>
      </w:r>
    </w:p>
    <w:p w14:paraId="39E60C3E" w14:textId="71FB1980" w:rsidR="000A086E" w:rsidRPr="000A086E" w:rsidRDefault="000A086E" w:rsidP="000A086E">
      <w:pPr>
        <w:spacing w:before="240" w:line="360" w:lineRule="auto"/>
        <w:jc w:val="both"/>
        <w:rPr>
          <w:rFonts w:ascii="Arial" w:hAnsi="Arial" w:cs="Arial"/>
        </w:rPr>
      </w:pPr>
      <w:r w:rsidRPr="000A086E">
        <w:rPr>
          <w:rFonts w:ascii="Arial" w:hAnsi="Arial" w:cs="Arial"/>
        </w:rPr>
        <w:br/>
      </w:r>
    </w:p>
    <w:p w14:paraId="5DDE6DCB" w14:textId="77777777" w:rsidR="009E2326" w:rsidRPr="00250C10" w:rsidRDefault="009E2326" w:rsidP="00250C10">
      <w:pPr>
        <w:pStyle w:val="Heading1"/>
        <w:rPr>
          <w:rFonts w:ascii="Arial" w:hAnsi="Arial" w:cs="Arial"/>
          <w:b/>
          <w:bCs/>
          <w:color w:val="156082" w:themeColor="accent1"/>
          <w:sz w:val="28"/>
          <w:szCs w:val="28"/>
        </w:rPr>
      </w:pPr>
      <w:bookmarkStart w:id="7" w:name="_Toc181922151"/>
      <w:r w:rsidRPr="00250C10">
        <w:rPr>
          <w:rFonts w:ascii="Arial" w:hAnsi="Arial" w:cs="Arial"/>
          <w:b/>
          <w:bCs/>
          <w:color w:val="156082" w:themeColor="accent1"/>
          <w:sz w:val="28"/>
          <w:szCs w:val="28"/>
        </w:rPr>
        <w:t>Implementation Plan</w:t>
      </w:r>
      <w:bookmarkEnd w:id="7"/>
    </w:p>
    <w:p w14:paraId="6947B50D" w14:textId="21C17FEB" w:rsidR="000A086E" w:rsidRPr="000A086E" w:rsidRDefault="000A086E" w:rsidP="000A086E">
      <w:pPr>
        <w:spacing w:before="240" w:line="360" w:lineRule="auto"/>
        <w:jc w:val="both"/>
        <w:rPr>
          <w:rFonts w:ascii="Arial" w:hAnsi="Arial" w:cs="Arial"/>
        </w:rPr>
      </w:pPr>
      <w:r w:rsidRPr="000A086E">
        <w:rPr>
          <w:rFonts w:ascii="Arial" w:hAnsi="Arial" w:cs="Arial"/>
        </w:rPr>
        <w:t>A gradual strategy is recommended for the implementation of these strategies. Energy-efficient renovations and other cost-optimi</w:t>
      </w:r>
      <w:r w:rsidR="002962E0">
        <w:rPr>
          <w:rFonts w:ascii="Arial" w:hAnsi="Arial" w:cs="Arial"/>
        </w:rPr>
        <w:t>s</w:t>
      </w:r>
      <w:r w:rsidRPr="000A086E">
        <w:rPr>
          <w:rFonts w:ascii="Arial" w:hAnsi="Arial" w:cs="Arial"/>
        </w:rPr>
        <w:t>ation strategies should be started early because of their comparatively rapid effect on cutting costs. In order to address customer retention, a customer loyalty program and service improvements might be implemented concurrently. Once cost improvements are established, digital marketing strategies and dynamic pricing should be implemented to maximise revenue without overstretching resources. Frequent performance evaluations will guarantee that the tactics are meeting goals and enable any necessary modifications.</w:t>
      </w:r>
    </w:p>
    <w:p w14:paraId="05388E69" w14:textId="77777777" w:rsidR="000A086E" w:rsidRPr="000A086E" w:rsidRDefault="000A086E" w:rsidP="000A086E">
      <w:pPr>
        <w:spacing w:before="240" w:line="360" w:lineRule="auto"/>
        <w:jc w:val="both"/>
        <w:rPr>
          <w:rFonts w:ascii="Arial" w:hAnsi="Arial" w:cs="Arial"/>
        </w:rPr>
      </w:pPr>
      <w:r w:rsidRPr="000A086E">
        <w:rPr>
          <w:rFonts w:ascii="Arial" w:hAnsi="Arial" w:cs="Arial"/>
        </w:rPr>
        <w:t>Urban Heights can reduce its biggest financial risks and ensure a more resilient future by concentrating on cost control, improving client retention, and repositioning itself in the market. Restoring competitiveness and financial health requires putting these principles into practice, which also offers a strong foundation for long-term sustainability.</w:t>
      </w:r>
    </w:p>
    <w:p w14:paraId="3AB37AC1" w14:textId="3BB7D4D1" w:rsidR="009E2326" w:rsidRPr="009E2326" w:rsidRDefault="00DB68D7" w:rsidP="00250C10">
      <w:pPr>
        <w:pStyle w:val="Heading1"/>
        <w:rPr>
          <w:rFonts w:ascii="Arial" w:hAnsi="Arial" w:cs="Arial"/>
          <w:b/>
          <w:bCs/>
          <w:color w:val="156082" w:themeColor="accent1"/>
          <w:sz w:val="28"/>
          <w:szCs w:val="28"/>
        </w:rPr>
      </w:pPr>
      <w:bookmarkStart w:id="8" w:name="_Toc181922152"/>
      <w:r w:rsidRPr="00DB68D7">
        <w:rPr>
          <w:rFonts w:ascii="Arial" w:hAnsi="Arial" w:cs="Arial"/>
          <w:b/>
          <w:bCs/>
          <w:color w:val="156082" w:themeColor="accent1"/>
          <w:sz w:val="28"/>
          <w:szCs w:val="28"/>
        </w:rPr>
        <w:lastRenderedPageBreak/>
        <w:t>Conclusion and Recommendations</w:t>
      </w:r>
      <w:bookmarkEnd w:id="8"/>
      <w:r w:rsidRPr="00DB68D7">
        <w:rPr>
          <w:rFonts w:ascii="Arial" w:hAnsi="Arial" w:cs="Arial"/>
          <w:b/>
          <w:bCs/>
          <w:color w:val="156082" w:themeColor="accent1"/>
          <w:sz w:val="28"/>
          <w:szCs w:val="28"/>
        </w:rPr>
        <w:t xml:space="preserve"> </w:t>
      </w:r>
    </w:p>
    <w:p w14:paraId="647B7A86" w14:textId="77777777" w:rsidR="000A086E" w:rsidRPr="000A086E" w:rsidRDefault="000A086E" w:rsidP="000A086E">
      <w:pPr>
        <w:spacing w:before="240" w:line="360" w:lineRule="auto"/>
        <w:jc w:val="both"/>
        <w:rPr>
          <w:rFonts w:ascii="Arial" w:hAnsi="Arial" w:cs="Arial"/>
        </w:rPr>
      </w:pPr>
      <w:r w:rsidRPr="000A086E">
        <w:rPr>
          <w:rFonts w:ascii="Arial" w:hAnsi="Arial" w:cs="Arial"/>
        </w:rPr>
        <w:t>The Urban Heights Hotel has had sharp drops in profitability, liquidity, and solvency during the last three years, indicating serious financial issues. The hotel is in an unstable situation as a result of rising operating expenses, falling occupancy rates, and outside economic pressures. To stabilise finances, regain competitiveness, and ensure long-term survival, a thorough turnaround plan is necessary. The hotel's financial situation has been examined in this study, and practical solutions that are suited to Urban Heights' particular requirements and the state of the market have been found.</w:t>
      </w:r>
    </w:p>
    <w:p w14:paraId="48CFB1E0" w14:textId="77777777" w:rsidR="009E2326" w:rsidRPr="009E2326" w:rsidRDefault="009E2326" w:rsidP="00747C8F">
      <w:pPr>
        <w:spacing w:before="240" w:line="360" w:lineRule="auto"/>
        <w:jc w:val="both"/>
        <w:rPr>
          <w:rFonts w:ascii="Arial" w:hAnsi="Arial" w:cs="Arial"/>
          <w:b/>
          <w:bCs/>
        </w:rPr>
      </w:pPr>
      <w:r w:rsidRPr="009E2326">
        <w:rPr>
          <w:rFonts w:ascii="Arial" w:hAnsi="Arial" w:cs="Arial"/>
          <w:b/>
          <w:bCs/>
        </w:rPr>
        <w:t>Key Recommendations</w:t>
      </w:r>
    </w:p>
    <w:p w14:paraId="6B2F708C" w14:textId="3448F5A8" w:rsidR="000A086E" w:rsidRPr="00250C10" w:rsidRDefault="000A086E" w:rsidP="000A086E">
      <w:pPr>
        <w:numPr>
          <w:ilvl w:val="0"/>
          <w:numId w:val="10"/>
        </w:numPr>
        <w:spacing w:before="240" w:line="360" w:lineRule="auto"/>
        <w:jc w:val="both"/>
        <w:rPr>
          <w:rFonts w:ascii="Arial" w:hAnsi="Arial" w:cs="Arial"/>
          <w:b/>
          <w:bCs/>
        </w:rPr>
      </w:pPr>
      <w:r w:rsidRPr="00250C10">
        <w:rPr>
          <w:rFonts w:ascii="Arial" w:hAnsi="Arial" w:cs="Arial"/>
          <w:b/>
          <w:bCs/>
        </w:rPr>
        <w:t xml:space="preserve">Cost Reduction: </w:t>
      </w:r>
      <w:r w:rsidRPr="00250C10">
        <w:rPr>
          <w:rFonts w:ascii="Arial" w:hAnsi="Arial" w:cs="Arial"/>
        </w:rPr>
        <w:t>Urban Heights should prioritise installing energy-efficient equipment, including LED lighting and smart thermostats, to reduce utility expenses by an estimated 10–15% yearly, given the significant impact that rising operating costs have on profitability (Kotas, 1999). Renegotiating supplier contracts and taking advantage of bulk purchase agreements are two other ways to save expenses related to high-consumption goods. When combined, these actions will assist increase cash flow, which will enable the hotel to put savings back into crucial departments like marketing and customer service.</w:t>
      </w:r>
    </w:p>
    <w:p w14:paraId="3810F291" w14:textId="487E198F" w:rsidR="000A086E" w:rsidRPr="00250C10" w:rsidRDefault="000A086E" w:rsidP="000A086E">
      <w:pPr>
        <w:numPr>
          <w:ilvl w:val="0"/>
          <w:numId w:val="10"/>
        </w:numPr>
        <w:spacing w:before="240" w:line="360" w:lineRule="auto"/>
        <w:jc w:val="both"/>
        <w:rPr>
          <w:rFonts w:ascii="Arial" w:hAnsi="Arial" w:cs="Arial"/>
        </w:rPr>
      </w:pPr>
      <w:r w:rsidRPr="00250C10">
        <w:rPr>
          <w:rFonts w:ascii="Arial" w:hAnsi="Arial" w:cs="Arial"/>
          <w:b/>
          <w:bCs/>
        </w:rPr>
        <w:t>Customer Retention Initiatives:</w:t>
      </w:r>
      <w:r w:rsidRPr="00250C10">
        <w:rPr>
          <w:rFonts w:ascii="Arial" w:hAnsi="Arial" w:cs="Arial"/>
        </w:rPr>
        <w:t xml:space="preserve"> Stabilising revenue requires increasing customer happiness and loyalty. Establishing a loyalty program that offers discounts or special advantages for recurring reservations may boost retention by 20% to 30% (Woods &amp; King, 2010). </w:t>
      </w:r>
      <w:r w:rsidRPr="00250C10">
        <w:rPr>
          <w:rFonts w:ascii="Arial" w:eastAsia="Times New Roman" w:hAnsi="Arial" w:cs="Arial"/>
          <w:color w:val="000000"/>
          <w:kern w:val="0"/>
          <w:sz w:val="27"/>
          <w:szCs w:val="27"/>
          <w:lang w:eastAsia="en-GB"/>
          <w14:ligatures w14:val="none"/>
        </w:rPr>
        <w:t>Improved customer retention will lower the expenses of continuously bringing in new clients, increase the stability of the income base, and lessen the risks associated with varying occupancy rates.</w:t>
      </w:r>
    </w:p>
    <w:p w14:paraId="7F60272B" w14:textId="0565679C" w:rsidR="000A086E" w:rsidRPr="00250C10" w:rsidRDefault="000A086E" w:rsidP="000A086E">
      <w:pPr>
        <w:numPr>
          <w:ilvl w:val="0"/>
          <w:numId w:val="10"/>
        </w:numPr>
        <w:spacing w:before="240" w:line="360" w:lineRule="auto"/>
        <w:jc w:val="both"/>
        <w:rPr>
          <w:rFonts w:ascii="Arial" w:hAnsi="Arial" w:cs="Arial"/>
        </w:rPr>
      </w:pPr>
      <w:r w:rsidRPr="00250C10">
        <w:rPr>
          <w:rFonts w:ascii="Arial" w:eastAsia="Times New Roman" w:hAnsi="Arial" w:cs="Arial"/>
          <w:b/>
          <w:bCs/>
          <w:color w:val="000000"/>
          <w:kern w:val="0"/>
          <w:sz w:val="27"/>
          <w:szCs w:val="27"/>
          <w:lang w:eastAsia="en-GB"/>
          <w14:ligatures w14:val="none"/>
        </w:rPr>
        <w:t>Revenue management and market repositioning:</w:t>
      </w:r>
      <w:r w:rsidRPr="00250C10">
        <w:rPr>
          <w:rFonts w:ascii="Arial" w:eastAsia="Times New Roman" w:hAnsi="Arial" w:cs="Arial"/>
          <w:color w:val="000000"/>
          <w:kern w:val="0"/>
          <w:sz w:val="27"/>
          <w:szCs w:val="27"/>
          <w:lang w:eastAsia="en-GB"/>
          <w14:ligatures w14:val="none"/>
        </w:rPr>
        <w:t xml:space="preserve"> Urban Heights could implement a hybrid price plan that targets budget-conscious tourists while upholding quality standards in order to draw in a wider market segment and maximise income. The hotel can maximise revenue, particularly during peak hours, by using Bowman's Strategy </w:t>
      </w:r>
      <w:r w:rsidRPr="00250C10">
        <w:rPr>
          <w:rFonts w:ascii="Arial" w:eastAsia="Times New Roman" w:hAnsi="Arial" w:cs="Arial"/>
          <w:color w:val="000000"/>
          <w:kern w:val="0"/>
          <w:sz w:val="27"/>
          <w:szCs w:val="27"/>
          <w:lang w:eastAsia="en-GB"/>
          <w14:ligatures w14:val="none"/>
        </w:rPr>
        <w:lastRenderedPageBreak/>
        <w:t>Clock for pricing and putting in place dynamic pricing models that modify room prices based on demand (Slack et al., 2019). In addition to resolving existing occupancy issues, this strategy puts Urban Heights in a better position to compete in a market where consumers are price conscious.</w:t>
      </w:r>
    </w:p>
    <w:p w14:paraId="2962C3C6" w14:textId="77777777" w:rsidR="009E2326" w:rsidRPr="009E2326" w:rsidRDefault="009E2326" w:rsidP="00250C10">
      <w:pPr>
        <w:pStyle w:val="Heading1"/>
        <w:rPr>
          <w:rFonts w:ascii="Arial" w:hAnsi="Arial" w:cs="Arial"/>
          <w:b/>
          <w:bCs/>
          <w:color w:val="156082" w:themeColor="accent1"/>
          <w:sz w:val="28"/>
          <w:szCs w:val="28"/>
        </w:rPr>
      </w:pPr>
      <w:bookmarkStart w:id="9" w:name="_Toc181922153"/>
      <w:r w:rsidRPr="009E2326">
        <w:rPr>
          <w:rFonts w:ascii="Arial" w:hAnsi="Arial" w:cs="Arial"/>
          <w:b/>
          <w:bCs/>
          <w:color w:val="156082" w:themeColor="accent1"/>
          <w:sz w:val="28"/>
          <w:szCs w:val="28"/>
        </w:rPr>
        <w:t>Implementation and Monitoring</w:t>
      </w:r>
      <w:bookmarkEnd w:id="9"/>
    </w:p>
    <w:p w14:paraId="75D71F42" w14:textId="55603569" w:rsidR="001309DE" w:rsidRPr="00250C10" w:rsidRDefault="006D5249" w:rsidP="00747C8F">
      <w:pPr>
        <w:spacing w:before="240" w:line="360" w:lineRule="auto"/>
        <w:jc w:val="both"/>
        <w:rPr>
          <w:rFonts w:ascii="Arial" w:hAnsi="Arial" w:cs="Arial"/>
        </w:rPr>
      </w:pPr>
      <w:r w:rsidRPr="006D5249">
        <w:rPr>
          <w:rFonts w:ascii="Arial" w:hAnsi="Arial" w:cs="Arial"/>
        </w:rPr>
        <w:t>To guarantee that these strategies successfully solve Urban Heights' financial difficulties, regular monitoring and assessment are necessary. Setting performance measures for every suggestion is crucial for adjusting tactics as market conditions change. Examples of these metrics include measuring retention rates through loyalty program participation or tracking cost savings from energy-efficient upgrades.</w:t>
      </w:r>
      <w:r w:rsidRPr="006D5249">
        <w:rPr>
          <w:rFonts w:ascii="Arial" w:hAnsi="Arial" w:cs="Arial"/>
        </w:rPr>
        <w:br/>
        <w:t>Urban Heights can reduce short-term financial risks, improve its competitiveness, and provide a solid basis for long-term growth in a difficult economic climate by implementing these suggestions (Evans et al., 2003).</w:t>
      </w:r>
    </w:p>
    <w:p w14:paraId="50DEA344" w14:textId="77777777" w:rsidR="001309DE" w:rsidRPr="00250C10" w:rsidRDefault="001309DE" w:rsidP="00747C8F">
      <w:pPr>
        <w:spacing w:before="240" w:line="360" w:lineRule="auto"/>
        <w:jc w:val="both"/>
        <w:rPr>
          <w:rFonts w:ascii="Arial" w:hAnsi="Arial" w:cs="Arial"/>
        </w:rPr>
      </w:pPr>
    </w:p>
    <w:p w14:paraId="3337AEDB" w14:textId="2944CD1E" w:rsidR="009E2326" w:rsidRPr="00250C10" w:rsidRDefault="00747C8F" w:rsidP="00250C10">
      <w:pPr>
        <w:pStyle w:val="Heading1"/>
        <w:rPr>
          <w:rFonts w:ascii="Arial" w:hAnsi="Arial" w:cs="Arial"/>
          <w:b/>
          <w:bCs/>
          <w:color w:val="156082" w:themeColor="accent1"/>
          <w:sz w:val="28"/>
          <w:szCs w:val="28"/>
        </w:rPr>
      </w:pPr>
      <w:bookmarkStart w:id="10" w:name="_Toc181922154"/>
      <w:r w:rsidRPr="00250C10">
        <w:rPr>
          <w:rFonts w:ascii="Arial" w:hAnsi="Arial" w:cs="Arial"/>
          <w:b/>
          <w:bCs/>
          <w:color w:val="156082" w:themeColor="accent1"/>
          <w:sz w:val="28"/>
          <w:szCs w:val="28"/>
        </w:rPr>
        <w:t>References list:</w:t>
      </w:r>
      <w:bookmarkEnd w:id="10"/>
    </w:p>
    <w:p w14:paraId="5ED07CE7" w14:textId="77777777" w:rsidR="009E2326" w:rsidRPr="009E2326" w:rsidRDefault="009E2326" w:rsidP="00747C8F">
      <w:pPr>
        <w:spacing w:before="240" w:line="360" w:lineRule="auto"/>
        <w:jc w:val="both"/>
        <w:rPr>
          <w:rFonts w:ascii="Arial" w:hAnsi="Arial" w:cs="Arial"/>
        </w:rPr>
      </w:pPr>
      <w:r w:rsidRPr="009E2326">
        <w:rPr>
          <w:rFonts w:ascii="Arial" w:hAnsi="Arial" w:cs="Arial"/>
        </w:rPr>
        <w:t>Atrill, P. and McLaney, E. (2021) </w:t>
      </w:r>
      <w:r w:rsidRPr="009E2326">
        <w:rPr>
          <w:rFonts w:ascii="Arial" w:hAnsi="Arial" w:cs="Arial"/>
          <w:i/>
          <w:iCs/>
        </w:rPr>
        <w:t>Management accounting for decision makers</w:t>
      </w:r>
      <w:r w:rsidRPr="009E2326">
        <w:rPr>
          <w:rFonts w:ascii="Arial" w:hAnsi="Arial" w:cs="Arial"/>
        </w:rPr>
        <w:t>. 10th edn. Harlow: Pearson Education.</w:t>
      </w:r>
    </w:p>
    <w:p w14:paraId="7F5483FA" w14:textId="77777777" w:rsidR="009E2326" w:rsidRPr="009E2326" w:rsidRDefault="009E2326" w:rsidP="00747C8F">
      <w:pPr>
        <w:spacing w:before="240" w:line="360" w:lineRule="auto"/>
        <w:jc w:val="both"/>
        <w:rPr>
          <w:rFonts w:ascii="Arial" w:hAnsi="Arial" w:cs="Arial"/>
        </w:rPr>
      </w:pPr>
      <w:r w:rsidRPr="009E2326">
        <w:rPr>
          <w:rFonts w:ascii="Arial" w:hAnsi="Arial" w:cs="Arial"/>
        </w:rPr>
        <w:t>Drury, C. (2021) </w:t>
      </w:r>
      <w:r w:rsidRPr="009E2326">
        <w:rPr>
          <w:rFonts w:ascii="Arial" w:hAnsi="Arial" w:cs="Arial"/>
          <w:i/>
          <w:iCs/>
        </w:rPr>
        <w:t>Management and cost accounting</w:t>
      </w:r>
      <w:r w:rsidRPr="009E2326">
        <w:rPr>
          <w:rFonts w:ascii="Arial" w:hAnsi="Arial" w:cs="Arial"/>
        </w:rPr>
        <w:t>. 11th edn. Andover: Cengage Learning.</w:t>
      </w:r>
    </w:p>
    <w:p w14:paraId="68581AC2" w14:textId="77777777" w:rsidR="009E2326" w:rsidRPr="009E2326" w:rsidRDefault="009E2326" w:rsidP="00747C8F">
      <w:pPr>
        <w:spacing w:before="240" w:line="360" w:lineRule="auto"/>
        <w:jc w:val="both"/>
        <w:rPr>
          <w:rFonts w:ascii="Arial" w:hAnsi="Arial" w:cs="Arial"/>
        </w:rPr>
      </w:pPr>
      <w:r w:rsidRPr="009E2326">
        <w:rPr>
          <w:rFonts w:ascii="Arial" w:hAnsi="Arial" w:cs="Arial"/>
        </w:rPr>
        <w:t>Evans, N., Campbell, D. and Stonehouse, G. (2003) </w:t>
      </w:r>
      <w:r w:rsidRPr="009E2326">
        <w:rPr>
          <w:rFonts w:ascii="Arial" w:hAnsi="Arial" w:cs="Arial"/>
          <w:i/>
          <w:iCs/>
        </w:rPr>
        <w:t>Strategic management for travel and tourism</w:t>
      </w:r>
      <w:r w:rsidRPr="009E2326">
        <w:rPr>
          <w:rFonts w:ascii="Arial" w:hAnsi="Arial" w:cs="Arial"/>
        </w:rPr>
        <w:t>. Oxford: Butterworth-Heinemann.</w:t>
      </w:r>
    </w:p>
    <w:p w14:paraId="170777F2" w14:textId="77777777" w:rsidR="009E2326" w:rsidRPr="009E2326" w:rsidRDefault="009E2326" w:rsidP="00747C8F">
      <w:pPr>
        <w:spacing w:before="240" w:line="360" w:lineRule="auto"/>
        <w:jc w:val="both"/>
        <w:rPr>
          <w:rFonts w:ascii="Arial" w:hAnsi="Arial" w:cs="Arial"/>
        </w:rPr>
      </w:pPr>
      <w:r w:rsidRPr="009E2326">
        <w:rPr>
          <w:rFonts w:ascii="Arial" w:hAnsi="Arial" w:cs="Arial"/>
        </w:rPr>
        <w:t>Guilding, C. (2014) </w:t>
      </w:r>
      <w:r w:rsidRPr="009E2326">
        <w:rPr>
          <w:rFonts w:ascii="Arial" w:hAnsi="Arial" w:cs="Arial"/>
          <w:i/>
          <w:iCs/>
        </w:rPr>
        <w:t>Accounting essentials for hospitality managers</w:t>
      </w:r>
      <w:r w:rsidRPr="009E2326">
        <w:rPr>
          <w:rFonts w:ascii="Arial" w:hAnsi="Arial" w:cs="Arial"/>
        </w:rPr>
        <w:t>. 3rd edn. Abingdon: Routledge.</w:t>
      </w:r>
    </w:p>
    <w:p w14:paraId="14912EDF" w14:textId="77777777" w:rsidR="009E2326" w:rsidRPr="009E2326" w:rsidRDefault="009E2326" w:rsidP="00747C8F">
      <w:pPr>
        <w:spacing w:before="240" w:line="360" w:lineRule="auto"/>
        <w:jc w:val="both"/>
        <w:rPr>
          <w:rFonts w:ascii="Arial" w:hAnsi="Arial" w:cs="Arial"/>
        </w:rPr>
      </w:pPr>
      <w:r w:rsidRPr="009E2326">
        <w:rPr>
          <w:rFonts w:ascii="Arial" w:hAnsi="Arial" w:cs="Arial"/>
        </w:rPr>
        <w:t>Jones, P. and Lockwood, A. (2004) </w:t>
      </w:r>
      <w:r w:rsidRPr="009E2326">
        <w:rPr>
          <w:rFonts w:ascii="Arial" w:hAnsi="Arial" w:cs="Arial"/>
          <w:i/>
          <w:iCs/>
        </w:rPr>
        <w:t>The management of hotel operations</w:t>
      </w:r>
      <w:r w:rsidRPr="009E2326">
        <w:rPr>
          <w:rFonts w:ascii="Arial" w:hAnsi="Arial" w:cs="Arial"/>
        </w:rPr>
        <w:t>. London: Thomson Learning.</w:t>
      </w:r>
    </w:p>
    <w:p w14:paraId="20BFDE15" w14:textId="77777777" w:rsidR="009E2326" w:rsidRPr="009E2326" w:rsidRDefault="009E2326" w:rsidP="00747C8F">
      <w:pPr>
        <w:spacing w:before="240" w:line="360" w:lineRule="auto"/>
        <w:jc w:val="both"/>
        <w:rPr>
          <w:rFonts w:ascii="Arial" w:hAnsi="Arial" w:cs="Arial"/>
        </w:rPr>
      </w:pPr>
      <w:r w:rsidRPr="009E2326">
        <w:rPr>
          <w:rFonts w:ascii="Arial" w:hAnsi="Arial" w:cs="Arial"/>
        </w:rPr>
        <w:lastRenderedPageBreak/>
        <w:t>Kotas, R. (1999) </w:t>
      </w:r>
      <w:r w:rsidRPr="009E2326">
        <w:rPr>
          <w:rFonts w:ascii="Arial" w:hAnsi="Arial" w:cs="Arial"/>
          <w:i/>
          <w:iCs/>
        </w:rPr>
        <w:t>Management accounting for hospitality and tourism</w:t>
      </w:r>
      <w:r w:rsidRPr="009E2326">
        <w:rPr>
          <w:rFonts w:ascii="Arial" w:hAnsi="Arial" w:cs="Arial"/>
        </w:rPr>
        <w:t>. 3rd edn. Andover: Cengage Learning EMEA.</w:t>
      </w:r>
    </w:p>
    <w:p w14:paraId="7BB78086" w14:textId="77777777" w:rsidR="009E2326" w:rsidRPr="009E2326" w:rsidRDefault="009E2326" w:rsidP="00747C8F">
      <w:pPr>
        <w:spacing w:before="240" w:line="360" w:lineRule="auto"/>
        <w:jc w:val="both"/>
        <w:rPr>
          <w:rFonts w:ascii="Arial" w:hAnsi="Arial" w:cs="Arial"/>
        </w:rPr>
      </w:pPr>
      <w:r w:rsidRPr="009E2326">
        <w:rPr>
          <w:rFonts w:ascii="Arial" w:hAnsi="Arial" w:cs="Arial"/>
        </w:rPr>
        <w:t>Morrison, A. M. (2018) </w:t>
      </w:r>
      <w:r w:rsidRPr="009E2326">
        <w:rPr>
          <w:rFonts w:ascii="Arial" w:hAnsi="Arial" w:cs="Arial"/>
          <w:i/>
          <w:iCs/>
        </w:rPr>
        <w:t>Marketing and managing tourism destinations</w:t>
      </w:r>
      <w:r w:rsidRPr="009E2326">
        <w:rPr>
          <w:rFonts w:ascii="Arial" w:hAnsi="Arial" w:cs="Arial"/>
        </w:rPr>
        <w:t>. 2nd edn. Abingdon: Routledge.</w:t>
      </w:r>
    </w:p>
    <w:p w14:paraId="49CA9E06" w14:textId="77777777" w:rsidR="009E2326" w:rsidRPr="009E2326" w:rsidRDefault="009E2326" w:rsidP="00747C8F">
      <w:pPr>
        <w:spacing w:before="240" w:line="360" w:lineRule="auto"/>
        <w:jc w:val="both"/>
        <w:rPr>
          <w:rFonts w:ascii="Arial" w:hAnsi="Arial" w:cs="Arial"/>
        </w:rPr>
      </w:pPr>
      <w:r w:rsidRPr="009E2326">
        <w:rPr>
          <w:rFonts w:ascii="Arial" w:hAnsi="Arial" w:cs="Arial"/>
        </w:rPr>
        <w:t>Pizam, A. (ed.) (2010) </w:t>
      </w:r>
      <w:r w:rsidRPr="009E2326">
        <w:rPr>
          <w:rFonts w:ascii="Arial" w:hAnsi="Arial" w:cs="Arial"/>
          <w:i/>
          <w:iCs/>
        </w:rPr>
        <w:t>International encyclopedia of hospitality management</w:t>
      </w:r>
      <w:r w:rsidRPr="009E2326">
        <w:rPr>
          <w:rFonts w:ascii="Arial" w:hAnsi="Arial" w:cs="Arial"/>
        </w:rPr>
        <w:t>. 2nd edn. Oxford: Butterworth-Heinemann.</w:t>
      </w:r>
    </w:p>
    <w:p w14:paraId="7D1D2411" w14:textId="77777777" w:rsidR="009E2326" w:rsidRPr="009E2326" w:rsidRDefault="009E2326" w:rsidP="00747C8F">
      <w:pPr>
        <w:spacing w:before="240" w:line="360" w:lineRule="auto"/>
        <w:jc w:val="both"/>
        <w:rPr>
          <w:rFonts w:ascii="Arial" w:hAnsi="Arial" w:cs="Arial"/>
        </w:rPr>
      </w:pPr>
      <w:r w:rsidRPr="009E2326">
        <w:rPr>
          <w:rFonts w:ascii="Arial" w:hAnsi="Arial" w:cs="Arial"/>
        </w:rPr>
        <w:t>Rutherford, D. G. and O'Fallon, M. J. (2011) </w:t>
      </w:r>
      <w:r w:rsidRPr="009E2326">
        <w:rPr>
          <w:rFonts w:ascii="Arial" w:hAnsi="Arial" w:cs="Arial"/>
          <w:i/>
          <w:iCs/>
        </w:rPr>
        <w:t>Hotel management and operations</w:t>
      </w:r>
      <w:r w:rsidRPr="009E2326">
        <w:rPr>
          <w:rFonts w:ascii="Arial" w:hAnsi="Arial" w:cs="Arial"/>
        </w:rPr>
        <w:t>. 5th edn. Hoboken: Wiley.</w:t>
      </w:r>
    </w:p>
    <w:p w14:paraId="61FDA2D9" w14:textId="77777777" w:rsidR="009E2326" w:rsidRPr="009E2326" w:rsidRDefault="009E2326" w:rsidP="00747C8F">
      <w:pPr>
        <w:spacing w:before="240" w:line="360" w:lineRule="auto"/>
        <w:jc w:val="both"/>
        <w:rPr>
          <w:rFonts w:ascii="Arial" w:hAnsi="Arial" w:cs="Arial"/>
        </w:rPr>
      </w:pPr>
      <w:r w:rsidRPr="009E2326">
        <w:rPr>
          <w:rFonts w:ascii="Arial" w:hAnsi="Arial" w:cs="Arial"/>
        </w:rPr>
        <w:t>Schmidgall, R. S. (2016) </w:t>
      </w:r>
      <w:r w:rsidRPr="009E2326">
        <w:rPr>
          <w:rFonts w:ascii="Arial" w:hAnsi="Arial" w:cs="Arial"/>
          <w:i/>
          <w:iCs/>
        </w:rPr>
        <w:t>Hospitality industry managerial accounting</w:t>
      </w:r>
      <w:r w:rsidRPr="009E2326">
        <w:rPr>
          <w:rFonts w:ascii="Arial" w:hAnsi="Arial" w:cs="Arial"/>
        </w:rPr>
        <w:t>. 8th edn. Educational Institute of the American Hotel and Lodging Association.</w:t>
      </w:r>
    </w:p>
    <w:p w14:paraId="5A5D56A4" w14:textId="77777777" w:rsidR="009E2326" w:rsidRPr="009E2326" w:rsidRDefault="009E2326" w:rsidP="00747C8F">
      <w:pPr>
        <w:spacing w:before="240" w:line="360" w:lineRule="auto"/>
        <w:jc w:val="both"/>
        <w:rPr>
          <w:rFonts w:ascii="Arial" w:hAnsi="Arial" w:cs="Arial"/>
        </w:rPr>
      </w:pPr>
      <w:r w:rsidRPr="009E2326">
        <w:rPr>
          <w:rFonts w:ascii="Arial" w:hAnsi="Arial" w:cs="Arial"/>
        </w:rPr>
        <w:t>Seal, W., Garrison, R. H. and Noreen, E. (2008) </w:t>
      </w:r>
      <w:r w:rsidRPr="009E2326">
        <w:rPr>
          <w:rFonts w:ascii="Arial" w:hAnsi="Arial" w:cs="Arial"/>
          <w:i/>
          <w:iCs/>
        </w:rPr>
        <w:t>Management accounting</w:t>
      </w:r>
      <w:r w:rsidRPr="009E2326">
        <w:rPr>
          <w:rFonts w:ascii="Arial" w:hAnsi="Arial" w:cs="Arial"/>
        </w:rPr>
        <w:t>. 3rd edn. Maidenhead: McGraw-Hill Education.</w:t>
      </w:r>
    </w:p>
    <w:p w14:paraId="49D1BC6D" w14:textId="77777777" w:rsidR="009E2326" w:rsidRPr="009E2326" w:rsidRDefault="009E2326" w:rsidP="00747C8F">
      <w:pPr>
        <w:spacing w:before="240" w:line="360" w:lineRule="auto"/>
        <w:jc w:val="both"/>
        <w:rPr>
          <w:rFonts w:ascii="Arial" w:hAnsi="Arial" w:cs="Arial"/>
        </w:rPr>
      </w:pPr>
      <w:r w:rsidRPr="009E2326">
        <w:rPr>
          <w:rFonts w:ascii="Arial" w:hAnsi="Arial" w:cs="Arial"/>
        </w:rPr>
        <w:t>Slack, N., Brandon-Jones, A. and Johnston, R. (2019) </w:t>
      </w:r>
      <w:r w:rsidRPr="009E2326">
        <w:rPr>
          <w:rFonts w:ascii="Arial" w:hAnsi="Arial" w:cs="Arial"/>
          <w:i/>
          <w:iCs/>
        </w:rPr>
        <w:t>Operations management</w:t>
      </w:r>
      <w:r w:rsidRPr="009E2326">
        <w:rPr>
          <w:rFonts w:ascii="Arial" w:hAnsi="Arial" w:cs="Arial"/>
        </w:rPr>
        <w:t>. 9th edn. Harlow: Pearson Education.</w:t>
      </w:r>
    </w:p>
    <w:p w14:paraId="0E367C30" w14:textId="77777777" w:rsidR="009E2326" w:rsidRPr="009E2326" w:rsidRDefault="009E2326" w:rsidP="00747C8F">
      <w:pPr>
        <w:spacing w:before="240" w:line="360" w:lineRule="auto"/>
        <w:jc w:val="both"/>
        <w:rPr>
          <w:rFonts w:ascii="Arial" w:hAnsi="Arial" w:cs="Arial"/>
        </w:rPr>
      </w:pPr>
      <w:r w:rsidRPr="009E2326">
        <w:rPr>
          <w:rFonts w:ascii="Arial" w:hAnsi="Arial" w:cs="Arial"/>
        </w:rPr>
        <w:t>Tranter, K. A., Stuart-Hill, T. and Parker, J. (2014) </w:t>
      </w:r>
      <w:r w:rsidRPr="009E2326">
        <w:rPr>
          <w:rFonts w:ascii="Arial" w:hAnsi="Arial" w:cs="Arial"/>
          <w:i/>
          <w:iCs/>
        </w:rPr>
        <w:t>An introduction to revenue management for the hospitality industry: principles and practices for the real world</w:t>
      </w:r>
      <w:r w:rsidRPr="009E2326">
        <w:rPr>
          <w:rFonts w:ascii="Arial" w:hAnsi="Arial" w:cs="Arial"/>
        </w:rPr>
        <w:t>. Harlow: Pearson Education.</w:t>
      </w:r>
    </w:p>
    <w:p w14:paraId="5B470811" w14:textId="77777777" w:rsidR="009E2326" w:rsidRPr="009E2326" w:rsidRDefault="009E2326" w:rsidP="00747C8F">
      <w:pPr>
        <w:spacing w:before="240" w:line="360" w:lineRule="auto"/>
        <w:jc w:val="both"/>
        <w:rPr>
          <w:rFonts w:ascii="Arial" w:hAnsi="Arial" w:cs="Arial"/>
        </w:rPr>
      </w:pPr>
      <w:r w:rsidRPr="009E2326">
        <w:rPr>
          <w:rFonts w:ascii="Arial" w:hAnsi="Arial" w:cs="Arial"/>
        </w:rPr>
        <w:t>Walker, J. R. (2021) </w:t>
      </w:r>
      <w:r w:rsidRPr="009E2326">
        <w:rPr>
          <w:rFonts w:ascii="Arial" w:hAnsi="Arial" w:cs="Arial"/>
          <w:i/>
          <w:iCs/>
        </w:rPr>
        <w:t>Introduction to hospitality</w:t>
      </w:r>
      <w:r w:rsidRPr="009E2326">
        <w:rPr>
          <w:rFonts w:ascii="Arial" w:hAnsi="Arial" w:cs="Arial"/>
        </w:rPr>
        <w:t>. 8th edn. Harlow: Pearson Education.</w:t>
      </w:r>
    </w:p>
    <w:p w14:paraId="4F0D4AB8" w14:textId="77777777" w:rsidR="009E2326" w:rsidRPr="009E2326" w:rsidRDefault="009E2326" w:rsidP="00747C8F">
      <w:pPr>
        <w:spacing w:before="240" w:line="360" w:lineRule="auto"/>
        <w:jc w:val="both"/>
        <w:rPr>
          <w:rFonts w:ascii="Arial" w:hAnsi="Arial" w:cs="Arial"/>
        </w:rPr>
      </w:pPr>
      <w:r w:rsidRPr="009E2326">
        <w:rPr>
          <w:rFonts w:ascii="Arial" w:hAnsi="Arial" w:cs="Arial"/>
        </w:rPr>
        <w:t>Wild, J. J., Shaw, K. W. and Chiappetta, B. (2018) </w:t>
      </w:r>
      <w:r w:rsidRPr="009E2326">
        <w:rPr>
          <w:rFonts w:ascii="Arial" w:hAnsi="Arial" w:cs="Arial"/>
          <w:i/>
          <w:iCs/>
        </w:rPr>
        <w:t>Fundamental accounting principles</w:t>
      </w:r>
      <w:r w:rsidRPr="009E2326">
        <w:rPr>
          <w:rFonts w:ascii="Arial" w:hAnsi="Arial" w:cs="Arial"/>
        </w:rPr>
        <w:t>. 24th edn. Maidenhead: McGraw-Hill Education.</w:t>
      </w:r>
    </w:p>
    <w:p w14:paraId="4BF846D1" w14:textId="77777777" w:rsidR="009E2326" w:rsidRPr="009E2326" w:rsidRDefault="009E2326" w:rsidP="00747C8F">
      <w:pPr>
        <w:spacing w:before="240" w:line="360" w:lineRule="auto"/>
        <w:jc w:val="both"/>
        <w:rPr>
          <w:rFonts w:ascii="Arial" w:hAnsi="Arial" w:cs="Arial"/>
        </w:rPr>
      </w:pPr>
      <w:r w:rsidRPr="009E2326">
        <w:rPr>
          <w:rFonts w:ascii="Arial" w:hAnsi="Arial" w:cs="Arial"/>
        </w:rPr>
        <w:t>Woods, R. H. and King, J. Z. (2010) </w:t>
      </w:r>
      <w:r w:rsidRPr="009E2326">
        <w:rPr>
          <w:rFonts w:ascii="Arial" w:hAnsi="Arial" w:cs="Arial"/>
          <w:i/>
          <w:iCs/>
        </w:rPr>
        <w:t>Leadership and management in the hospitality industry</w:t>
      </w:r>
      <w:r w:rsidRPr="009E2326">
        <w:rPr>
          <w:rFonts w:ascii="Arial" w:hAnsi="Arial" w:cs="Arial"/>
        </w:rPr>
        <w:t>. 3rd edn. Educational Institute of the American Hotel and Lodging Association.</w:t>
      </w:r>
    </w:p>
    <w:p w14:paraId="0EC18ED4" w14:textId="77777777" w:rsidR="009E2326" w:rsidRPr="009E2326" w:rsidRDefault="009E2326" w:rsidP="00747C8F">
      <w:pPr>
        <w:spacing w:before="240" w:line="360" w:lineRule="auto"/>
        <w:jc w:val="both"/>
        <w:rPr>
          <w:rFonts w:ascii="Arial" w:hAnsi="Arial" w:cs="Arial"/>
        </w:rPr>
      </w:pPr>
      <w:r w:rsidRPr="009E2326">
        <w:rPr>
          <w:rFonts w:ascii="Arial" w:hAnsi="Arial" w:cs="Arial"/>
        </w:rPr>
        <w:t>Yu, L. (1999) </w:t>
      </w:r>
      <w:r w:rsidRPr="009E2326">
        <w:rPr>
          <w:rFonts w:ascii="Arial" w:hAnsi="Arial" w:cs="Arial"/>
          <w:i/>
          <w:iCs/>
        </w:rPr>
        <w:t>The international hospitality business: management and operations</w:t>
      </w:r>
      <w:r w:rsidRPr="009E2326">
        <w:rPr>
          <w:rFonts w:ascii="Arial" w:hAnsi="Arial" w:cs="Arial"/>
        </w:rPr>
        <w:t>. Abingdon: Routledge.</w:t>
      </w:r>
    </w:p>
    <w:p w14:paraId="6212A7F7" w14:textId="77777777" w:rsidR="009E2326" w:rsidRPr="00250C10" w:rsidRDefault="009E2326" w:rsidP="00747C8F">
      <w:pPr>
        <w:spacing w:before="240" w:line="360" w:lineRule="auto"/>
        <w:jc w:val="both"/>
        <w:rPr>
          <w:rFonts w:ascii="Arial" w:hAnsi="Arial" w:cs="Arial"/>
        </w:rPr>
      </w:pPr>
    </w:p>
    <w:sectPr w:rsidR="009E2326" w:rsidRPr="00250C10" w:rsidSect="00B34709">
      <w:pgSz w:w="11901" w:h="16817"/>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F7319"/>
    <w:multiLevelType w:val="multilevel"/>
    <w:tmpl w:val="C2F23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BE34A7"/>
    <w:multiLevelType w:val="multilevel"/>
    <w:tmpl w:val="C2F23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E56CCF"/>
    <w:multiLevelType w:val="multilevel"/>
    <w:tmpl w:val="C2F23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0060F65"/>
    <w:multiLevelType w:val="multilevel"/>
    <w:tmpl w:val="814CA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5865A7"/>
    <w:multiLevelType w:val="multilevel"/>
    <w:tmpl w:val="C2F23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5AA440D"/>
    <w:multiLevelType w:val="multilevel"/>
    <w:tmpl w:val="C7E40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BB1099"/>
    <w:multiLevelType w:val="multilevel"/>
    <w:tmpl w:val="E86AA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1219D1"/>
    <w:multiLevelType w:val="multilevel"/>
    <w:tmpl w:val="2BCA5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5A185F"/>
    <w:multiLevelType w:val="multilevel"/>
    <w:tmpl w:val="6FEAD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553B52"/>
    <w:multiLevelType w:val="multilevel"/>
    <w:tmpl w:val="08226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6780440">
    <w:abstractNumId w:val="9"/>
  </w:num>
  <w:num w:numId="2" w16cid:durableId="382103369">
    <w:abstractNumId w:val="2"/>
  </w:num>
  <w:num w:numId="3" w16cid:durableId="831456864">
    <w:abstractNumId w:val="7"/>
  </w:num>
  <w:num w:numId="4" w16cid:durableId="2074884431">
    <w:abstractNumId w:val="4"/>
  </w:num>
  <w:num w:numId="5" w16cid:durableId="1388144950">
    <w:abstractNumId w:val="6"/>
  </w:num>
  <w:num w:numId="6" w16cid:durableId="1367632916">
    <w:abstractNumId w:val="0"/>
  </w:num>
  <w:num w:numId="7" w16cid:durableId="1527788252">
    <w:abstractNumId w:val="3"/>
  </w:num>
  <w:num w:numId="8" w16cid:durableId="583419379">
    <w:abstractNumId w:val="8"/>
  </w:num>
  <w:num w:numId="9" w16cid:durableId="778915252">
    <w:abstractNumId w:val="5"/>
  </w:num>
  <w:num w:numId="10" w16cid:durableId="9954577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035"/>
    <w:rsid w:val="00074444"/>
    <w:rsid w:val="000A086E"/>
    <w:rsid w:val="000C699F"/>
    <w:rsid w:val="001309DE"/>
    <w:rsid w:val="001B15CB"/>
    <w:rsid w:val="002251DA"/>
    <w:rsid w:val="00250C10"/>
    <w:rsid w:val="00253D77"/>
    <w:rsid w:val="0026575F"/>
    <w:rsid w:val="002962E0"/>
    <w:rsid w:val="002C18E8"/>
    <w:rsid w:val="002F495B"/>
    <w:rsid w:val="003616A5"/>
    <w:rsid w:val="00372676"/>
    <w:rsid w:val="004358BD"/>
    <w:rsid w:val="004A0DE5"/>
    <w:rsid w:val="0053003B"/>
    <w:rsid w:val="005723E6"/>
    <w:rsid w:val="0059540A"/>
    <w:rsid w:val="005E3A35"/>
    <w:rsid w:val="00674010"/>
    <w:rsid w:val="006B2759"/>
    <w:rsid w:val="006D5249"/>
    <w:rsid w:val="00747C8F"/>
    <w:rsid w:val="009117A3"/>
    <w:rsid w:val="00926654"/>
    <w:rsid w:val="009E2326"/>
    <w:rsid w:val="00A0419C"/>
    <w:rsid w:val="00A64472"/>
    <w:rsid w:val="00AA1C72"/>
    <w:rsid w:val="00B34709"/>
    <w:rsid w:val="00C062BB"/>
    <w:rsid w:val="00CE6617"/>
    <w:rsid w:val="00D350EC"/>
    <w:rsid w:val="00DA6035"/>
    <w:rsid w:val="00DB68D7"/>
    <w:rsid w:val="00DE13B7"/>
    <w:rsid w:val="00E107F6"/>
    <w:rsid w:val="00E475EC"/>
    <w:rsid w:val="00E62B62"/>
    <w:rsid w:val="00EC4BD4"/>
    <w:rsid w:val="00EF0AFA"/>
    <w:rsid w:val="00F71828"/>
    <w:rsid w:val="00FF7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F5733"/>
  <w15:chartTrackingRefBased/>
  <w15:docId w15:val="{C64E5A74-A9A2-A549-8F19-7F796D491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DA60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60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60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60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60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603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603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603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603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60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60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60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60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60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60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60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60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6035"/>
    <w:rPr>
      <w:rFonts w:eastAsiaTheme="majorEastAsia" w:cstheme="majorBidi"/>
      <w:color w:val="272727" w:themeColor="text1" w:themeTint="D8"/>
    </w:rPr>
  </w:style>
  <w:style w:type="paragraph" w:styleId="Title">
    <w:name w:val="Title"/>
    <w:basedOn w:val="Normal"/>
    <w:next w:val="Normal"/>
    <w:link w:val="TitleChar"/>
    <w:uiPriority w:val="10"/>
    <w:qFormat/>
    <w:rsid w:val="00DA603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60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603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60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603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A6035"/>
    <w:rPr>
      <w:rFonts w:eastAsiaTheme="minorEastAsia"/>
      <w:i/>
      <w:iCs/>
      <w:color w:val="404040" w:themeColor="text1" w:themeTint="BF"/>
    </w:rPr>
  </w:style>
  <w:style w:type="paragraph" w:styleId="ListParagraph">
    <w:name w:val="List Paragraph"/>
    <w:basedOn w:val="Normal"/>
    <w:uiPriority w:val="34"/>
    <w:qFormat/>
    <w:rsid w:val="00DA6035"/>
    <w:pPr>
      <w:ind w:left="720"/>
      <w:contextualSpacing/>
    </w:pPr>
  </w:style>
  <w:style w:type="character" w:styleId="IntenseEmphasis">
    <w:name w:val="Intense Emphasis"/>
    <w:basedOn w:val="DefaultParagraphFont"/>
    <w:uiPriority w:val="21"/>
    <w:qFormat/>
    <w:rsid w:val="00DA6035"/>
    <w:rPr>
      <w:i/>
      <w:iCs/>
      <w:color w:val="0F4761" w:themeColor="accent1" w:themeShade="BF"/>
    </w:rPr>
  </w:style>
  <w:style w:type="paragraph" w:styleId="IntenseQuote">
    <w:name w:val="Intense Quote"/>
    <w:basedOn w:val="Normal"/>
    <w:next w:val="Normal"/>
    <w:link w:val="IntenseQuoteChar"/>
    <w:uiPriority w:val="30"/>
    <w:qFormat/>
    <w:rsid w:val="00DA60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6035"/>
    <w:rPr>
      <w:rFonts w:eastAsiaTheme="minorEastAsia"/>
      <w:i/>
      <w:iCs/>
      <w:color w:val="0F4761" w:themeColor="accent1" w:themeShade="BF"/>
    </w:rPr>
  </w:style>
  <w:style w:type="character" w:styleId="IntenseReference">
    <w:name w:val="Intense Reference"/>
    <w:basedOn w:val="DefaultParagraphFont"/>
    <w:uiPriority w:val="32"/>
    <w:qFormat/>
    <w:rsid w:val="00DA6035"/>
    <w:rPr>
      <w:b/>
      <w:bCs/>
      <w:smallCaps/>
      <w:color w:val="0F4761" w:themeColor="accent1" w:themeShade="BF"/>
      <w:spacing w:val="5"/>
    </w:rPr>
  </w:style>
  <w:style w:type="table" w:styleId="GridTable4-Accent6">
    <w:name w:val="Grid Table 4 Accent 6"/>
    <w:basedOn w:val="TableNormal"/>
    <w:uiPriority w:val="49"/>
    <w:rsid w:val="004358BD"/>
    <w:rPr>
      <w:kern w:val="0"/>
      <w:sz w:val="22"/>
      <w:szCs w:val="22"/>
      <w14:ligatures w14:val="none"/>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1Light">
    <w:name w:val="Grid Table 1 Light"/>
    <w:basedOn w:val="TableNormal"/>
    <w:uiPriority w:val="46"/>
    <w:rsid w:val="00674010"/>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
    <w:name w:val="Grid Table 4"/>
    <w:basedOn w:val="TableNormal"/>
    <w:uiPriority w:val="49"/>
    <w:rsid w:val="0067401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2">
    <w:name w:val="Grid Table 4 Accent 2"/>
    <w:basedOn w:val="TableNormal"/>
    <w:uiPriority w:val="49"/>
    <w:rsid w:val="00674010"/>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2">
    <w:name w:val="Grid Table 5 Dark Accent 2"/>
    <w:basedOn w:val="TableNormal"/>
    <w:uiPriority w:val="50"/>
    <w:rsid w:val="0067401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paragraph" w:styleId="TOCHeading">
    <w:name w:val="TOC Heading"/>
    <w:basedOn w:val="Heading1"/>
    <w:next w:val="Normal"/>
    <w:uiPriority w:val="39"/>
    <w:unhideWhenUsed/>
    <w:qFormat/>
    <w:rsid w:val="002C18E8"/>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2C18E8"/>
    <w:pPr>
      <w:spacing w:before="120" w:after="120"/>
    </w:pPr>
    <w:rPr>
      <w:b/>
      <w:bCs/>
      <w:caps/>
      <w:sz w:val="20"/>
      <w:szCs w:val="20"/>
    </w:rPr>
  </w:style>
  <w:style w:type="character" w:styleId="Hyperlink">
    <w:name w:val="Hyperlink"/>
    <w:basedOn w:val="DefaultParagraphFont"/>
    <w:uiPriority w:val="99"/>
    <w:unhideWhenUsed/>
    <w:rsid w:val="002C18E8"/>
    <w:rPr>
      <w:color w:val="467886" w:themeColor="hyperlink"/>
      <w:u w:val="single"/>
    </w:rPr>
  </w:style>
  <w:style w:type="paragraph" w:styleId="TOC2">
    <w:name w:val="toc 2"/>
    <w:basedOn w:val="Normal"/>
    <w:next w:val="Normal"/>
    <w:autoRedefine/>
    <w:uiPriority w:val="39"/>
    <w:semiHidden/>
    <w:unhideWhenUsed/>
    <w:rsid w:val="002C18E8"/>
    <w:pPr>
      <w:ind w:left="240"/>
    </w:pPr>
    <w:rPr>
      <w:smallCaps/>
      <w:sz w:val="20"/>
      <w:szCs w:val="20"/>
    </w:rPr>
  </w:style>
  <w:style w:type="paragraph" w:styleId="TOC3">
    <w:name w:val="toc 3"/>
    <w:basedOn w:val="Normal"/>
    <w:next w:val="Normal"/>
    <w:autoRedefine/>
    <w:uiPriority w:val="39"/>
    <w:semiHidden/>
    <w:unhideWhenUsed/>
    <w:rsid w:val="002C18E8"/>
    <w:pPr>
      <w:ind w:left="480"/>
    </w:pPr>
    <w:rPr>
      <w:i/>
      <w:iCs/>
      <w:sz w:val="20"/>
      <w:szCs w:val="20"/>
    </w:rPr>
  </w:style>
  <w:style w:type="paragraph" w:styleId="TOC4">
    <w:name w:val="toc 4"/>
    <w:basedOn w:val="Normal"/>
    <w:next w:val="Normal"/>
    <w:autoRedefine/>
    <w:uiPriority w:val="39"/>
    <w:semiHidden/>
    <w:unhideWhenUsed/>
    <w:rsid w:val="002C18E8"/>
    <w:pPr>
      <w:ind w:left="720"/>
    </w:pPr>
    <w:rPr>
      <w:sz w:val="18"/>
      <w:szCs w:val="18"/>
    </w:rPr>
  </w:style>
  <w:style w:type="paragraph" w:styleId="TOC5">
    <w:name w:val="toc 5"/>
    <w:basedOn w:val="Normal"/>
    <w:next w:val="Normal"/>
    <w:autoRedefine/>
    <w:uiPriority w:val="39"/>
    <w:semiHidden/>
    <w:unhideWhenUsed/>
    <w:rsid w:val="002C18E8"/>
    <w:pPr>
      <w:ind w:left="960"/>
    </w:pPr>
    <w:rPr>
      <w:sz w:val="18"/>
      <w:szCs w:val="18"/>
    </w:rPr>
  </w:style>
  <w:style w:type="paragraph" w:styleId="TOC6">
    <w:name w:val="toc 6"/>
    <w:basedOn w:val="Normal"/>
    <w:next w:val="Normal"/>
    <w:autoRedefine/>
    <w:uiPriority w:val="39"/>
    <w:semiHidden/>
    <w:unhideWhenUsed/>
    <w:rsid w:val="002C18E8"/>
    <w:pPr>
      <w:ind w:left="1200"/>
    </w:pPr>
    <w:rPr>
      <w:sz w:val="18"/>
      <w:szCs w:val="18"/>
    </w:rPr>
  </w:style>
  <w:style w:type="paragraph" w:styleId="TOC7">
    <w:name w:val="toc 7"/>
    <w:basedOn w:val="Normal"/>
    <w:next w:val="Normal"/>
    <w:autoRedefine/>
    <w:uiPriority w:val="39"/>
    <w:semiHidden/>
    <w:unhideWhenUsed/>
    <w:rsid w:val="002C18E8"/>
    <w:pPr>
      <w:ind w:left="1440"/>
    </w:pPr>
    <w:rPr>
      <w:sz w:val="18"/>
      <w:szCs w:val="18"/>
    </w:rPr>
  </w:style>
  <w:style w:type="paragraph" w:styleId="TOC8">
    <w:name w:val="toc 8"/>
    <w:basedOn w:val="Normal"/>
    <w:next w:val="Normal"/>
    <w:autoRedefine/>
    <w:uiPriority w:val="39"/>
    <w:semiHidden/>
    <w:unhideWhenUsed/>
    <w:rsid w:val="002C18E8"/>
    <w:pPr>
      <w:ind w:left="1680"/>
    </w:pPr>
    <w:rPr>
      <w:sz w:val="18"/>
      <w:szCs w:val="18"/>
    </w:rPr>
  </w:style>
  <w:style w:type="paragraph" w:styleId="TOC9">
    <w:name w:val="toc 9"/>
    <w:basedOn w:val="Normal"/>
    <w:next w:val="Normal"/>
    <w:autoRedefine/>
    <w:uiPriority w:val="39"/>
    <w:semiHidden/>
    <w:unhideWhenUsed/>
    <w:rsid w:val="002C18E8"/>
    <w:pPr>
      <w:ind w:left="1920"/>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936329">
      <w:bodyDiv w:val="1"/>
      <w:marLeft w:val="0"/>
      <w:marRight w:val="0"/>
      <w:marTop w:val="0"/>
      <w:marBottom w:val="0"/>
      <w:divBdr>
        <w:top w:val="none" w:sz="0" w:space="0" w:color="auto"/>
        <w:left w:val="none" w:sz="0" w:space="0" w:color="auto"/>
        <w:bottom w:val="none" w:sz="0" w:space="0" w:color="auto"/>
        <w:right w:val="none" w:sz="0" w:space="0" w:color="auto"/>
      </w:divBdr>
    </w:div>
    <w:div w:id="91824584">
      <w:bodyDiv w:val="1"/>
      <w:marLeft w:val="0"/>
      <w:marRight w:val="0"/>
      <w:marTop w:val="0"/>
      <w:marBottom w:val="0"/>
      <w:divBdr>
        <w:top w:val="none" w:sz="0" w:space="0" w:color="auto"/>
        <w:left w:val="none" w:sz="0" w:space="0" w:color="auto"/>
        <w:bottom w:val="none" w:sz="0" w:space="0" w:color="auto"/>
        <w:right w:val="none" w:sz="0" w:space="0" w:color="auto"/>
      </w:divBdr>
    </w:div>
    <w:div w:id="106659708">
      <w:bodyDiv w:val="1"/>
      <w:marLeft w:val="0"/>
      <w:marRight w:val="0"/>
      <w:marTop w:val="0"/>
      <w:marBottom w:val="0"/>
      <w:divBdr>
        <w:top w:val="none" w:sz="0" w:space="0" w:color="auto"/>
        <w:left w:val="none" w:sz="0" w:space="0" w:color="auto"/>
        <w:bottom w:val="none" w:sz="0" w:space="0" w:color="auto"/>
        <w:right w:val="none" w:sz="0" w:space="0" w:color="auto"/>
      </w:divBdr>
    </w:div>
    <w:div w:id="110395279">
      <w:bodyDiv w:val="1"/>
      <w:marLeft w:val="0"/>
      <w:marRight w:val="0"/>
      <w:marTop w:val="0"/>
      <w:marBottom w:val="0"/>
      <w:divBdr>
        <w:top w:val="none" w:sz="0" w:space="0" w:color="auto"/>
        <w:left w:val="none" w:sz="0" w:space="0" w:color="auto"/>
        <w:bottom w:val="none" w:sz="0" w:space="0" w:color="auto"/>
        <w:right w:val="none" w:sz="0" w:space="0" w:color="auto"/>
      </w:divBdr>
    </w:div>
    <w:div w:id="119300098">
      <w:bodyDiv w:val="1"/>
      <w:marLeft w:val="0"/>
      <w:marRight w:val="0"/>
      <w:marTop w:val="0"/>
      <w:marBottom w:val="0"/>
      <w:divBdr>
        <w:top w:val="none" w:sz="0" w:space="0" w:color="auto"/>
        <w:left w:val="none" w:sz="0" w:space="0" w:color="auto"/>
        <w:bottom w:val="none" w:sz="0" w:space="0" w:color="auto"/>
        <w:right w:val="none" w:sz="0" w:space="0" w:color="auto"/>
      </w:divBdr>
    </w:div>
    <w:div w:id="119346482">
      <w:bodyDiv w:val="1"/>
      <w:marLeft w:val="0"/>
      <w:marRight w:val="0"/>
      <w:marTop w:val="0"/>
      <w:marBottom w:val="0"/>
      <w:divBdr>
        <w:top w:val="none" w:sz="0" w:space="0" w:color="auto"/>
        <w:left w:val="none" w:sz="0" w:space="0" w:color="auto"/>
        <w:bottom w:val="none" w:sz="0" w:space="0" w:color="auto"/>
        <w:right w:val="none" w:sz="0" w:space="0" w:color="auto"/>
      </w:divBdr>
    </w:div>
    <w:div w:id="161626357">
      <w:bodyDiv w:val="1"/>
      <w:marLeft w:val="0"/>
      <w:marRight w:val="0"/>
      <w:marTop w:val="0"/>
      <w:marBottom w:val="0"/>
      <w:divBdr>
        <w:top w:val="none" w:sz="0" w:space="0" w:color="auto"/>
        <w:left w:val="none" w:sz="0" w:space="0" w:color="auto"/>
        <w:bottom w:val="none" w:sz="0" w:space="0" w:color="auto"/>
        <w:right w:val="none" w:sz="0" w:space="0" w:color="auto"/>
      </w:divBdr>
    </w:div>
    <w:div w:id="166095435">
      <w:bodyDiv w:val="1"/>
      <w:marLeft w:val="0"/>
      <w:marRight w:val="0"/>
      <w:marTop w:val="0"/>
      <w:marBottom w:val="0"/>
      <w:divBdr>
        <w:top w:val="none" w:sz="0" w:space="0" w:color="auto"/>
        <w:left w:val="none" w:sz="0" w:space="0" w:color="auto"/>
        <w:bottom w:val="none" w:sz="0" w:space="0" w:color="auto"/>
        <w:right w:val="none" w:sz="0" w:space="0" w:color="auto"/>
      </w:divBdr>
    </w:div>
    <w:div w:id="183058452">
      <w:bodyDiv w:val="1"/>
      <w:marLeft w:val="0"/>
      <w:marRight w:val="0"/>
      <w:marTop w:val="0"/>
      <w:marBottom w:val="0"/>
      <w:divBdr>
        <w:top w:val="none" w:sz="0" w:space="0" w:color="auto"/>
        <w:left w:val="none" w:sz="0" w:space="0" w:color="auto"/>
        <w:bottom w:val="none" w:sz="0" w:space="0" w:color="auto"/>
        <w:right w:val="none" w:sz="0" w:space="0" w:color="auto"/>
      </w:divBdr>
    </w:div>
    <w:div w:id="186985596">
      <w:bodyDiv w:val="1"/>
      <w:marLeft w:val="0"/>
      <w:marRight w:val="0"/>
      <w:marTop w:val="0"/>
      <w:marBottom w:val="0"/>
      <w:divBdr>
        <w:top w:val="none" w:sz="0" w:space="0" w:color="auto"/>
        <w:left w:val="none" w:sz="0" w:space="0" w:color="auto"/>
        <w:bottom w:val="none" w:sz="0" w:space="0" w:color="auto"/>
        <w:right w:val="none" w:sz="0" w:space="0" w:color="auto"/>
      </w:divBdr>
    </w:div>
    <w:div w:id="198443369">
      <w:bodyDiv w:val="1"/>
      <w:marLeft w:val="0"/>
      <w:marRight w:val="0"/>
      <w:marTop w:val="0"/>
      <w:marBottom w:val="0"/>
      <w:divBdr>
        <w:top w:val="none" w:sz="0" w:space="0" w:color="auto"/>
        <w:left w:val="none" w:sz="0" w:space="0" w:color="auto"/>
        <w:bottom w:val="none" w:sz="0" w:space="0" w:color="auto"/>
        <w:right w:val="none" w:sz="0" w:space="0" w:color="auto"/>
      </w:divBdr>
    </w:div>
    <w:div w:id="203176858">
      <w:bodyDiv w:val="1"/>
      <w:marLeft w:val="0"/>
      <w:marRight w:val="0"/>
      <w:marTop w:val="0"/>
      <w:marBottom w:val="0"/>
      <w:divBdr>
        <w:top w:val="none" w:sz="0" w:space="0" w:color="auto"/>
        <w:left w:val="none" w:sz="0" w:space="0" w:color="auto"/>
        <w:bottom w:val="none" w:sz="0" w:space="0" w:color="auto"/>
        <w:right w:val="none" w:sz="0" w:space="0" w:color="auto"/>
      </w:divBdr>
    </w:div>
    <w:div w:id="205723653">
      <w:bodyDiv w:val="1"/>
      <w:marLeft w:val="0"/>
      <w:marRight w:val="0"/>
      <w:marTop w:val="0"/>
      <w:marBottom w:val="0"/>
      <w:divBdr>
        <w:top w:val="none" w:sz="0" w:space="0" w:color="auto"/>
        <w:left w:val="none" w:sz="0" w:space="0" w:color="auto"/>
        <w:bottom w:val="none" w:sz="0" w:space="0" w:color="auto"/>
        <w:right w:val="none" w:sz="0" w:space="0" w:color="auto"/>
      </w:divBdr>
    </w:div>
    <w:div w:id="209806826">
      <w:bodyDiv w:val="1"/>
      <w:marLeft w:val="0"/>
      <w:marRight w:val="0"/>
      <w:marTop w:val="0"/>
      <w:marBottom w:val="0"/>
      <w:divBdr>
        <w:top w:val="none" w:sz="0" w:space="0" w:color="auto"/>
        <w:left w:val="none" w:sz="0" w:space="0" w:color="auto"/>
        <w:bottom w:val="none" w:sz="0" w:space="0" w:color="auto"/>
        <w:right w:val="none" w:sz="0" w:space="0" w:color="auto"/>
      </w:divBdr>
    </w:div>
    <w:div w:id="215817282">
      <w:bodyDiv w:val="1"/>
      <w:marLeft w:val="0"/>
      <w:marRight w:val="0"/>
      <w:marTop w:val="0"/>
      <w:marBottom w:val="0"/>
      <w:divBdr>
        <w:top w:val="none" w:sz="0" w:space="0" w:color="auto"/>
        <w:left w:val="none" w:sz="0" w:space="0" w:color="auto"/>
        <w:bottom w:val="none" w:sz="0" w:space="0" w:color="auto"/>
        <w:right w:val="none" w:sz="0" w:space="0" w:color="auto"/>
      </w:divBdr>
    </w:div>
    <w:div w:id="246310154">
      <w:bodyDiv w:val="1"/>
      <w:marLeft w:val="0"/>
      <w:marRight w:val="0"/>
      <w:marTop w:val="0"/>
      <w:marBottom w:val="0"/>
      <w:divBdr>
        <w:top w:val="none" w:sz="0" w:space="0" w:color="auto"/>
        <w:left w:val="none" w:sz="0" w:space="0" w:color="auto"/>
        <w:bottom w:val="none" w:sz="0" w:space="0" w:color="auto"/>
        <w:right w:val="none" w:sz="0" w:space="0" w:color="auto"/>
      </w:divBdr>
    </w:div>
    <w:div w:id="249581525">
      <w:bodyDiv w:val="1"/>
      <w:marLeft w:val="0"/>
      <w:marRight w:val="0"/>
      <w:marTop w:val="0"/>
      <w:marBottom w:val="0"/>
      <w:divBdr>
        <w:top w:val="none" w:sz="0" w:space="0" w:color="auto"/>
        <w:left w:val="none" w:sz="0" w:space="0" w:color="auto"/>
        <w:bottom w:val="none" w:sz="0" w:space="0" w:color="auto"/>
        <w:right w:val="none" w:sz="0" w:space="0" w:color="auto"/>
      </w:divBdr>
    </w:div>
    <w:div w:id="249774591">
      <w:bodyDiv w:val="1"/>
      <w:marLeft w:val="0"/>
      <w:marRight w:val="0"/>
      <w:marTop w:val="0"/>
      <w:marBottom w:val="0"/>
      <w:divBdr>
        <w:top w:val="none" w:sz="0" w:space="0" w:color="auto"/>
        <w:left w:val="none" w:sz="0" w:space="0" w:color="auto"/>
        <w:bottom w:val="none" w:sz="0" w:space="0" w:color="auto"/>
        <w:right w:val="none" w:sz="0" w:space="0" w:color="auto"/>
      </w:divBdr>
    </w:div>
    <w:div w:id="367879309">
      <w:bodyDiv w:val="1"/>
      <w:marLeft w:val="0"/>
      <w:marRight w:val="0"/>
      <w:marTop w:val="0"/>
      <w:marBottom w:val="0"/>
      <w:divBdr>
        <w:top w:val="none" w:sz="0" w:space="0" w:color="auto"/>
        <w:left w:val="none" w:sz="0" w:space="0" w:color="auto"/>
        <w:bottom w:val="none" w:sz="0" w:space="0" w:color="auto"/>
        <w:right w:val="none" w:sz="0" w:space="0" w:color="auto"/>
      </w:divBdr>
    </w:div>
    <w:div w:id="388694850">
      <w:bodyDiv w:val="1"/>
      <w:marLeft w:val="0"/>
      <w:marRight w:val="0"/>
      <w:marTop w:val="0"/>
      <w:marBottom w:val="0"/>
      <w:divBdr>
        <w:top w:val="none" w:sz="0" w:space="0" w:color="auto"/>
        <w:left w:val="none" w:sz="0" w:space="0" w:color="auto"/>
        <w:bottom w:val="none" w:sz="0" w:space="0" w:color="auto"/>
        <w:right w:val="none" w:sz="0" w:space="0" w:color="auto"/>
      </w:divBdr>
    </w:div>
    <w:div w:id="493029598">
      <w:bodyDiv w:val="1"/>
      <w:marLeft w:val="0"/>
      <w:marRight w:val="0"/>
      <w:marTop w:val="0"/>
      <w:marBottom w:val="0"/>
      <w:divBdr>
        <w:top w:val="none" w:sz="0" w:space="0" w:color="auto"/>
        <w:left w:val="none" w:sz="0" w:space="0" w:color="auto"/>
        <w:bottom w:val="none" w:sz="0" w:space="0" w:color="auto"/>
        <w:right w:val="none" w:sz="0" w:space="0" w:color="auto"/>
      </w:divBdr>
    </w:div>
    <w:div w:id="518465978">
      <w:bodyDiv w:val="1"/>
      <w:marLeft w:val="0"/>
      <w:marRight w:val="0"/>
      <w:marTop w:val="0"/>
      <w:marBottom w:val="0"/>
      <w:divBdr>
        <w:top w:val="none" w:sz="0" w:space="0" w:color="auto"/>
        <w:left w:val="none" w:sz="0" w:space="0" w:color="auto"/>
        <w:bottom w:val="none" w:sz="0" w:space="0" w:color="auto"/>
        <w:right w:val="none" w:sz="0" w:space="0" w:color="auto"/>
      </w:divBdr>
    </w:div>
    <w:div w:id="551648742">
      <w:bodyDiv w:val="1"/>
      <w:marLeft w:val="0"/>
      <w:marRight w:val="0"/>
      <w:marTop w:val="0"/>
      <w:marBottom w:val="0"/>
      <w:divBdr>
        <w:top w:val="none" w:sz="0" w:space="0" w:color="auto"/>
        <w:left w:val="none" w:sz="0" w:space="0" w:color="auto"/>
        <w:bottom w:val="none" w:sz="0" w:space="0" w:color="auto"/>
        <w:right w:val="none" w:sz="0" w:space="0" w:color="auto"/>
      </w:divBdr>
    </w:div>
    <w:div w:id="589386472">
      <w:bodyDiv w:val="1"/>
      <w:marLeft w:val="0"/>
      <w:marRight w:val="0"/>
      <w:marTop w:val="0"/>
      <w:marBottom w:val="0"/>
      <w:divBdr>
        <w:top w:val="none" w:sz="0" w:space="0" w:color="auto"/>
        <w:left w:val="none" w:sz="0" w:space="0" w:color="auto"/>
        <w:bottom w:val="none" w:sz="0" w:space="0" w:color="auto"/>
        <w:right w:val="none" w:sz="0" w:space="0" w:color="auto"/>
      </w:divBdr>
    </w:div>
    <w:div w:id="628391251">
      <w:bodyDiv w:val="1"/>
      <w:marLeft w:val="0"/>
      <w:marRight w:val="0"/>
      <w:marTop w:val="0"/>
      <w:marBottom w:val="0"/>
      <w:divBdr>
        <w:top w:val="none" w:sz="0" w:space="0" w:color="auto"/>
        <w:left w:val="none" w:sz="0" w:space="0" w:color="auto"/>
        <w:bottom w:val="none" w:sz="0" w:space="0" w:color="auto"/>
        <w:right w:val="none" w:sz="0" w:space="0" w:color="auto"/>
      </w:divBdr>
    </w:div>
    <w:div w:id="651835803">
      <w:bodyDiv w:val="1"/>
      <w:marLeft w:val="0"/>
      <w:marRight w:val="0"/>
      <w:marTop w:val="0"/>
      <w:marBottom w:val="0"/>
      <w:divBdr>
        <w:top w:val="none" w:sz="0" w:space="0" w:color="auto"/>
        <w:left w:val="none" w:sz="0" w:space="0" w:color="auto"/>
        <w:bottom w:val="none" w:sz="0" w:space="0" w:color="auto"/>
        <w:right w:val="none" w:sz="0" w:space="0" w:color="auto"/>
      </w:divBdr>
    </w:div>
    <w:div w:id="683943379">
      <w:bodyDiv w:val="1"/>
      <w:marLeft w:val="0"/>
      <w:marRight w:val="0"/>
      <w:marTop w:val="0"/>
      <w:marBottom w:val="0"/>
      <w:divBdr>
        <w:top w:val="none" w:sz="0" w:space="0" w:color="auto"/>
        <w:left w:val="none" w:sz="0" w:space="0" w:color="auto"/>
        <w:bottom w:val="none" w:sz="0" w:space="0" w:color="auto"/>
        <w:right w:val="none" w:sz="0" w:space="0" w:color="auto"/>
      </w:divBdr>
    </w:div>
    <w:div w:id="696005081">
      <w:bodyDiv w:val="1"/>
      <w:marLeft w:val="0"/>
      <w:marRight w:val="0"/>
      <w:marTop w:val="0"/>
      <w:marBottom w:val="0"/>
      <w:divBdr>
        <w:top w:val="none" w:sz="0" w:space="0" w:color="auto"/>
        <w:left w:val="none" w:sz="0" w:space="0" w:color="auto"/>
        <w:bottom w:val="none" w:sz="0" w:space="0" w:color="auto"/>
        <w:right w:val="none" w:sz="0" w:space="0" w:color="auto"/>
      </w:divBdr>
    </w:div>
    <w:div w:id="700742593">
      <w:bodyDiv w:val="1"/>
      <w:marLeft w:val="0"/>
      <w:marRight w:val="0"/>
      <w:marTop w:val="0"/>
      <w:marBottom w:val="0"/>
      <w:divBdr>
        <w:top w:val="none" w:sz="0" w:space="0" w:color="auto"/>
        <w:left w:val="none" w:sz="0" w:space="0" w:color="auto"/>
        <w:bottom w:val="none" w:sz="0" w:space="0" w:color="auto"/>
        <w:right w:val="none" w:sz="0" w:space="0" w:color="auto"/>
      </w:divBdr>
    </w:div>
    <w:div w:id="734469497">
      <w:bodyDiv w:val="1"/>
      <w:marLeft w:val="0"/>
      <w:marRight w:val="0"/>
      <w:marTop w:val="0"/>
      <w:marBottom w:val="0"/>
      <w:divBdr>
        <w:top w:val="none" w:sz="0" w:space="0" w:color="auto"/>
        <w:left w:val="none" w:sz="0" w:space="0" w:color="auto"/>
        <w:bottom w:val="none" w:sz="0" w:space="0" w:color="auto"/>
        <w:right w:val="none" w:sz="0" w:space="0" w:color="auto"/>
      </w:divBdr>
    </w:div>
    <w:div w:id="735474997">
      <w:bodyDiv w:val="1"/>
      <w:marLeft w:val="0"/>
      <w:marRight w:val="0"/>
      <w:marTop w:val="0"/>
      <w:marBottom w:val="0"/>
      <w:divBdr>
        <w:top w:val="none" w:sz="0" w:space="0" w:color="auto"/>
        <w:left w:val="none" w:sz="0" w:space="0" w:color="auto"/>
        <w:bottom w:val="none" w:sz="0" w:space="0" w:color="auto"/>
        <w:right w:val="none" w:sz="0" w:space="0" w:color="auto"/>
      </w:divBdr>
    </w:div>
    <w:div w:id="785465286">
      <w:bodyDiv w:val="1"/>
      <w:marLeft w:val="0"/>
      <w:marRight w:val="0"/>
      <w:marTop w:val="0"/>
      <w:marBottom w:val="0"/>
      <w:divBdr>
        <w:top w:val="none" w:sz="0" w:space="0" w:color="auto"/>
        <w:left w:val="none" w:sz="0" w:space="0" w:color="auto"/>
        <w:bottom w:val="none" w:sz="0" w:space="0" w:color="auto"/>
        <w:right w:val="none" w:sz="0" w:space="0" w:color="auto"/>
      </w:divBdr>
    </w:div>
    <w:div w:id="815679863">
      <w:bodyDiv w:val="1"/>
      <w:marLeft w:val="0"/>
      <w:marRight w:val="0"/>
      <w:marTop w:val="0"/>
      <w:marBottom w:val="0"/>
      <w:divBdr>
        <w:top w:val="none" w:sz="0" w:space="0" w:color="auto"/>
        <w:left w:val="none" w:sz="0" w:space="0" w:color="auto"/>
        <w:bottom w:val="none" w:sz="0" w:space="0" w:color="auto"/>
        <w:right w:val="none" w:sz="0" w:space="0" w:color="auto"/>
      </w:divBdr>
    </w:div>
    <w:div w:id="825129092">
      <w:bodyDiv w:val="1"/>
      <w:marLeft w:val="0"/>
      <w:marRight w:val="0"/>
      <w:marTop w:val="0"/>
      <w:marBottom w:val="0"/>
      <w:divBdr>
        <w:top w:val="none" w:sz="0" w:space="0" w:color="auto"/>
        <w:left w:val="none" w:sz="0" w:space="0" w:color="auto"/>
        <w:bottom w:val="none" w:sz="0" w:space="0" w:color="auto"/>
        <w:right w:val="none" w:sz="0" w:space="0" w:color="auto"/>
      </w:divBdr>
    </w:div>
    <w:div w:id="899093506">
      <w:bodyDiv w:val="1"/>
      <w:marLeft w:val="0"/>
      <w:marRight w:val="0"/>
      <w:marTop w:val="0"/>
      <w:marBottom w:val="0"/>
      <w:divBdr>
        <w:top w:val="none" w:sz="0" w:space="0" w:color="auto"/>
        <w:left w:val="none" w:sz="0" w:space="0" w:color="auto"/>
        <w:bottom w:val="none" w:sz="0" w:space="0" w:color="auto"/>
        <w:right w:val="none" w:sz="0" w:space="0" w:color="auto"/>
      </w:divBdr>
    </w:div>
    <w:div w:id="949166068">
      <w:bodyDiv w:val="1"/>
      <w:marLeft w:val="0"/>
      <w:marRight w:val="0"/>
      <w:marTop w:val="0"/>
      <w:marBottom w:val="0"/>
      <w:divBdr>
        <w:top w:val="none" w:sz="0" w:space="0" w:color="auto"/>
        <w:left w:val="none" w:sz="0" w:space="0" w:color="auto"/>
        <w:bottom w:val="none" w:sz="0" w:space="0" w:color="auto"/>
        <w:right w:val="none" w:sz="0" w:space="0" w:color="auto"/>
      </w:divBdr>
    </w:div>
    <w:div w:id="977959143">
      <w:bodyDiv w:val="1"/>
      <w:marLeft w:val="0"/>
      <w:marRight w:val="0"/>
      <w:marTop w:val="0"/>
      <w:marBottom w:val="0"/>
      <w:divBdr>
        <w:top w:val="none" w:sz="0" w:space="0" w:color="auto"/>
        <w:left w:val="none" w:sz="0" w:space="0" w:color="auto"/>
        <w:bottom w:val="none" w:sz="0" w:space="0" w:color="auto"/>
        <w:right w:val="none" w:sz="0" w:space="0" w:color="auto"/>
      </w:divBdr>
    </w:div>
    <w:div w:id="981537673">
      <w:bodyDiv w:val="1"/>
      <w:marLeft w:val="0"/>
      <w:marRight w:val="0"/>
      <w:marTop w:val="0"/>
      <w:marBottom w:val="0"/>
      <w:divBdr>
        <w:top w:val="none" w:sz="0" w:space="0" w:color="auto"/>
        <w:left w:val="none" w:sz="0" w:space="0" w:color="auto"/>
        <w:bottom w:val="none" w:sz="0" w:space="0" w:color="auto"/>
        <w:right w:val="none" w:sz="0" w:space="0" w:color="auto"/>
      </w:divBdr>
    </w:div>
    <w:div w:id="989485280">
      <w:bodyDiv w:val="1"/>
      <w:marLeft w:val="0"/>
      <w:marRight w:val="0"/>
      <w:marTop w:val="0"/>
      <w:marBottom w:val="0"/>
      <w:divBdr>
        <w:top w:val="none" w:sz="0" w:space="0" w:color="auto"/>
        <w:left w:val="none" w:sz="0" w:space="0" w:color="auto"/>
        <w:bottom w:val="none" w:sz="0" w:space="0" w:color="auto"/>
        <w:right w:val="none" w:sz="0" w:space="0" w:color="auto"/>
      </w:divBdr>
    </w:div>
    <w:div w:id="1021201366">
      <w:bodyDiv w:val="1"/>
      <w:marLeft w:val="0"/>
      <w:marRight w:val="0"/>
      <w:marTop w:val="0"/>
      <w:marBottom w:val="0"/>
      <w:divBdr>
        <w:top w:val="none" w:sz="0" w:space="0" w:color="auto"/>
        <w:left w:val="none" w:sz="0" w:space="0" w:color="auto"/>
        <w:bottom w:val="none" w:sz="0" w:space="0" w:color="auto"/>
        <w:right w:val="none" w:sz="0" w:space="0" w:color="auto"/>
      </w:divBdr>
    </w:div>
    <w:div w:id="1045526625">
      <w:bodyDiv w:val="1"/>
      <w:marLeft w:val="0"/>
      <w:marRight w:val="0"/>
      <w:marTop w:val="0"/>
      <w:marBottom w:val="0"/>
      <w:divBdr>
        <w:top w:val="none" w:sz="0" w:space="0" w:color="auto"/>
        <w:left w:val="none" w:sz="0" w:space="0" w:color="auto"/>
        <w:bottom w:val="none" w:sz="0" w:space="0" w:color="auto"/>
        <w:right w:val="none" w:sz="0" w:space="0" w:color="auto"/>
      </w:divBdr>
    </w:div>
    <w:div w:id="1082681910">
      <w:bodyDiv w:val="1"/>
      <w:marLeft w:val="0"/>
      <w:marRight w:val="0"/>
      <w:marTop w:val="0"/>
      <w:marBottom w:val="0"/>
      <w:divBdr>
        <w:top w:val="none" w:sz="0" w:space="0" w:color="auto"/>
        <w:left w:val="none" w:sz="0" w:space="0" w:color="auto"/>
        <w:bottom w:val="none" w:sz="0" w:space="0" w:color="auto"/>
        <w:right w:val="none" w:sz="0" w:space="0" w:color="auto"/>
      </w:divBdr>
    </w:div>
    <w:div w:id="1215628168">
      <w:bodyDiv w:val="1"/>
      <w:marLeft w:val="0"/>
      <w:marRight w:val="0"/>
      <w:marTop w:val="0"/>
      <w:marBottom w:val="0"/>
      <w:divBdr>
        <w:top w:val="none" w:sz="0" w:space="0" w:color="auto"/>
        <w:left w:val="none" w:sz="0" w:space="0" w:color="auto"/>
        <w:bottom w:val="none" w:sz="0" w:space="0" w:color="auto"/>
        <w:right w:val="none" w:sz="0" w:space="0" w:color="auto"/>
      </w:divBdr>
    </w:div>
    <w:div w:id="1237011764">
      <w:bodyDiv w:val="1"/>
      <w:marLeft w:val="0"/>
      <w:marRight w:val="0"/>
      <w:marTop w:val="0"/>
      <w:marBottom w:val="0"/>
      <w:divBdr>
        <w:top w:val="none" w:sz="0" w:space="0" w:color="auto"/>
        <w:left w:val="none" w:sz="0" w:space="0" w:color="auto"/>
        <w:bottom w:val="none" w:sz="0" w:space="0" w:color="auto"/>
        <w:right w:val="none" w:sz="0" w:space="0" w:color="auto"/>
      </w:divBdr>
    </w:div>
    <w:div w:id="1266424930">
      <w:bodyDiv w:val="1"/>
      <w:marLeft w:val="0"/>
      <w:marRight w:val="0"/>
      <w:marTop w:val="0"/>
      <w:marBottom w:val="0"/>
      <w:divBdr>
        <w:top w:val="none" w:sz="0" w:space="0" w:color="auto"/>
        <w:left w:val="none" w:sz="0" w:space="0" w:color="auto"/>
        <w:bottom w:val="none" w:sz="0" w:space="0" w:color="auto"/>
        <w:right w:val="none" w:sz="0" w:space="0" w:color="auto"/>
      </w:divBdr>
    </w:div>
    <w:div w:id="1273975805">
      <w:bodyDiv w:val="1"/>
      <w:marLeft w:val="0"/>
      <w:marRight w:val="0"/>
      <w:marTop w:val="0"/>
      <w:marBottom w:val="0"/>
      <w:divBdr>
        <w:top w:val="none" w:sz="0" w:space="0" w:color="auto"/>
        <w:left w:val="none" w:sz="0" w:space="0" w:color="auto"/>
        <w:bottom w:val="none" w:sz="0" w:space="0" w:color="auto"/>
        <w:right w:val="none" w:sz="0" w:space="0" w:color="auto"/>
      </w:divBdr>
    </w:div>
    <w:div w:id="1299217235">
      <w:bodyDiv w:val="1"/>
      <w:marLeft w:val="0"/>
      <w:marRight w:val="0"/>
      <w:marTop w:val="0"/>
      <w:marBottom w:val="0"/>
      <w:divBdr>
        <w:top w:val="none" w:sz="0" w:space="0" w:color="auto"/>
        <w:left w:val="none" w:sz="0" w:space="0" w:color="auto"/>
        <w:bottom w:val="none" w:sz="0" w:space="0" w:color="auto"/>
        <w:right w:val="none" w:sz="0" w:space="0" w:color="auto"/>
      </w:divBdr>
    </w:div>
    <w:div w:id="1304459845">
      <w:bodyDiv w:val="1"/>
      <w:marLeft w:val="0"/>
      <w:marRight w:val="0"/>
      <w:marTop w:val="0"/>
      <w:marBottom w:val="0"/>
      <w:divBdr>
        <w:top w:val="none" w:sz="0" w:space="0" w:color="auto"/>
        <w:left w:val="none" w:sz="0" w:space="0" w:color="auto"/>
        <w:bottom w:val="none" w:sz="0" w:space="0" w:color="auto"/>
        <w:right w:val="none" w:sz="0" w:space="0" w:color="auto"/>
      </w:divBdr>
    </w:div>
    <w:div w:id="1310938868">
      <w:bodyDiv w:val="1"/>
      <w:marLeft w:val="0"/>
      <w:marRight w:val="0"/>
      <w:marTop w:val="0"/>
      <w:marBottom w:val="0"/>
      <w:divBdr>
        <w:top w:val="none" w:sz="0" w:space="0" w:color="auto"/>
        <w:left w:val="none" w:sz="0" w:space="0" w:color="auto"/>
        <w:bottom w:val="none" w:sz="0" w:space="0" w:color="auto"/>
        <w:right w:val="none" w:sz="0" w:space="0" w:color="auto"/>
      </w:divBdr>
    </w:div>
    <w:div w:id="1343506115">
      <w:bodyDiv w:val="1"/>
      <w:marLeft w:val="0"/>
      <w:marRight w:val="0"/>
      <w:marTop w:val="0"/>
      <w:marBottom w:val="0"/>
      <w:divBdr>
        <w:top w:val="none" w:sz="0" w:space="0" w:color="auto"/>
        <w:left w:val="none" w:sz="0" w:space="0" w:color="auto"/>
        <w:bottom w:val="none" w:sz="0" w:space="0" w:color="auto"/>
        <w:right w:val="none" w:sz="0" w:space="0" w:color="auto"/>
      </w:divBdr>
    </w:div>
    <w:div w:id="1343779537">
      <w:bodyDiv w:val="1"/>
      <w:marLeft w:val="0"/>
      <w:marRight w:val="0"/>
      <w:marTop w:val="0"/>
      <w:marBottom w:val="0"/>
      <w:divBdr>
        <w:top w:val="none" w:sz="0" w:space="0" w:color="auto"/>
        <w:left w:val="none" w:sz="0" w:space="0" w:color="auto"/>
        <w:bottom w:val="none" w:sz="0" w:space="0" w:color="auto"/>
        <w:right w:val="none" w:sz="0" w:space="0" w:color="auto"/>
      </w:divBdr>
    </w:div>
    <w:div w:id="1449667224">
      <w:bodyDiv w:val="1"/>
      <w:marLeft w:val="0"/>
      <w:marRight w:val="0"/>
      <w:marTop w:val="0"/>
      <w:marBottom w:val="0"/>
      <w:divBdr>
        <w:top w:val="none" w:sz="0" w:space="0" w:color="auto"/>
        <w:left w:val="none" w:sz="0" w:space="0" w:color="auto"/>
        <w:bottom w:val="none" w:sz="0" w:space="0" w:color="auto"/>
        <w:right w:val="none" w:sz="0" w:space="0" w:color="auto"/>
      </w:divBdr>
    </w:div>
    <w:div w:id="1465806221">
      <w:bodyDiv w:val="1"/>
      <w:marLeft w:val="0"/>
      <w:marRight w:val="0"/>
      <w:marTop w:val="0"/>
      <w:marBottom w:val="0"/>
      <w:divBdr>
        <w:top w:val="none" w:sz="0" w:space="0" w:color="auto"/>
        <w:left w:val="none" w:sz="0" w:space="0" w:color="auto"/>
        <w:bottom w:val="none" w:sz="0" w:space="0" w:color="auto"/>
        <w:right w:val="none" w:sz="0" w:space="0" w:color="auto"/>
      </w:divBdr>
    </w:div>
    <w:div w:id="1497302033">
      <w:bodyDiv w:val="1"/>
      <w:marLeft w:val="0"/>
      <w:marRight w:val="0"/>
      <w:marTop w:val="0"/>
      <w:marBottom w:val="0"/>
      <w:divBdr>
        <w:top w:val="none" w:sz="0" w:space="0" w:color="auto"/>
        <w:left w:val="none" w:sz="0" w:space="0" w:color="auto"/>
        <w:bottom w:val="none" w:sz="0" w:space="0" w:color="auto"/>
        <w:right w:val="none" w:sz="0" w:space="0" w:color="auto"/>
      </w:divBdr>
    </w:div>
    <w:div w:id="1503348294">
      <w:bodyDiv w:val="1"/>
      <w:marLeft w:val="0"/>
      <w:marRight w:val="0"/>
      <w:marTop w:val="0"/>
      <w:marBottom w:val="0"/>
      <w:divBdr>
        <w:top w:val="none" w:sz="0" w:space="0" w:color="auto"/>
        <w:left w:val="none" w:sz="0" w:space="0" w:color="auto"/>
        <w:bottom w:val="none" w:sz="0" w:space="0" w:color="auto"/>
        <w:right w:val="none" w:sz="0" w:space="0" w:color="auto"/>
      </w:divBdr>
    </w:div>
    <w:div w:id="1521090662">
      <w:bodyDiv w:val="1"/>
      <w:marLeft w:val="0"/>
      <w:marRight w:val="0"/>
      <w:marTop w:val="0"/>
      <w:marBottom w:val="0"/>
      <w:divBdr>
        <w:top w:val="none" w:sz="0" w:space="0" w:color="auto"/>
        <w:left w:val="none" w:sz="0" w:space="0" w:color="auto"/>
        <w:bottom w:val="none" w:sz="0" w:space="0" w:color="auto"/>
        <w:right w:val="none" w:sz="0" w:space="0" w:color="auto"/>
      </w:divBdr>
    </w:div>
    <w:div w:id="1523590716">
      <w:bodyDiv w:val="1"/>
      <w:marLeft w:val="0"/>
      <w:marRight w:val="0"/>
      <w:marTop w:val="0"/>
      <w:marBottom w:val="0"/>
      <w:divBdr>
        <w:top w:val="none" w:sz="0" w:space="0" w:color="auto"/>
        <w:left w:val="none" w:sz="0" w:space="0" w:color="auto"/>
        <w:bottom w:val="none" w:sz="0" w:space="0" w:color="auto"/>
        <w:right w:val="none" w:sz="0" w:space="0" w:color="auto"/>
      </w:divBdr>
    </w:div>
    <w:div w:id="1612931641">
      <w:bodyDiv w:val="1"/>
      <w:marLeft w:val="0"/>
      <w:marRight w:val="0"/>
      <w:marTop w:val="0"/>
      <w:marBottom w:val="0"/>
      <w:divBdr>
        <w:top w:val="none" w:sz="0" w:space="0" w:color="auto"/>
        <w:left w:val="none" w:sz="0" w:space="0" w:color="auto"/>
        <w:bottom w:val="none" w:sz="0" w:space="0" w:color="auto"/>
        <w:right w:val="none" w:sz="0" w:space="0" w:color="auto"/>
      </w:divBdr>
    </w:div>
    <w:div w:id="1645887993">
      <w:bodyDiv w:val="1"/>
      <w:marLeft w:val="0"/>
      <w:marRight w:val="0"/>
      <w:marTop w:val="0"/>
      <w:marBottom w:val="0"/>
      <w:divBdr>
        <w:top w:val="none" w:sz="0" w:space="0" w:color="auto"/>
        <w:left w:val="none" w:sz="0" w:space="0" w:color="auto"/>
        <w:bottom w:val="none" w:sz="0" w:space="0" w:color="auto"/>
        <w:right w:val="none" w:sz="0" w:space="0" w:color="auto"/>
      </w:divBdr>
    </w:div>
    <w:div w:id="1663198714">
      <w:bodyDiv w:val="1"/>
      <w:marLeft w:val="0"/>
      <w:marRight w:val="0"/>
      <w:marTop w:val="0"/>
      <w:marBottom w:val="0"/>
      <w:divBdr>
        <w:top w:val="none" w:sz="0" w:space="0" w:color="auto"/>
        <w:left w:val="none" w:sz="0" w:space="0" w:color="auto"/>
        <w:bottom w:val="none" w:sz="0" w:space="0" w:color="auto"/>
        <w:right w:val="none" w:sz="0" w:space="0" w:color="auto"/>
      </w:divBdr>
    </w:div>
    <w:div w:id="1722749777">
      <w:bodyDiv w:val="1"/>
      <w:marLeft w:val="0"/>
      <w:marRight w:val="0"/>
      <w:marTop w:val="0"/>
      <w:marBottom w:val="0"/>
      <w:divBdr>
        <w:top w:val="none" w:sz="0" w:space="0" w:color="auto"/>
        <w:left w:val="none" w:sz="0" w:space="0" w:color="auto"/>
        <w:bottom w:val="none" w:sz="0" w:space="0" w:color="auto"/>
        <w:right w:val="none" w:sz="0" w:space="0" w:color="auto"/>
      </w:divBdr>
    </w:div>
    <w:div w:id="1727483095">
      <w:bodyDiv w:val="1"/>
      <w:marLeft w:val="0"/>
      <w:marRight w:val="0"/>
      <w:marTop w:val="0"/>
      <w:marBottom w:val="0"/>
      <w:divBdr>
        <w:top w:val="none" w:sz="0" w:space="0" w:color="auto"/>
        <w:left w:val="none" w:sz="0" w:space="0" w:color="auto"/>
        <w:bottom w:val="none" w:sz="0" w:space="0" w:color="auto"/>
        <w:right w:val="none" w:sz="0" w:space="0" w:color="auto"/>
      </w:divBdr>
    </w:div>
    <w:div w:id="1755276257">
      <w:bodyDiv w:val="1"/>
      <w:marLeft w:val="0"/>
      <w:marRight w:val="0"/>
      <w:marTop w:val="0"/>
      <w:marBottom w:val="0"/>
      <w:divBdr>
        <w:top w:val="none" w:sz="0" w:space="0" w:color="auto"/>
        <w:left w:val="none" w:sz="0" w:space="0" w:color="auto"/>
        <w:bottom w:val="none" w:sz="0" w:space="0" w:color="auto"/>
        <w:right w:val="none" w:sz="0" w:space="0" w:color="auto"/>
      </w:divBdr>
    </w:div>
    <w:div w:id="1757508449">
      <w:bodyDiv w:val="1"/>
      <w:marLeft w:val="0"/>
      <w:marRight w:val="0"/>
      <w:marTop w:val="0"/>
      <w:marBottom w:val="0"/>
      <w:divBdr>
        <w:top w:val="none" w:sz="0" w:space="0" w:color="auto"/>
        <w:left w:val="none" w:sz="0" w:space="0" w:color="auto"/>
        <w:bottom w:val="none" w:sz="0" w:space="0" w:color="auto"/>
        <w:right w:val="none" w:sz="0" w:space="0" w:color="auto"/>
      </w:divBdr>
    </w:div>
    <w:div w:id="1817988621">
      <w:bodyDiv w:val="1"/>
      <w:marLeft w:val="0"/>
      <w:marRight w:val="0"/>
      <w:marTop w:val="0"/>
      <w:marBottom w:val="0"/>
      <w:divBdr>
        <w:top w:val="none" w:sz="0" w:space="0" w:color="auto"/>
        <w:left w:val="none" w:sz="0" w:space="0" w:color="auto"/>
        <w:bottom w:val="none" w:sz="0" w:space="0" w:color="auto"/>
        <w:right w:val="none" w:sz="0" w:space="0" w:color="auto"/>
      </w:divBdr>
    </w:div>
    <w:div w:id="1832065160">
      <w:bodyDiv w:val="1"/>
      <w:marLeft w:val="0"/>
      <w:marRight w:val="0"/>
      <w:marTop w:val="0"/>
      <w:marBottom w:val="0"/>
      <w:divBdr>
        <w:top w:val="none" w:sz="0" w:space="0" w:color="auto"/>
        <w:left w:val="none" w:sz="0" w:space="0" w:color="auto"/>
        <w:bottom w:val="none" w:sz="0" w:space="0" w:color="auto"/>
        <w:right w:val="none" w:sz="0" w:space="0" w:color="auto"/>
      </w:divBdr>
    </w:div>
    <w:div w:id="1848791235">
      <w:bodyDiv w:val="1"/>
      <w:marLeft w:val="0"/>
      <w:marRight w:val="0"/>
      <w:marTop w:val="0"/>
      <w:marBottom w:val="0"/>
      <w:divBdr>
        <w:top w:val="none" w:sz="0" w:space="0" w:color="auto"/>
        <w:left w:val="none" w:sz="0" w:space="0" w:color="auto"/>
        <w:bottom w:val="none" w:sz="0" w:space="0" w:color="auto"/>
        <w:right w:val="none" w:sz="0" w:space="0" w:color="auto"/>
      </w:divBdr>
    </w:div>
    <w:div w:id="1857498584">
      <w:bodyDiv w:val="1"/>
      <w:marLeft w:val="0"/>
      <w:marRight w:val="0"/>
      <w:marTop w:val="0"/>
      <w:marBottom w:val="0"/>
      <w:divBdr>
        <w:top w:val="none" w:sz="0" w:space="0" w:color="auto"/>
        <w:left w:val="none" w:sz="0" w:space="0" w:color="auto"/>
        <w:bottom w:val="none" w:sz="0" w:space="0" w:color="auto"/>
        <w:right w:val="none" w:sz="0" w:space="0" w:color="auto"/>
      </w:divBdr>
    </w:div>
    <w:div w:id="1919710491">
      <w:bodyDiv w:val="1"/>
      <w:marLeft w:val="0"/>
      <w:marRight w:val="0"/>
      <w:marTop w:val="0"/>
      <w:marBottom w:val="0"/>
      <w:divBdr>
        <w:top w:val="none" w:sz="0" w:space="0" w:color="auto"/>
        <w:left w:val="none" w:sz="0" w:space="0" w:color="auto"/>
        <w:bottom w:val="none" w:sz="0" w:space="0" w:color="auto"/>
        <w:right w:val="none" w:sz="0" w:space="0" w:color="auto"/>
      </w:divBdr>
    </w:div>
    <w:div w:id="1928266550">
      <w:bodyDiv w:val="1"/>
      <w:marLeft w:val="0"/>
      <w:marRight w:val="0"/>
      <w:marTop w:val="0"/>
      <w:marBottom w:val="0"/>
      <w:divBdr>
        <w:top w:val="none" w:sz="0" w:space="0" w:color="auto"/>
        <w:left w:val="none" w:sz="0" w:space="0" w:color="auto"/>
        <w:bottom w:val="none" w:sz="0" w:space="0" w:color="auto"/>
        <w:right w:val="none" w:sz="0" w:space="0" w:color="auto"/>
      </w:divBdr>
    </w:div>
    <w:div w:id="1929342420">
      <w:bodyDiv w:val="1"/>
      <w:marLeft w:val="0"/>
      <w:marRight w:val="0"/>
      <w:marTop w:val="0"/>
      <w:marBottom w:val="0"/>
      <w:divBdr>
        <w:top w:val="none" w:sz="0" w:space="0" w:color="auto"/>
        <w:left w:val="none" w:sz="0" w:space="0" w:color="auto"/>
        <w:bottom w:val="none" w:sz="0" w:space="0" w:color="auto"/>
        <w:right w:val="none" w:sz="0" w:space="0" w:color="auto"/>
      </w:divBdr>
    </w:div>
    <w:div w:id="1937861859">
      <w:bodyDiv w:val="1"/>
      <w:marLeft w:val="0"/>
      <w:marRight w:val="0"/>
      <w:marTop w:val="0"/>
      <w:marBottom w:val="0"/>
      <w:divBdr>
        <w:top w:val="none" w:sz="0" w:space="0" w:color="auto"/>
        <w:left w:val="none" w:sz="0" w:space="0" w:color="auto"/>
        <w:bottom w:val="none" w:sz="0" w:space="0" w:color="auto"/>
        <w:right w:val="none" w:sz="0" w:space="0" w:color="auto"/>
      </w:divBdr>
    </w:div>
    <w:div w:id="2048797147">
      <w:bodyDiv w:val="1"/>
      <w:marLeft w:val="0"/>
      <w:marRight w:val="0"/>
      <w:marTop w:val="0"/>
      <w:marBottom w:val="0"/>
      <w:divBdr>
        <w:top w:val="none" w:sz="0" w:space="0" w:color="auto"/>
        <w:left w:val="none" w:sz="0" w:space="0" w:color="auto"/>
        <w:bottom w:val="none" w:sz="0" w:space="0" w:color="auto"/>
        <w:right w:val="none" w:sz="0" w:space="0" w:color="auto"/>
      </w:divBdr>
    </w:div>
    <w:div w:id="20546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C27599-DA19-4649-AC18-4D154D3C5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19</Pages>
  <Words>3062</Words>
  <Characters>21713</Characters>
  <Application>Microsoft Office Word</Application>
  <DocSecurity>0</DocSecurity>
  <Lines>374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24</cp:revision>
  <dcterms:created xsi:type="dcterms:W3CDTF">2024-11-07T21:00:00Z</dcterms:created>
  <dcterms:modified xsi:type="dcterms:W3CDTF">2024-11-07T22:37:00Z</dcterms:modified>
</cp:coreProperties>
</file>