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87F769" w14:textId="77777777" w:rsidR="00A475BB" w:rsidRDefault="00A475BB" w:rsidP="00A475BB">
      <w:pPr>
        <w:spacing w:after="0" w:line="360" w:lineRule="auto"/>
        <w:ind w:firstLine="720"/>
        <w:jc w:val="center"/>
        <w:rPr>
          <w:rFonts w:ascii="Arial" w:eastAsia="Calibri" w:hAnsi="Arial" w:cs="Arial"/>
          <w:b/>
          <w:bCs/>
          <w:kern w:val="0"/>
          <w:lang w:val="en-CA"/>
          <w14:ligatures w14:val="none"/>
        </w:rPr>
      </w:pPr>
      <w:r>
        <w:rPr>
          <w:rFonts w:ascii="Arial" w:eastAsia="Calibri" w:hAnsi="Arial" w:cs="Arial"/>
          <w:b/>
          <w:noProof/>
          <w:kern w:val="0"/>
          <w:lang w:val="en-CA"/>
        </w:rPr>
        <w:drawing>
          <wp:inline distT="0" distB="0" distL="0" distR="0" wp14:anchorId="2E4B5B26" wp14:editId="1BF47BC7">
            <wp:extent cx="1882140" cy="838200"/>
            <wp:effectExtent l="0" t="0" r="3810" b="0"/>
            <wp:docPr id="3"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82140" cy="838200"/>
                    </a:xfrm>
                    <a:prstGeom prst="rect">
                      <a:avLst/>
                    </a:prstGeom>
                    <a:noFill/>
                    <a:ln>
                      <a:noFill/>
                    </a:ln>
                  </pic:spPr>
                </pic:pic>
              </a:graphicData>
            </a:graphic>
          </wp:inline>
        </w:drawing>
      </w:r>
    </w:p>
    <w:p w14:paraId="402B32DD" w14:textId="77777777" w:rsidR="00A475BB" w:rsidRDefault="00A475BB" w:rsidP="00A475BB">
      <w:pPr>
        <w:spacing w:after="0" w:line="360" w:lineRule="auto"/>
        <w:ind w:firstLine="720"/>
        <w:jc w:val="center"/>
        <w:rPr>
          <w:rFonts w:ascii="Arial" w:eastAsia="Calibri" w:hAnsi="Arial" w:cs="Arial"/>
          <w:b/>
          <w:bCs/>
          <w:kern w:val="0"/>
          <w:lang w:val="en-CA"/>
          <w14:ligatures w14:val="none"/>
        </w:rPr>
      </w:pPr>
    </w:p>
    <w:p w14:paraId="544B1935" w14:textId="77777777" w:rsidR="00A475BB" w:rsidRPr="008D01B6" w:rsidRDefault="00A475BB" w:rsidP="00A475BB">
      <w:pPr>
        <w:spacing w:after="0" w:line="259" w:lineRule="auto"/>
        <w:ind w:left="10" w:right="238" w:hanging="10"/>
        <w:jc w:val="center"/>
        <w:rPr>
          <w:rFonts w:ascii="Calibri" w:eastAsia="Calibri" w:hAnsi="Calibri" w:cs="Calibri"/>
          <w:color w:val="000000"/>
          <w:sz w:val="32"/>
          <w:szCs w:val="32"/>
          <w:lang w:eastAsia="zh-CN"/>
        </w:rPr>
      </w:pPr>
      <w:r w:rsidRPr="008D01B6">
        <w:rPr>
          <w:rFonts w:ascii="Arial" w:eastAsia="Arial" w:hAnsi="Arial" w:cs="Arial"/>
          <w:b/>
          <w:color w:val="000000"/>
          <w:sz w:val="32"/>
          <w:szCs w:val="32"/>
          <w:lang w:eastAsia="zh-CN"/>
        </w:rPr>
        <w:t>BA Leadership and Management</w:t>
      </w:r>
    </w:p>
    <w:p w14:paraId="6012E6AF" w14:textId="77777777" w:rsidR="00A475BB" w:rsidRPr="008D01B6" w:rsidRDefault="00A475BB" w:rsidP="00A475BB">
      <w:pPr>
        <w:spacing w:after="0" w:line="259" w:lineRule="auto"/>
        <w:ind w:left="10" w:right="126" w:hanging="10"/>
        <w:jc w:val="center"/>
        <w:rPr>
          <w:rFonts w:ascii="Arial" w:eastAsia="Arial" w:hAnsi="Arial" w:cs="Arial"/>
          <w:b/>
          <w:color w:val="000000"/>
          <w:sz w:val="32"/>
          <w:szCs w:val="32"/>
          <w:lang w:eastAsia="zh-CN"/>
        </w:rPr>
      </w:pPr>
      <w:r w:rsidRPr="008D01B6">
        <w:rPr>
          <w:rFonts w:ascii="Arial" w:eastAsia="Arial" w:hAnsi="Arial" w:cs="Arial"/>
          <w:b/>
          <w:color w:val="000000"/>
          <w:sz w:val="32"/>
          <w:szCs w:val="32"/>
          <w:lang w:eastAsia="zh-CN"/>
        </w:rPr>
        <w:t>LEVEL 5</w:t>
      </w:r>
    </w:p>
    <w:p w14:paraId="5028BF02" w14:textId="77777777" w:rsidR="00A475BB" w:rsidRPr="008D01B6" w:rsidRDefault="00A475BB" w:rsidP="00A475BB">
      <w:pPr>
        <w:spacing w:after="0" w:line="259" w:lineRule="auto"/>
        <w:ind w:left="10" w:right="126" w:hanging="10"/>
        <w:jc w:val="center"/>
        <w:rPr>
          <w:rFonts w:ascii="Arial" w:eastAsia="Arial" w:hAnsi="Arial" w:cs="Arial"/>
          <w:b/>
          <w:color w:val="000000"/>
          <w:sz w:val="32"/>
          <w:szCs w:val="32"/>
          <w:lang w:eastAsia="zh-CN"/>
        </w:rPr>
      </w:pPr>
    </w:p>
    <w:p w14:paraId="46349E19" w14:textId="0BB3ED83" w:rsidR="00A475BB" w:rsidRPr="008D01B6" w:rsidRDefault="00A475BB" w:rsidP="00A475BB">
      <w:pPr>
        <w:spacing w:after="0" w:line="259" w:lineRule="auto"/>
        <w:rPr>
          <w:rFonts w:ascii="Arial" w:eastAsia="Calibri" w:hAnsi="Arial" w:cs="Arial"/>
          <w:b/>
          <w:bCs/>
          <w:color w:val="000000"/>
          <w:sz w:val="32"/>
          <w:szCs w:val="32"/>
          <w:lang w:eastAsia="zh-CN"/>
        </w:rPr>
      </w:pPr>
      <w:r>
        <w:rPr>
          <w:rFonts w:ascii="Arial" w:eastAsia="Arial" w:hAnsi="Arial" w:cs="Arial"/>
          <w:b/>
          <w:color w:val="000000"/>
          <w:sz w:val="32"/>
          <w:szCs w:val="32"/>
          <w:lang w:eastAsia="zh-CN"/>
        </w:rPr>
        <w:t xml:space="preserve">                              </w:t>
      </w:r>
      <w:r w:rsidRPr="00A475BB">
        <w:rPr>
          <w:rFonts w:ascii="Arial" w:eastAsia="Arial" w:hAnsi="Arial" w:cs="Arial"/>
          <w:b/>
          <w:color w:val="000000"/>
          <w:sz w:val="32"/>
          <w:szCs w:val="32"/>
          <w:lang w:eastAsia="zh-CN"/>
        </w:rPr>
        <w:t>Creativity and Innovation</w:t>
      </w:r>
    </w:p>
    <w:p w14:paraId="6BA1EDE9" w14:textId="725D914C" w:rsidR="00A475BB" w:rsidRPr="00FE6661" w:rsidRDefault="00A475BB" w:rsidP="00A475BB">
      <w:pPr>
        <w:spacing w:after="0" w:line="360" w:lineRule="auto"/>
        <w:ind w:firstLine="720"/>
        <w:jc w:val="center"/>
        <w:rPr>
          <w:rFonts w:ascii="Arial" w:eastAsia="Calibri" w:hAnsi="Arial" w:cs="Arial"/>
          <w:b/>
          <w:bCs/>
          <w:kern w:val="0"/>
          <w:sz w:val="32"/>
          <w:szCs w:val="32"/>
          <w14:ligatures w14:val="none"/>
        </w:rPr>
      </w:pPr>
      <w:r w:rsidRPr="00FE6661">
        <w:rPr>
          <w:rFonts w:ascii="Arial" w:eastAsia="Calibri" w:hAnsi="Arial" w:cs="Arial"/>
          <w:b/>
          <w:bCs/>
          <w:kern w:val="0"/>
          <w:sz w:val="32"/>
          <w:szCs w:val="32"/>
          <w14:ligatures w14:val="none"/>
        </w:rPr>
        <w:t>(BMSW</w:t>
      </w:r>
      <w:r>
        <w:rPr>
          <w:rFonts w:ascii="Arial" w:eastAsia="Calibri" w:hAnsi="Arial" w:cs="Arial"/>
          <w:b/>
          <w:bCs/>
          <w:kern w:val="0"/>
          <w:sz w:val="32"/>
          <w:szCs w:val="32"/>
          <w14:ligatures w14:val="none"/>
        </w:rPr>
        <w:t>5031</w:t>
      </w:r>
      <w:r w:rsidRPr="00FE6661">
        <w:rPr>
          <w:rFonts w:ascii="Arial" w:eastAsia="Calibri" w:hAnsi="Arial" w:cs="Arial"/>
          <w:b/>
          <w:bCs/>
          <w:kern w:val="0"/>
          <w:sz w:val="32"/>
          <w:szCs w:val="32"/>
          <w14:ligatures w14:val="none"/>
        </w:rPr>
        <w:t>_CARD)</w:t>
      </w:r>
    </w:p>
    <w:p w14:paraId="3E30F2C3" w14:textId="77777777" w:rsidR="00A475BB" w:rsidRPr="008D01B6" w:rsidRDefault="00A475BB" w:rsidP="00A475BB">
      <w:pPr>
        <w:spacing w:after="0" w:line="360" w:lineRule="auto"/>
        <w:ind w:firstLine="720"/>
        <w:jc w:val="center"/>
        <w:rPr>
          <w:rFonts w:ascii="Arial" w:eastAsia="Calibri" w:hAnsi="Arial" w:cs="Arial"/>
          <w:b/>
          <w:bCs/>
          <w:kern w:val="0"/>
          <w:sz w:val="32"/>
          <w:szCs w:val="32"/>
          <w:lang w:val="en-CA"/>
          <w14:ligatures w14:val="none"/>
        </w:rPr>
      </w:pPr>
    </w:p>
    <w:p w14:paraId="76DE0B10" w14:textId="2CC7E110" w:rsidR="00A475BB" w:rsidRDefault="00A475BB" w:rsidP="00A475BB">
      <w:pPr>
        <w:spacing w:after="0" w:line="360" w:lineRule="auto"/>
        <w:ind w:firstLine="720"/>
        <w:jc w:val="center"/>
        <w:rPr>
          <w:rFonts w:ascii="Arial" w:eastAsia="Calibri" w:hAnsi="Arial" w:cs="Arial"/>
          <w:b/>
          <w:bCs/>
          <w:kern w:val="0"/>
          <w:sz w:val="32"/>
          <w:szCs w:val="32"/>
          <w:lang w:val="en-CA"/>
          <w14:ligatures w14:val="none"/>
        </w:rPr>
      </w:pPr>
      <w:r>
        <w:rPr>
          <w:rFonts w:ascii="Arial" w:eastAsia="Calibri" w:hAnsi="Arial" w:cs="Arial"/>
          <w:b/>
          <w:bCs/>
          <w:kern w:val="0"/>
          <w:sz w:val="32"/>
          <w:szCs w:val="32"/>
          <w14:ligatures w14:val="none"/>
        </w:rPr>
        <w:t xml:space="preserve">Report: </w:t>
      </w:r>
      <w:r w:rsidRPr="00A475BB">
        <w:rPr>
          <w:rFonts w:ascii="Arial" w:eastAsia="Calibri" w:hAnsi="Arial" w:cs="Arial"/>
          <w:b/>
          <w:bCs/>
          <w:kern w:val="0"/>
          <w:sz w:val="32"/>
          <w:szCs w:val="32"/>
          <w14:ligatures w14:val="none"/>
        </w:rPr>
        <w:t>Critically detailing and discussing an innovative/creative solution to an operational problem</w:t>
      </w:r>
    </w:p>
    <w:p w14:paraId="3F5B580D" w14:textId="1A48E36D" w:rsidR="00A475BB" w:rsidRDefault="00A475BB" w:rsidP="00A475BB">
      <w:pPr>
        <w:spacing w:after="0" w:line="360" w:lineRule="auto"/>
        <w:ind w:firstLine="720"/>
        <w:jc w:val="center"/>
        <w:rPr>
          <w:rFonts w:ascii="Arial" w:eastAsia="Calibri" w:hAnsi="Arial" w:cs="Arial"/>
          <w:b/>
          <w:bCs/>
          <w:kern w:val="0"/>
          <w:sz w:val="32"/>
          <w:szCs w:val="32"/>
          <w14:ligatures w14:val="none"/>
        </w:rPr>
      </w:pPr>
      <w:r w:rsidRPr="008D01B6">
        <w:rPr>
          <w:rFonts w:ascii="Arial" w:eastAsia="Calibri" w:hAnsi="Arial" w:cs="Arial"/>
          <w:b/>
          <w:bCs/>
          <w:kern w:val="0"/>
          <w:sz w:val="32"/>
          <w:szCs w:val="32"/>
          <w14:ligatures w14:val="none"/>
        </w:rPr>
        <w:t xml:space="preserve">  </w:t>
      </w:r>
    </w:p>
    <w:p w14:paraId="2E4DD2A6" w14:textId="77777777" w:rsidR="00A475BB" w:rsidRPr="008D01B6" w:rsidRDefault="00A475BB" w:rsidP="00A475BB">
      <w:pPr>
        <w:spacing w:after="0" w:line="360" w:lineRule="auto"/>
        <w:ind w:firstLine="720"/>
        <w:jc w:val="center"/>
        <w:rPr>
          <w:rFonts w:ascii="Arial" w:eastAsia="Calibri" w:hAnsi="Arial" w:cs="Arial"/>
          <w:b/>
          <w:bCs/>
          <w:kern w:val="0"/>
          <w:sz w:val="32"/>
          <w:szCs w:val="32"/>
          <w:lang w:val="en-CA"/>
          <w14:ligatures w14:val="none"/>
        </w:rPr>
      </w:pPr>
    </w:p>
    <w:p w14:paraId="7A9701AB" w14:textId="5E360161" w:rsidR="00A475BB" w:rsidRPr="008D01B6" w:rsidRDefault="005568DB" w:rsidP="00A475BB">
      <w:pPr>
        <w:spacing w:after="0" w:line="259" w:lineRule="auto"/>
        <w:ind w:left="10" w:right="134" w:hanging="10"/>
        <w:jc w:val="center"/>
        <w:rPr>
          <w:rFonts w:ascii="Calibri" w:eastAsia="Calibri" w:hAnsi="Calibri" w:cs="Calibri"/>
          <w:color w:val="000000"/>
          <w:sz w:val="32"/>
          <w:szCs w:val="32"/>
          <w:lang w:eastAsia="zh-CN"/>
        </w:rPr>
      </w:pPr>
      <w:r>
        <w:rPr>
          <w:rFonts w:ascii="Arial" w:eastAsia="Arial" w:hAnsi="Arial" w:cs="Arial"/>
          <w:b/>
          <w:color w:val="000000"/>
          <w:sz w:val="32"/>
          <w:szCs w:val="32"/>
          <w:lang w:eastAsia="zh-CN"/>
        </w:rPr>
        <w:t xml:space="preserve">    </w:t>
      </w:r>
      <w:r w:rsidR="00A475BB" w:rsidRPr="008D01B6">
        <w:rPr>
          <w:rFonts w:ascii="Arial" w:eastAsia="Arial" w:hAnsi="Arial" w:cs="Arial"/>
          <w:b/>
          <w:color w:val="000000"/>
          <w:sz w:val="32"/>
          <w:szCs w:val="32"/>
          <w:lang w:eastAsia="zh-CN"/>
        </w:rPr>
        <w:t xml:space="preserve">Module Lead: </w:t>
      </w:r>
      <w:r w:rsidR="00A475BB">
        <w:rPr>
          <w:rFonts w:ascii="Arial" w:eastAsia="Arial" w:hAnsi="Arial" w:cs="Arial"/>
          <w:b/>
          <w:color w:val="000000"/>
          <w:sz w:val="32"/>
          <w:szCs w:val="32"/>
          <w:lang w:eastAsia="zh-CN"/>
        </w:rPr>
        <w:t>Chris Wilkin</w:t>
      </w:r>
    </w:p>
    <w:p w14:paraId="0E27F562" w14:textId="77777777" w:rsidR="00A475BB" w:rsidRPr="008D01B6" w:rsidRDefault="00A475BB" w:rsidP="00A475BB">
      <w:pPr>
        <w:tabs>
          <w:tab w:val="left" w:pos="7172"/>
        </w:tabs>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ab/>
      </w:r>
    </w:p>
    <w:p w14:paraId="2DFD789C" w14:textId="04EC9346" w:rsidR="00A475BB" w:rsidRPr="008D01B6" w:rsidRDefault="00A475BB" w:rsidP="00A475BB">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w:t>
      </w:r>
      <w:r w:rsidRPr="008D01B6">
        <w:rPr>
          <w:rFonts w:ascii="Arial" w:eastAsia="Calibri" w:hAnsi="Arial" w:cs="Arial"/>
          <w:b/>
          <w:bCs/>
          <w:kern w:val="0"/>
          <w:sz w:val="32"/>
          <w:szCs w:val="32"/>
          <w:lang w:val="en-CA"/>
          <w14:ligatures w14:val="none"/>
        </w:rPr>
        <w:t xml:space="preserve">Name: </w:t>
      </w:r>
      <w:r>
        <w:rPr>
          <w:rFonts w:ascii="Arial" w:eastAsia="Calibri" w:hAnsi="Arial" w:cs="Arial"/>
          <w:b/>
          <w:bCs/>
          <w:kern w:val="0"/>
          <w:sz w:val="32"/>
          <w:szCs w:val="32"/>
          <w:lang w:val="en-CA"/>
          <w14:ligatures w14:val="none"/>
        </w:rPr>
        <w:t>Constantin</w:t>
      </w:r>
      <w:r w:rsidRPr="008D01B6">
        <w:rPr>
          <w:rFonts w:ascii="Arial" w:eastAsia="Calibri" w:hAnsi="Arial" w:cs="Arial"/>
          <w:b/>
          <w:bCs/>
          <w:kern w:val="0"/>
          <w:sz w:val="32"/>
          <w:szCs w:val="32"/>
          <w:lang w:val="en-CA"/>
          <w14:ligatures w14:val="none"/>
        </w:rPr>
        <w:t xml:space="preserve"> Tanasa</w:t>
      </w:r>
    </w:p>
    <w:p w14:paraId="7008C180" w14:textId="77777777" w:rsidR="00A475BB" w:rsidRPr="008D01B6" w:rsidRDefault="00A475BB" w:rsidP="00A475BB">
      <w:pPr>
        <w:spacing w:after="0" w:line="360" w:lineRule="auto"/>
        <w:ind w:firstLine="720"/>
        <w:jc w:val="center"/>
        <w:rPr>
          <w:rFonts w:ascii="Arial" w:eastAsia="Calibri" w:hAnsi="Arial" w:cs="Arial"/>
          <w:b/>
          <w:bCs/>
          <w:kern w:val="0"/>
          <w:sz w:val="32"/>
          <w:szCs w:val="32"/>
          <w:lang w:val="en-CA"/>
          <w14:ligatures w14:val="none"/>
        </w:rPr>
      </w:pPr>
    </w:p>
    <w:p w14:paraId="1AF43A9F" w14:textId="7F9CB1B6" w:rsidR="00A475BB" w:rsidRPr="008D01B6" w:rsidRDefault="00A475BB" w:rsidP="00A475BB">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w:t>
      </w:r>
      <w:r w:rsidRPr="008D01B6">
        <w:rPr>
          <w:rFonts w:ascii="Arial" w:eastAsia="Calibri" w:hAnsi="Arial" w:cs="Arial"/>
          <w:b/>
          <w:bCs/>
          <w:kern w:val="0"/>
          <w:sz w:val="32"/>
          <w:szCs w:val="32"/>
          <w:lang w:val="en-CA"/>
          <w14:ligatures w14:val="none"/>
        </w:rPr>
        <w:t>Student Number:233215</w:t>
      </w:r>
      <w:r>
        <w:rPr>
          <w:rFonts w:ascii="Arial" w:eastAsia="Calibri" w:hAnsi="Arial" w:cs="Arial"/>
          <w:b/>
          <w:bCs/>
          <w:kern w:val="0"/>
          <w:sz w:val="32"/>
          <w:szCs w:val="32"/>
          <w:lang w:val="en-CA"/>
          <w14:ligatures w14:val="none"/>
        </w:rPr>
        <w:t>8</w:t>
      </w:r>
    </w:p>
    <w:p w14:paraId="2679A7A0" w14:textId="77777777" w:rsidR="00A475BB" w:rsidRDefault="00A475BB" w:rsidP="00A475BB">
      <w:pPr>
        <w:spacing w:after="0" w:line="360" w:lineRule="auto"/>
        <w:rPr>
          <w:rFonts w:ascii="Arial" w:eastAsia="Calibri" w:hAnsi="Arial" w:cs="Arial"/>
          <w:b/>
          <w:bCs/>
          <w:kern w:val="0"/>
          <w:lang w:val="en-CA"/>
          <w14:ligatures w14:val="none"/>
        </w:rPr>
      </w:pPr>
    </w:p>
    <w:p w14:paraId="24207201" w14:textId="77777777" w:rsidR="00A475BB" w:rsidRDefault="00A475BB" w:rsidP="00A475BB">
      <w:pPr>
        <w:spacing w:after="0" w:line="360" w:lineRule="auto"/>
        <w:rPr>
          <w:rFonts w:ascii="Arial" w:eastAsia="Calibri" w:hAnsi="Arial" w:cs="Arial"/>
          <w:b/>
          <w:bCs/>
          <w:kern w:val="0"/>
          <w:lang w:val="en-CA"/>
          <w14:ligatures w14:val="none"/>
        </w:rPr>
      </w:pPr>
    </w:p>
    <w:p w14:paraId="0BC251C7" w14:textId="77777777" w:rsidR="00A475BB" w:rsidRDefault="00A475BB" w:rsidP="00A475BB">
      <w:pPr>
        <w:spacing w:after="0" w:line="360" w:lineRule="auto"/>
        <w:rPr>
          <w:rFonts w:ascii="Arial" w:eastAsia="Calibri" w:hAnsi="Arial" w:cs="Arial"/>
          <w:b/>
          <w:bCs/>
          <w:kern w:val="0"/>
          <w:lang w:val="en-CA"/>
          <w14:ligatures w14:val="none"/>
        </w:rPr>
      </w:pPr>
    </w:p>
    <w:p w14:paraId="38C808B9" w14:textId="77777777" w:rsidR="00A475BB" w:rsidRDefault="00A475BB" w:rsidP="00A475BB">
      <w:pPr>
        <w:spacing w:after="0" w:line="360" w:lineRule="auto"/>
        <w:rPr>
          <w:rFonts w:ascii="Arial" w:eastAsia="Calibri" w:hAnsi="Arial" w:cs="Arial"/>
          <w:b/>
          <w:bCs/>
          <w:kern w:val="0"/>
          <w:lang w:val="en-CA"/>
          <w14:ligatures w14:val="none"/>
        </w:rPr>
      </w:pPr>
    </w:p>
    <w:p w14:paraId="6D037B58" w14:textId="77777777" w:rsidR="00A475BB" w:rsidRDefault="00A475BB" w:rsidP="00A475BB">
      <w:pPr>
        <w:spacing w:after="0" w:line="360" w:lineRule="auto"/>
        <w:rPr>
          <w:rFonts w:ascii="Arial" w:eastAsia="Calibri" w:hAnsi="Arial" w:cs="Arial"/>
          <w:b/>
          <w:bCs/>
          <w:kern w:val="0"/>
          <w:lang w:val="en-CA"/>
          <w14:ligatures w14:val="none"/>
        </w:rPr>
      </w:pPr>
    </w:p>
    <w:p w14:paraId="399FCC84" w14:textId="5873A5E4" w:rsidR="00A475BB" w:rsidRPr="006339BF" w:rsidRDefault="00A475BB" w:rsidP="00A475BB">
      <w:pPr>
        <w:spacing w:after="0" w:line="360" w:lineRule="auto"/>
        <w:rPr>
          <w:rFonts w:ascii="Arial" w:eastAsia="Calibri" w:hAnsi="Arial" w:cs="Arial"/>
          <w:b/>
          <w:bCs/>
          <w:kern w:val="0"/>
          <w:sz w:val="28"/>
          <w:szCs w:val="28"/>
          <w:lang w:val="en-CA"/>
          <w14:ligatures w14:val="none"/>
        </w:rPr>
      </w:pPr>
      <w:r w:rsidRPr="0004008C">
        <w:rPr>
          <w:rFonts w:ascii="Arial" w:eastAsia="Calibri" w:hAnsi="Arial" w:cs="Arial"/>
          <w:b/>
          <w:bCs/>
          <w:kern w:val="0"/>
          <w:sz w:val="28"/>
          <w:szCs w:val="28"/>
          <w:lang w:val="en-CA"/>
          <w14:ligatures w14:val="none"/>
        </w:rPr>
        <w:t xml:space="preserve">Total word count:  </w:t>
      </w:r>
      <w:r w:rsidR="0017269F">
        <w:rPr>
          <w:rFonts w:ascii="Arial" w:eastAsia="Calibri" w:hAnsi="Arial" w:cs="Arial"/>
          <w:b/>
          <w:bCs/>
          <w:kern w:val="0"/>
          <w:sz w:val="28"/>
          <w:szCs w:val="28"/>
          <w:lang w:val="en-CA"/>
          <w14:ligatures w14:val="none"/>
        </w:rPr>
        <w:t>3</w:t>
      </w:r>
      <w:r w:rsidR="00951E82">
        <w:rPr>
          <w:rFonts w:ascii="Arial" w:eastAsia="Calibri" w:hAnsi="Arial" w:cs="Arial"/>
          <w:b/>
          <w:bCs/>
          <w:kern w:val="0"/>
          <w:sz w:val="28"/>
          <w:szCs w:val="28"/>
          <w:lang w:val="en-CA"/>
          <w14:ligatures w14:val="none"/>
        </w:rPr>
        <w:t>623</w:t>
      </w:r>
      <w:r w:rsidRPr="0004008C">
        <w:rPr>
          <w:rFonts w:ascii="Arial" w:eastAsia="Calibri" w:hAnsi="Arial" w:cs="Arial"/>
          <w:b/>
          <w:bCs/>
          <w:kern w:val="0"/>
          <w:sz w:val="28"/>
          <w:szCs w:val="28"/>
          <w:lang w:val="en-CA"/>
          <w14:ligatures w14:val="none"/>
        </w:rPr>
        <w:t xml:space="preserve">               </w:t>
      </w:r>
      <w:r>
        <w:rPr>
          <w:rFonts w:ascii="Arial" w:eastAsia="Calibri" w:hAnsi="Arial" w:cs="Arial"/>
          <w:b/>
          <w:bCs/>
          <w:kern w:val="0"/>
          <w:sz w:val="28"/>
          <w:szCs w:val="28"/>
          <w:lang w:val="en-CA"/>
          <w14:ligatures w14:val="none"/>
        </w:rPr>
        <w:t xml:space="preserve">   </w:t>
      </w:r>
      <w:r w:rsidRPr="0004008C">
        <w:rPr>
          <w:rFonts w:ascii="Arial" w:eastAsia="Calibri" w:hAnsi="Arial" w:cs="Arial"/>
          <w:b/>
          <w:bCs/>
          <w:kern w:val="0"/>
          <w:sz w:val="28"/>
          <w:szCs w:val="28"/>
          <w:lang w:val="en-CA"/>
          <w14:ligatures w14:val="none"/>
        </w:rPr>
        <w:t xml:space="preserve"> Submission Deadline:</w:t>
      </w:r>
      <w:r>
        <w:rPr>
          <w:rFonts w:ascii="Arial" w:eastAsia="Calibri" w:hAnsi="Arial" w:cs="Arial"/>
          <w:b/>
          <w:bCs/>
          <w:kern w:val="0"/>
          <w:sz w:val="28"/>
          <w:szCs w:val="28"/>
          <w:lang w:val="en-CA"/>
          <w14:ligatures w14:val="none"/>
        </w:rPr>
        <w:t>31.03.2026</w:t>
      </w:r>
    </w:p>
    <w:p w14:paraId="4275AD02" w14:textId="77777777" w:rsidR="00A475BB" w:rsidRDefault="00A475BB" w:rsidP="00A475BB"/>
    <w:p w14:paraId="377B0363" w14:textId="6D3E8C41" w:rsidR="00A475BB" w:rsidRPr="00801FD2" w:rsidRDefault="00801FD2" w:rsidP="00A475BB">
      <w:pPr>
        <w:rPr>
          <w:b/>
          <w:bCs/>
        </w:rPr>
      </w:pPr>
      <w:r>
        <w:rPr>
          <w:b/>
          <w:bCs/>
        </w:rPr>
        <w:t xml:space="preserve">                                                        </w:t>
      </w:r>
      <w:r w:rsidRPr="00801FD2">
        <w:rPr>
          <w:b/>
          <w:bCs/>
        </w:rPr>
        <w:t>AI Statement</w:t>
      </w:r>
      <w:r w:rsidR="0070769A">
        <w:rPr>
          <w:b/>
          <w:bCs/>
        </w:rPr>
        <w:t>;</w:t>
      </w:r>
      <w:r w:rsidRPr="00801FD2">
        <w:rPr>
          <w:b/>
          <w:bCs/>
        </w:rPr>
        <w:t xml:space="preserve"> </w:t>
      </w:r>
      <w:r w:rsidR="0085517D" w:rsidRPr="0085517D">
        <w:rPr>
          <w:b/>
          <w:bCs/>
        </w:rPr>
        <w:t>Acknowledgement</w:t>
      </w:r>
    </w:p>
    <w:p w14:paraId="1FE54579" w14:textId="6DF40925" w:rsidR="00801FD2" w:rsidRPr="00801FD2" w:rsidRDefault="00801FD2" w:rsidP="00A475BB">
      <w:pPr>
        <w:rPr>
          <w:b/>
          <w:bCs/>
        </w:rPr>
      </w:pPr>
      <w:r w:rsidRPr="00801FD2">
        <w:rPr>
          <w:b/>
          <w:bCs/>
        </w:rPr>
        <w:t>I confirm that I have not presented any AI-generated materials as my own work</w:t>
      </w:r>
      <w:r w:rsidR="0085517D">
        <w:rPr>
          <w:b/>
          <w:bCs/>
        </w:rPr>
        <w:t xml:space="preserve">, apart from the clear </w:t>
      </w:r>
      <w:r w:rsidR="005568DB">
        <w:rPr>
          <w:b/>
          <w:bCs/>
        </w:rPr>
        <w:t>instructions,</w:t>
      </w:r>
      <w:r w:rsidR="0085517D">
        <w:rPr>
          <w:b/>
          <w:bCs/>
        </w:rPr>
        <w:t xml:space="preserve"> been given by our lecturer, </w:t>
      </w:r>
      <w:r w:rsidR="00A2198E">
        <w:rPr>
          <w:b/>
          <w:bCs/>
        </w:rPr>
        <w:t>to</w:t>
      </w:r>
      <w:r w:rsidR="0085517D">
        <w:rPr>
          <w:b/>
          <w:bCs/>
        </w:rPr>
        <w:t xml:space="preserve"> complete our </w:t>
      </w:r>
      <w:r w:rsidR="005568DB">
        <w:rPr>
          <w:b/>
          <w:bCs/>
        </w:rPr>
        <w:t>P</w:t>
      </w:r>
      <w:r w:rsidR="0085517D">
        <w:rPr>
          <w:b/>
          <w:bCs/>
        </w:rPr>
        <w:t>art 2 of the report.</w:t>
      </w:r>
    </w:p>
    <w:p w14:paraId="053DC8C2" w14:textId="77777777" w:rsidR="00A475BB" w:rsidRDefault="00A475BB" w:rsidP="00A475BB"/>
    <w:p w14:paraId="5F897DE7" w14:textId="77777777" w:rsidR="00877931" w:rsidRDefault="00877931"/>
    <w:sdt>
      <w:sdtPr>
        <w:rPr>
          <w:rFonts w:ascii="Aptos" w:eastAsia="Aptos" w:hAnsi="Aptos" w:cs="Times New Roman"/>
          <w:color w:val="auto"/>
          <w:kern w:val="2"/>
          <w:sz w:val="24"/>
          <w:szCs w:val="24"/>
          <w:lang w:val="en-GB"/>
          <w14:ligatures w14:val="standardContextual"/>
        </w:rPr>
        <w:id w:val="-2075493631"/>
        <w:docPartObj>
          <w:docPartGallery w:val="Table of Contents"/>
          <w:docPartUnique/>
        </w:docPartObj>
      </w:sdtPr>
      <w:sdtEndPr>
        <w:rPr>
          <w:b/>
          <w:bCs/>
          <w:noProof/>
        </w:rPr>
      </w:sdtEndPr>
      <w:sdtContent>
        <w:p w14:paraId="1CB7A5AF" w14:textId="5CBF0489" w:rsidR="0064460A" w:rsidRDefault="0064460A">
          <w:pPr>
            <w:pStyle w:val="TOCHeading"/>
          </w:pPr>
          <w:r>
            <w:t>Contents</w:t>
          </w:r>
        </w:p>
        <w:p w14:paraId="418A2547" w14:textId="4F848A8A" w:rsidR="005F66CE" w:rsidRDefault="0064460A">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25779550" w:history="1">
            <w:r w:rsidR="005F66CE" w:rsidRPr="00881A35">
              <w:rPr>
                <w:rStyle w:val="Hyperlink"/>
                <w:rFonts w:ascii="Arial" w:hAnsi="Arial" w:cs="Arial"/>
                <w:noProof/>
              </w:rPr>
              <w:t>Part 1</w:t>
            </w:r>
            <w:r w:rsidR="005F66CE">
              <w:rPr>
                <w:noProof/>
                <w:webHidden/>
              </w:rPr>
              <w:tab/>
            </w:r>
            <w:r w:rsidR="005F66CE">
              <w:rPr>
                <w:noProof/>
                <w:webHidden/>
              </w:rPr>
              <w:fldChar w:fldCharType="begin"/>
            </w:r>
            <w:r w:rsidR="005F66CE">
              <w:rPr>
                <w:noProof/>
                <w:webHidden/>
              </w:rPr>
              <w:instrText xml:space="preserve"> PAGEREF _Toc225779550 \h </w:instrText>
            </w:r>
            <w:r w:rsidR="005F66CE">
              <w:rPr>
                <w:noProof/>
                <w:webHidden/>
              </w:rPr>
            </w:r>
            <w:r w:rsidR="005F66CE">
              <w:rPr>
                <w:noProof/>
                <w:webHidden/>
              </w:rPr>
              <w:fldChar w:fldCharType="separate"/>
            </w:r>
            <w:r w:rsidR="0070769A">
              <w:rPr>
                <w:noProof/>
                <w:webHidden/>
              </w:rPr>
              <w:t>3</w:t>
            </w:r>
            <w:r w:rsidR="005F66CE">
              <w:rPr>
                <w:noProof/>
                <w:webHidden/>
              </w:rPr>
              <w:fldChar w:fldCharType="end"/>
            </w:r>
          </w:hyperlink>
        </w:p>
        <w:p w14:paraId="6BC4F2AD" w14:textId="0A6E9981" w:rsidR="005F66CE" w:rsidRDefault="005F66CE">
          <w:pPr>
            <w:pStyle w:val="TOC1"/>
            <w:tabs>
              <w:tab w:val="right" w:leader="dot" w:pos="9016"/>
            </w:tabs>
            <w:rPr>
              <w:rFonts w:asciiTheme="minorHAnsi" w:eastAsiaTheme="minorEastAsia" w:hAnsiTheme="minorHAnsi" w:cstheme="minorBidi"/>
              <w:noProof/>
              <w:lang w:eastAsia="en-GB"/>
            </w:rPr>
          </w:pPr>
          <w:hyperlink w:anchor="_Toc225779551" w:history="1">
            <w:r w:rsidRPr="00881A35">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_Toc225779551 \h </w:instrText>
            </w:r>
            <w:r>
              <w:rPr>
                <w:noProof/>
                <w:webHidden/>
              </w:rPr>
            </w:r>
            <w:r>
              <w:rPr>
                <w:noProof/>
                <w:webHidden/>
              </w:rPr>
              <w:fldChar w:fldCharType="separate"/>
            </w:r>
            <w:r w:rsidR="0070769A">
              <w:rPr>
                <w:noProof/>
                <w:webHidden/>
              </w:rPr>
              <w:t>3</w:t>
            </w:r>
            <w:r>
              <w:rPr>
                <w:noProof/>
                <w:webHidden/>
              </w:rPr>
              <w:fldChar w:fldCharType="end"/>
            </w:r>
          </w:hyperlink>
        </w:p>
        <w:p w14:paraId="7D9ED300" w14:textId="4E541B5E" w:rsidR="005F66CE" w:rsidRDefault="005F66CE">
          <w:pPr>
            <w:pStyle w:val="TOC1"/>
            <w:tabs>
              <w:tab w:val="right" w:leader="dot" w:pos="9016"/>
            </w:tabs>
            <w:rPr>
              <w:rFonts w:asciiTheme="minorHAnsi" w:eastAsiaTheme="minorEastAsia" w:hAnsiTheme="minorHAnsi" w:cstheme="minorBidi"/>
              <w:noProof/>
              <w:lang w:eastAsia="en-GB"/>
            </w:rPr>
          </w:pPr>
          <w:hyperlink w:anchor="_Toc225779552" w:history="1">
            <w:r w:rsidRPr="00881A35">
              <w:rPr>
                <w:rStyle w:val="Hyperlink"/>
                <w:rFonts w:ascii="Arial" w:hAnsi="Arial" w:cs="Arial"/>
                <w:noProof/>
              </w:rPr>
              <w:t>2. Creativity, innovation, and the limits of capitalist growth</w:t>
            </w:r>
            <w:r>
              <w:rPr>
                <w:noProof/>
                <w:webHidden/>
              </w:rPr>
              <w:tab/>
            </w:r>
            <w:r>
              <w:rPr>
                <w:noProof/>
                <w:webHidden/>
              </w:rPr>
              <w:fldChar w:fldCharType="begin"/>
            </w:r>
            <w:r>
              <w:rPr>
                <w:noProof/>
                <w:webHidden/>
              </w:rPr>
              <w:instrText xml:space="preserve"> PAGEREF _Toc225779552 \h </w:instrText>
            </w:r>
            <w:r>
              <w:rPr>
                <w:noProof/>
                <w:webHidden/>
              </w:rPr>
            </w:r>
            <w:r>
              <w:rPr>
                <w:noProof/>
                <w:webHidden/>
              </w:rPr>
              <w:fldChar w:fldCharType="separate"/>
            </w:r>
            <w:r w:rsidR="0070769A">
              <w:rPr>
                <w:noProof/>
                <w:webHidden/>
              </w:rPr>
              <w:t>4</w:t>
            </w:r>
            <w:r>
              <w:rPr>
                <w:noProof/>
                <w:webHidden/>
              </w:rPr>
              <w:fldChar w:fldCharType="end"/>
            </w:r>
          </w:hyperlink>
        </w:p>
        <w:p w14:paraId="5111A674" w14:textId="76D1D19E" w:rsidR="005F66CE" w:rsidRDefault="005F66CE">
          <w:pPr>
            <w:pStyle w:val="TOC1"/>
            <w:tabs>
              <w:tab w:val="right" w:leader="dot" w:pos="9016"/>
            </w:tabs>
            <w:rPr>
              <w:rFonts w:asciiTheme="minorHAnsi" w:eastAsiaTheme="minorEastAsia" w:hAnsiTheme="minorHAnsi" w:cstheme="minorBidi"/>
              <w:noProof/>
              <w:lang w:eastAsia="en-GB"/>
            </w:rPr>
          </w:pPr>
          <w:hyperlink w:anchor="_Toc225779553" w:history="1">
            <w:r w:rsidRPr="00881A35">
              <w:rPr>
                <w:rStyle w:val="Hyperlink"/>
                <w:rFonts w:ascii="Arial" w:hAnsi="Arial" w:cs="Arial"/>
                <w:noProof/>
              </w:rPr>
              <w:t>3. Proposed Innovation for Seren Coffi</w:t>
            </w:r>
            <w:r>
              <w:rPr>
                <w:noProof/>
                <w:webHidden/>
              </w:rPr>
              <w:tab/>
            </w:r>
            <w:r>
              <w:rPr>
                <w:noProof/>
                <w:webHidden/>
              </w:rPr>
              <w:fldChar w:fldCharType="begin"/>
            </w:r>
            <w:r>
              <w:rPr>
                <w:noProof/>
                <w:webHidden/>
              </w:rPr>
              <w:instrText xml:space="preserve"> PAGEREF _Toc225779553 \h </w:instrText>
            </w:r>
            <w:r>
              <w:rPr>
                <w:noProof/>
                <w:webHidden/>
              </w:rPr>
            </w:r>
            <w:r>
              <w:rPr>
                <w:noProof/>
                <w:webHidden/>
              </w:rPr>
              <w:fldChar w:fldCharType="separate"/>
            </w:r>
            <w:r w:rsidR="0070769A">
              <w:rPr>
                <w:noProof/>
                <w:webHidden/>
              </w:rPr>
              <w:t>5</w:t>
            </w:r>
            <w:r>
              <w:rPr>
                <w:noProof/>
                <w:webHidden/>
              </w:rPr>
              <w:fldChar w:fldCharType="end"/>
            </w:r>
          </w:hyperlink>
        </w:p>
        <w:p w14:paraId="2D2B88EF" w14:textId="69B12D2E" w:rsidR="005F66CE" w:rsidRDefault="005F66CE">
          <w:pPr>
            <w:pStyle w:val="TOC1"/>
            <w:tabs>
              <w:tab w:val="right" w:leader="dot" w:pos="9016"/>
            </w:tabs>
            <w:rPr>
              <w:rFonts w:asciiTheme="minorHAnsi" w:eastAsiaTheme="minorEastAsia" w:hAnsiTheme="minorHAnsi" w:cstheme="minorBidi"/>
              <w:noProof/>
              <w:lang w:eastAsia="en-GB"/>
            </w:rPr>
          </w:pPr>
          <w:hyperlink w:anchor="_Toc225779554" w:history="1">
            <w:r w:rsidRPr="00881A35">
              <w:rPr>
                <w:rStyle w:val="Hyperlink"/>
                <w:rFonts w:ascii="Arial" w:hAnsi="Arial" w:cs="Arial"/>
                <w:noProof/>
              </w:rPr>
              <w:t>4. Overview of the 4 Ps</w:t>
            </w:r>
            <w:r>
              <w:rPr>
                <w:noProof/>
                <w:webHidden/>
              </w:rPr>
              <w:tab/>
            </w:r>
            <w:r>
              <w:rPr>
                <w:noProof/>
                <w:webHidden/>
              </w:rPr>
              <w:fldChar w:fldCharType="begin"/>
            </w:r>
            <w:r>
              <w:rPr>
                <w:noProof/>
                <w:webHidden/>
              </w:rPr>
              <w:instrText xml:space="preserve"> PAGEREF _Toc225779554 \h </w:instrText>
            </w:r>
            <w:r>
              <w:rPr>
                <w:noProof/>
                <w:webHidden/>
              </w:rPr>
            </w:r>
            <w:r>
              <w:rPr>
                <w:noProof/>
                <w:webHidden/>
              </w:rPr>
              <w:fldChar w:fldCharType="separate"/>
            </w:r>
            <w:r w:rsidR="0070769A">
              <w:rPr>
                <w:noProof/>
                <w:webHidden/>
              </w:rPr>
              <w:t>7</w:t>
            </w:r>
            <w:r>
              <w:rPr>
                <w:noProof/>
                <w:webHidden/>
              </w:rPr>
              <w:fldChar w:fldCharType="end"/>
            </w:r>
          </w:hyperlink>
        </w:p>
        <w:p w14:paraId="7A30F5AA" w14:textId="2001C861" w:rsidR="005F66CE" w:rsidRDefault="005F66CE">
          <w:pPr>
            <w:pStyle w:val="TOC1"/>
            <w:tabs>
              <w:tab w:val="right" w:leader="dot" w:pos="9016"/>
            </w:tabs>
            <w:rPr>
              <w:rFonts w:asciiTheme="minorHAnsi" w:eastAsiaTheme="minorEastAsia" w:hAnsiTheme="minorHAnsi" w:cstheme="minorBidi"/>
              <w:noProof/>
              <w:lang w:eastAsia="en-GB"/>
            </w:rPr>
          </w:pPr>
          <w:hyperlink w:anchor="_Toc225779555" w:history="1">
            <w:r w:rsidRPr="00881A35">
              <w:rPr>
                <w:rStyle w:val="Hyperlink"/>
                <w:rFonts w:ascii="Arial" w:hAnsi="Arial" w:cs="Arial"/>
                <w:noProof/>
              </w:rPr>
              <w:t>5. Lewin's Force Field Analysis</w:t>
            </w:r>
            <w:r>
              <w:rPr>
                <w:noProof/>
                <w:webHidden/>
              </w:rPr>
              <w:tab/>
            </w:r>
            <w:r>
              <w:rPr>
                <w:noProof/>
                <w:webHidden/>
              </w:rPr>
              <w:fldChar w:fldCharType="begin"/>
            </w:r>
            <w:r>
              <w:rPr>
                <w:noProof/>
                <w:webHidden/>
              </w:rPr>
              <w:instrText xml:space="preserve"> PAGEREF _Toc225779555 \h </w:instrText>
            </w:r>
            <w:r>
              <w:rPr>
                <w:noProof/>
                <w:webHidden/>
              </w:rPr>
            </w:r>
            <w:r>
              <w:rPr>
                <w:noProof/>
                <w:webHidden/>
              </w:rPr>
              <w:fldChar w:fldCharType="separate"/>
            </w:r>
            <w:r w:rsidR="0070769A">
              <w:rPr>
                <w:noProof/>
                <w:webHidden/>
              </w:rPr>
              <w:t>9</w:t>
            </w:r>
            <w:r>
              <w:rPr>
                <w:noProof/>
                <w:webHidden/>
              </w:rPr>
              <w:fldChar w:fldCharType="end"/>
            </w:r>
          </w:hyperlink>
        </w:p>
        <w:p w14:paraId="434D677B" w14:textId="7DA2D813" w:rsidR="005F66CE" w:rsidRDefault="005F66CE">
          <w:pPr>
            <w:pStyle w:val="TOC1"/>
            <w:tabs>
              <w:tab w:val="right" w:leader="dot" w:pos="9016"/>
            </w:tabs>
            <w:rPr>
              <w:rFonts w:asciiTheme="minorHAnsi" w:eastAsiaTheme="minorEastAsia" w:hAnsiTheme="minorHAnsi" w:cstheme="minorBidi"/>
              <w:noProof/>
              <w:lang w:eastAsia="en-GB"/>
            </w:rPr>
          </w:pPr>
          <w:hyperlink w:anchor="_Toc225779556" w:history="1">
            <w:r w:rsidRPr="00881A35">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_Toc225779556 \h </w:instrText>
            </w:r>
            <w:r>
              <w:rPr>
                <w:noProof/>
                <w:webHidden/>
              </w:rPr>
            </w:r>
            <w:r>
              <w:rPr>
                <w:noProof/>
                <w:webHidden/>
              </w:rPr>
              <w:fldChar w:fldCharType="separate"/>
            </w:r>
            <w:r w:rsidR="0070769A">
              <w:rPr>
                <w:noProof/>
                <w:webHidden/>
              </w:rPr>
              <w:t>11</w:t>
            </w:r>
            <w:r>
              <w:rPr>
                <w:noProof/>
                <w:webHidden/>
              </w:rPr>
              <w:fldChar w:fldCharType="end"/>
            </w:r>
          </w:hyperlink>
        </w:p>
        <w:p w14:paraId="0B87A2BE" w14:textId="476547F0" w:rsidR="005F66CE" w:rsidRDefault="005F66CE">
          <w:pPr>
            <w:pStyle w:val="TOC1"/>
            <w:tabs>
              <w:tab w:val="right" w:leader="dot" w:pos="9016"/>
            </w:tabs>
            <w:rPr>
              <w:rFonts w:asciiTheme="minorHAnsi" w:eastAsiaTheme="minorEastAsia" w:hAnsiTheme="minorHAnsi" w:cstheme="minorBidi"/>
              <w:noProof/>
              <w:lang w:eastAsia="en-GB"/>
            </w:rPr>
          </w:pPr>
          <w:hyperlink w:anchor="_Toc225779557" w:history="1">
            <w:r w:rsidRPr="00881A35">
              <w:rPr>
                <w:rStyle w:val="Hyperlink"/>
                <w:rFonts w:ascii="Arial" w:hAnsi="Arial" w:cs="Arial"/>
                <w:noProof/>
              </w:rPr>
              <w:t>Part 2</w:t>
            </w:r>
            <w:r>
              <w:rPr>
                <w:noProof/>
                <w:webHidden/>
              </w:rPr>
              <w:tab/>
            </w:r>
            <w:r>
              <w:rPr>
                <w:noProof/>
                <w:webHidden/>
              </w:rPr>
              <w:fldChar w:fldCharType="begin"/>
            </w:r>
            <w:r>
              <w:rPr>
                <w:noProof/>
                <w:webHidden/>
              </w:rPr>
              <w:instrText xml:space="preserve"> PAGEREF _Toc225779557 \h </w:instrText>
            </w:r>
            <w:r>
              <w:rPr>
                <w:noProof/>
                <w:webHidden/>
              </w:rPr>
            </w:r>
            <w:r>
              <w:rPr>
                <w:noProof/>
                <w:webHidden/>
              </w:rPr>
              <w:fldChar w:fldCharType="separate"/>
            </w:r>
            <w:r w:rsidR="0070769A">
              <w:rPr>
                <w:noProof/>
                <w:webHidden/>
              </w:rPr>
              <w:t>12</w:t>
            </w:r>
            <w:r>
              <w:rPr>
                <w:noProof/>
                <w:webHidden/>
              </w:rPr>
              <w:fldChar w:fldCharType="end"/>
            </w:r>
          </w:hyperlink>
        </w:p>
        <w:p w14:paraId="6D7B0A51" w14:textId="4692B2D5" w:rsidR="005F66CE" w:rsidRDefault="005F66CE">
          <w:pPr>
            <w:pStyle w:val="TOC1"/>
            <w:tabs>
              <w:tab w:val="right" w:leader="dot" w:pos="9016"/>
            </w:tabs>
            <w:rPr>
              <w:rFonts w:asciiTheme="minorHAnsi" w:eastAsiaTheme="minorEastAsia" w:hAnsiTheme="minorHAnsi" w:cstheme="minorBidi"/>
              <w:noProof/>
              <w:lang w:eastAsia="en-GB"/>
            </w:rPr>
          </w:pPr>
          <w:hyperlink w:anchor="_Toc225779558" w:history="1">
            <w:r w:rsidRPr="00881A35">
              <w:rPr>
                <w:rStyle w:val="Hyperlink"/>
                <w:noProof/>
              </w:rPr>
              <w:t>References</w:t>
            </w:r>
            <w:r>
              <w:rPr>
                <w:noProof/>
                <w:webHidden/>
              </w:rPr>
              <w:tab/>
            </w:r>
            <w:r>
              <w:rPr>
                <w:noProof/>
                <w:webHidden/>
              </w:rPr>
              <w:fldChar w:fldCharType="begin"/>
            </w:r>
            <w:r>
              <w:rPr>
                <w:noProof/>
                <w:webHidden/>
              </w:rPr>
              <w:instrText xml:space="preserve"> PAGEREF _Toc225779558 \h </w:instrText>
            </w:r>
            <w:r>
              <w:rPr>
                <w:noProof/>
                <w:webHidden/>
              </w:rPr>
            </w:r>
            <w:r>
              <w:rPr>
                <w:noProof/>
                <w:webHidden/>
              </w:rPr>
              <w:fldChar w:fldCharType="separate"/>
            </w:r>
            <w:r w:rsidR="0070769A">
              <w:rPr>
                <w:noProof/>
                <w:webHidden/>
              </w:rPr>
              <w:t>16</w:t>
            </w:r>
            <w:r>
              <w:rPr>
                <w:noProof/>
                <w:webHidden/>
              </w:rPr>
              <w:fldChar w:fldCharType="end"/>
            </w:r>
          </w:hyperlink>
        </w:p>
        <w:p w14:paraId="2447C794" w14:textId="34FA5B9A" w:rsidR="005F66CE" w:rsidRDefault="005F66CE">
          <w:pPr>
            <w:pStyle w:val="TOC1"/>
            <w:tabs>
              <w:tab w:val="right" w:leader="dot" w:pos="9016"/>
            </w:tabs>
            <w:rPr>
              <w:rFonts w:asciiTheme="minorHAnsi" w:eastAsiaTheme="minorEastAsia" w:hAnsiTheme="minorHAnsi" w:cstheme="minorBidi"/>
              <w:noProof/>
              <w:lang w:eastAsia="en-GB"/>
            </w:rPr>
          </w:pPr>
          <w:hyperlink w:anchor="_Toc225779559" w:history="1">
            <w:r w:rsidRPr="00881A35">
              <w:rPr>
                <w:rStyle w:val="Hyperlink"/>
                <w:noProof/>
              </w:rPr>
              <w:t>Appendix</w:t>
            </w:r>
            <w:r>
              <w:rPr>
                <w:noProof/>
                <w:webHidden/>
              </w:rPr>
              <w:tab/>
            </w:r>
            <w:r>
              <w:rPr>
                <w:noProof/>
                <w:webHidden/>
              </w:rPr>
              <w:fldChar w:fldCharType="begin"/>
            </w:r>
            <w:r>
              <w:rPr>
                <w:noProof/>
                <w:webHidden/>
              </w:rPr>
              <w:instrText xml:space="preserve"> PAGEREF _Toc225779559 \h </w:instrText>
            </w:r>
            <w:r>
              <w:rPr>
                <w:noProof/>
                <w:webHidden/>
              </w:rPr>
            </w:r>
            <w:r>
              <w:rPr>
                <w:noProof/>
                <w:webHidden/>
              </w:rPr>
              <w:fldChar w:fldCharType="separate"/>
            </w:r>
            <w:r w:rsidR="0070769A">
              <w:rPr>
                <w:noProof/>
                <w:webHidden/>
              </w:rPr>
              <w:t>21</w:t>
            </w:r>
            <w:r>
              <w:rPr>
                <w:noProof/>
                <w:webHidden/>
              </w:rPr>
              <w:fldChar w:fldCharType="end"/>
            </w:r>
          </w:hyperlink>
        </w:p>
        <w:p w14:paraId="4C5BE192" w14:textId="70C03FDF" w:rsidR="0064460A" w:rsidRDefault="0064460A">
          <w:r>
            <w:rPr>
              <w:b/>
              <w:bCs/>
              <w:noProof/>
              <w:lang w:val="en-US"/>
            </w:rPr>
            <w:fldChar w:fldCharType="end"/>
          </w:r>
        </w:p>
      </w:sdtContent>
    </w:sdt>
    <w:p w14:paraId="1DDB182E" w14:textId="635583BA" w:rsidR="0064460A" w:rsidRDefault="0064460A"/>
    <w:p w14:paraId="7A9AE4BC" w14:textId="77777777" w:rsidR="0064460A" w:rsidRDefault="0064460A"/>
    <w:p w14:paraId="4FDE7CA0" w14:textId="77777777" w:rsidR="0064460A" w:rsidRDefault="0064460A"/>
    <w:p w14:paraId="6B0E6DAA" w14:textId="77777777" w:rsidR="0064460A" w:rsidRDefault="0064460A"/>
    <w:p w14:paraId="36589441" w14:textId="77777777" w:rsidR="0064460A" w:rsidRDefault="0064460A"/>
    <w:p w14:paraId="49A161E8" w14:textId="77777777" w:rsidR="0064460A" w:rsidRDefault="0064460A"/>
    <w:p w14:paraId="6182B627" w14:textId="77777777" w:rsidR="0064460A" w:rsidRDefault="0064460A"/>
    <w:p w14:paraId="1655F3F2" w14:textId="77777777" w:rsidR="0064460A" w:rsidRDefault="0064460A"/>
    <w:p w14:paraId="0DF63709" w14:textId="77777777" w:rsidR="0064460A" w:rsidRDefault="0064460A"/>
    <w:p w14:paraId="4A9080B7" w14:textId="77777777" w:rsidR="0064460A" w:rsidRDefault="0064460A"/>
    <w:p w14:paraId="2C3E5308" w14:textId="77777777" w:rsidR="0064460A" w:rsidRDefault="0064460A"/>
    <w:p w14:paraId="31E5FC33" w14:textId="77777777" w:rsidR="0064460A" w:rsidRDefault="0064460A"/>
    <w:p w14:paraId="75982F95" w14:textId="77777777" w:rsidR="0064460A" w:rsidRDefault="0064460A"/>
    <w:p w14:paraId="71E2644D" w14:textId="77777777" w:rsidR="0064460A" w:rsidRDefault="0064460A"/>
    <w:p w14:paraId="6CC97F1B" w14:textId="7ED4F6E2" w:rsidR="00566110" w:rsidRPr="0017269F" w:rsidRDefault="00566110" w:rsidP="0017269F">
      <w:pPr>
        <w:pStyle w:val="Heading1"/>
        <w:spacing w:line="360" w:lineRule="auto"/>
        <w:jc w:val="both"/>
        <w:rPr>
          <w:rFonts w:ascii="Arial" w:hAnsi="Arial" w:cs="Arial"/>
          <w:sz w:val="24"/>
          <w:szCs w:val="24"/>
        </w:rPr>
      </w:pPr>
      <w:bookmarkStart w:id="0" w:name="_Toc225779550"/>
      <w:r w:rsidRPr="0017269F">
        <w:rPr>
          <w:rFonts w:ascii="Arial" w:hAnsi="Arial" w:cs="Arial"/>
          <w:sz w:val="24"/>
          <w:szCs w:val="24"/>
        </w:rPr>
        <w:lastRenderedPageBreak/>
        <w:t>Part 1</w:t>
      </w:r>
      <w:bookmarkEnd w:id="0"/>
    </w:p>
    <w:p w14:paraId="1D34BD79" w14:textId="5FB7108B" w:rsidR="0064460A" w:rsidRPr="0017269F" w:rsidRDefault="00617350" w:rsidP="00617350">
      <w:pPr>
        <w:pStyle w:val="Heading1"/>
        <w:spacing w:line="360" w:lineRule="auto"/>
        <w:jc w:val="both"/>
        <w:rPr>
          <w:rFonts w:ascii="Arial" w:hAnsi="Arial" w:cs="Arial"/>
          <w:sz w:val="24"/>
          <w:szCs w:val="24"/>
        </w:rPr>
      </w:pPr>
      <w:bookmarkStart w:id="1" w:name="_Toc225779551"/>
      <w:r>
        <w:rPr>
          <w:rFonts w:ascii="Arial" w:hAnsi="Arial" w:cs="Arial"/>
          <w:sz w:val="24"/>
          <w:szCs w:val="24"/>
        </w:rPr>
        <w:t xml:space="preserve">1. </w:t>
      </w:r>
      <w:r w:rsidR="0064460A" w:rsidRPr="0017269F">
        <w:rPr>
          <w:rFonts w:ascii="Arial" w:hAnsi="Arial" w:cs="Arial"/>
          <w:sz w:val="24"/>
          <w:szCs w:val="24"/>
        </w:rPr>
        <w:t>Introduction</w:t>
      </w:r>
      <w:bookmarkEnd w:id="1"/>
    </w:p>
    <w:p w14:paraId="775D9312" w14:textId="5FA6CBB9" w:rsidR="0064460A" w:rsidRPr="0017269F" w:rsidRDefault="0064460A" w:rsidP="0017269F">
      <w:pPr>
        <w:spacing w:line="360" w:lineRule="auto"/>
        <w:jc w:val="both"/>
        <w:rPr>
          <w:rFonts w:ascii="Arial" w:hAnsi="Arial" w:cs="Arial"/>
        </w:rPr>
      </w:pPr>
      <w:r w:rsidRPr="0017269F">
        <w:rPr>
          <w:rFonts w:ascii="Arial" w:hAnsi="Arial" w:cs="Arial"/>
        </w:rPr>
        <w:t xml:space="preserve">Seren </w:t>
      </w:r>
      <w:proofErr w:type="spellStart"/>
      <w:r w:rsidRPr="0017269F">
        <w:rPr>
          <w:rFonts w:ascii="Arial" w:hAnsi="Arial" w:cs="Arial"/>
        </w:rPr>
        <w:t>Coffi</w:t>
      </w:r>
      <w:proofErr w:type="spellEnd"/>
      <w:r w:rsidRPr="0017269F">
        <w:rPr>
          <w:rFonts w:ascii="Arial" w:hAnsi="Arial" w:cs="Arial"/>
        </w:rPr>
        <w:t xml:space="preserve"> is a small independent coffee shop in Cardiff built around reuse, openness, and local identity rather than speed or scale. The case shows that it stood out through Welsh signage, transparent chalkboard sourcing, reused furniture, and community events.</w:t>
      </w:r>
      <w:r w:rsidR="00585060" w:rsidRPr="0017269F">
        <w:rPr>
          <w:rFonts w:ascii="Arial" w:hAnsi="Arial" w:cs="Arial"/>
        </w:rPr>
        <w:t xml:space="preserve"> Innovation literature helps explain why this matters; firms can create value through differentiated experiences and forms of meaning around the core offer (Tidd and Bessant; Trott,2016). Recent search on small foodservice business also shows that care, responsibility</w:t>
      </w:r>
      <w:r w:rsidR="00DD05DF" w:rsidRPr="0017269F">
        <w:rPr>
          <w:rFonts w:ascii="Arial" w:hAnsi="Arial" w:cs="Arial"/>
        </w:rPr>
        <w:t>,</w:t>
      </w:r>
      <w:r w:rsidR="00585060" w:rsidRPr="0017269F">
        <w:rPr>
          <w:rFonts w:ascii="Arial" w:hAnsi="Arial" w:cs="Arial"/>
        </w:rPr>
        <w:t xml:space="preserve"> </w:t>
      </w:r>
      <w:r w:rsidR="00DD05DF" w:rsidRPr="0017269F">
        <w:rPr>
          <w:rFonts w:ascii="Arial" w:hAnsi="Arial" w:cs="Arial"/>
        </w:rPr>
        <w:t>and social meaning can shape how customers interpret a hospitality offer (Tomasella, Ali, and Gill, 2024).</w:t>
      </w:r>
    </w:p>
    <w:p w14:paraId="4C63082D" w14:textId="1468025C" w:rsidR="00DD05DF" w:rsidRPr="0017269F" w:rsidRDefault="0064460A" w:rsidP="0017269F">
      <w:pPr>
        <w:spacing w:line="360" w:lineRule="auto"/>
        <w:jc w:val="both"/>
        <w:rPr>
          <w:rFonts w:ascii="Arial" w:hAnsi="Arial" w:cs="Arial"/>
        </w:rPr>
      </w:pPr>
      <w:r w:rsidRPr="0017269F">
        <w:rPr>
          <w:rFonts w:ascii="Arial" w:hAnsi="Arial" w:cs="Arial"/>
        </w:rPr>
        <w:t xml:space="preserve">The problem in January 2026 is not a lack of demand. The case states that the product is still wanted and the model is sound. </w:t>
      </w:r>
      <w:r w:rsidR="00CB47C4" w:rsidRPr="0017269F">
        <w:rPr>
          <w:rFonts w:ascii="Arial" w:hAnsi="Arial" w:cs="Arial"/>
        </w:rPr>
        <w:t xml:space="preserve">The failure is operational and organisational. Rising costs, poor insulation, equipment issues, and weak founder discipline have left the business brittle. A broken grinder has not been replaced, poetry nights have stopped, and only £2000 remains in petty cash. Hospitality SME research </w:t>
      </w:r>
      <w:r w:rsidR="00DD05DF" w:rsidRPr="0017269F">
        <w:rPr>
          <w:rFonts w:ascii="Arial" w:hAnsi="Arial" w:cs="Arial"/>
        </w:rPr>
        <w:t>highlights both the vulnerability of small owner-managed firms and the pressure created when several crises hit at once (Ahmed, 2015; Dowell, Bowen, and Morris, 2023).</w:t>
      </w:r>
    </w:p>
    <w:p w14:paraId="43BBE47E" w14:textId="05DE781F" w:rsidR="00CB47C4" w:rsidRPr="0017269F" w:rsidRDefault="00DD05DF" w:rsidP="0017269F">
      <w:pPr>
        <w:spacing w:line="360" w:lineRule="auto"/>
        <w:jc w:val="both"/>
        <w:rPr>
          <w:rFonts w:ascii="Arial" w:hAnsi="Arial" w:cs="Arial"/>
        </w:rPr>
      </w:pPr>
      <w:r w:rsidRPr="0017269F">
        <w:rPr>
          <w:rFonts w:ascii="Arial" w:hAnsi="Arial" w:cs="Arial"/>
        </w:rPr>
        <w:t xml:space="preserve">This </w:t>
      </w:r>
      <w:r w:rsidR="00CB47C4" w:rsidRPr="0017269F">
        <w:rPr>
          <w:rFonts w:ascii="Arial" w:hAnsi="Arial" w:cs="Arial"/>
        </w:rPr>
        <w:t xml:space="preserve">report argues that Seren </w:t>
      </w:r>
      <w:proofErr w:type="spellStart"/>
      <w:r w:rsidR="00CB47C4" w:rsidRPr="0017269F">
        <w:rPr>
          <w:rFonts w:ascii="Arial" w:hAnsi="Arial" w:cs="Arial"/>
        </w:rPr>
        <w:t>Coffi</w:t>
      </w:r>
      <w:proofErr w:type="spellEnd"/>
      <w:r w:rsidR="00CB47C4" w:rsidRPr="0017269F">
        <w:rPr>
          <w:rFonts w:ascii="Arial" w:hAnsi="Arial" w:cs="Arial"/>
        </w:rPr>
        <w:t xml:space="preserve"> should not chase rapid growth or accept heavy standardisation from the hospitality group. Instead, it should adopt a value-led recovery package that keeps leadership, governance, and suppliers unchanged while making the current model more reliable.</w:t>
      </w:r>
    </w:p>
    <w:p w14:paraId="0FC5D8DD" w14:textId="0EA8792A" w:rsidR="00CB47C4" w:rsidRPr="0017269F" w:rsidRDefault="00CB47C4" w:rsidP="0017269F">
      <w:pPr>
        <w:spacing w:line="360" w:lineRule="auto"/>
        <w:jc w:val="both"/>
        <w:rPr>
          <w:rFonts w:ascii="Arial" w:hAnsi="Arial" w:cs="Arial"/>
        </w:rPr>
      </w:pPr>
      <w:r w:rsidRPr="0017269F">
        <w:rPr>
          <w:rFonts w:ascii="Arial" w:hAnsi="Arial" w:cs="Arial"/>
        </w:rPr>
        <w:t>The proposal combines supplier-supported equipment leasing and maintenance, an insulation or renovation request, a formal owner’s recovery meeting, a limited alcohol licence for selected events, and staged price increases.</w:t>
      </w:r>
    </w:p>
    <w:p w14:paraId="5D36803A" w14:textId="77777777" w:rsidR="00CB47C4" w:rsidRPr="0017269F" w:rsidRDefault="00CB47C4" w:rsidP="0017269F">
      <w:pPr>
        <w:spacing w:line="360" w:lineRule="auto"/>
        <w:jc w:val="both"/>
        <w:rPr>
          <w:rFonts w:ascii="Arial" w:hAnsi="Arial" w:cs="Arial"/>
        </w:rPr>
      </w:pPr>
    </w:p>
    <w:p w14:paraId="17A6DFA0" w14:textId="77777777" w:rsidR="00335B88" w:rsidRPr="0017269F" w:rsidRDefault="00335B88" w:rsidP="0017269F">
      <w:pPr>
        <w:spacing w:line="360" w:lineRule="auto"/>
        <w:jc w:val="both"/>
        <w:rPr>
          <w:rFonts w:ascii="Arial" w:hAnsi="Arial" w:cs="Arial"/>
        </w:rPr>
      </w:pPr>
    </w:p>
    <w:p w14:paraId="0DD2C0DF" w14:textId="77777777" w:rsidR="00335B88" w:rsidRPr="0017269F" w:rsidRDefault="00335B88" w:rsidP="0017269F">
      <w:pPr>
        <w:spacing w:line="360" w:lineRule="auto"/>
        <w:jc w:val="both"/>
        <w:rPr>
          <w:rFonts w:ascii="Arial" w:hAnsi="Arial" w:cs="Arial"/>
        </w:rPr>
      </w:pPr>
    </w:p>
    <w:p w14:paraId="077B9CD7" w14:textId="77777777" w:rsidR="00335B88" w:rsidRPr="0017269F" w:rsidRDefault="00335B88" w:rsidP="0017269F">
      <w:pPr>
        <w:spacing w:line="360" w:lineRule="auto"/>
        <w:jc w:val="both"/>
        <w:rPr>
          <w:rFonts w:ascii="Arial" w:hAnsi="Arial" w:cs="Arial"/>
        </w:rPr>
      </w:pPr>
    </w:p>
    <w:p w14:paraId="024A329E" w14:textId="77777777" w:rsidR="00335B88" w:rsidRPr="0017269F" w:rsidRDefault="00335B88" w:rsidP="0017269F">
      <w:pPr>
        <w:spacing w:line="360" w:lineRule="auto"/>
        <w:jc w:val="both"/>
        <w:rPr>
          <w:rFonts w:ascii="Arial" w:hAnsi="Arial" w:cs="Arial"/>
        </w:rPr>
      </w:pPr>
    </w:p>
    <w:p w14:paraId="716C571E" w14:textId="4B52E832" w:rsidR="00335B88" w:rsidRPr="0017269F" w:rsidRDefault="00335B88" w:rsidP="0017269F">
      <w:pPr>
        <w:pStyle w:val="Heading1"/>
        <w:spacing w:line="360" w:lineRule="auto"/>
        <w:jc w:val="both"/>
        <w:rPr>
          <w:rFonts w:ascii="Arial" w:hAnsi="Arial" w:cs="Arial"/>
          <w:sz w:val="24"/>
          <w:szCs w:val="24"/>
        </w:rPr>
      </w:pPr>
      <w:bookmarkStart w:id="2" w:name="_Toc225779552"/>
      <w:r w:rsidRPr="0017269F">
        <w:rPr>
          <w:rFonts w:ascii="Arial" w:hAnsi="Arial" w:cs="Arial"/>
          <w:sz w:val="24"/>
          <w:szCs w:val="24"/>
        </w:rPr>
        <w:lastRenderedPageBreak/>
        <w:t>2. Creativity, innovation, and the limits of capitalist growth</w:t>
      </w:r>
      <w:bookmarkEnd w:id="2"/>
      <w:r w:rsidRPr="0017269F">
        <w:rPr>
          <w:rFonts w:ascii="Arial" w:hAnsi="Arial" w:cs="Arial"/>
          <w:sz w:val="24"/>
          <w:szCs w:val="24"/>
        </w:rPr>
        <w:t xml:space="preserve"> </w:t>
      </w:r>
    </w:p>
    <w:p w14:paraId="58CBF789" w14:textId="77777777" w:rsidR="00CB47C4" w:rsidRPr="0017269F" w:rsidRDefault="00CB47C4" w:rsidP="0017269F">
      <w:pPr>
        <w:spacing w:line="360" w:lineRule="auto"/>
        <w:jc w:val="both"/>
        <w:rPr>
          <w:rFonts w:ascii="Arial" w:hAnsi="Arial" w:cs="Arial"/>
        </w:rPr>
      </w:pPr>
    </w:p>
    <w:p w14:paraId="683B3C0A" w14:textId="29BA7E43" w:rsidR="0064460A" w:rsidRPr="0017269F" w:rsidRDefault="00335B88" w:rsidP="0017269F">
      <w:pPr>
        <w:spacing w:line="360" w:lineRule="auto"/>
        <w:jc w:val="both"/>
        <w:rPr>
          <w:rFonts w:ascii="Arial" w:hAnsi="Arial" w:cs="Arial"/>
        </w:rPr>
      </w:pPr>
      <w:r w:rsidRPr="0017269F">
        <w:rPr>
          <w:rFonts w:ascii="Arial" w:hAnsi="Arial" w:cs="Arial"/>
        </w:rPr>
        <w:t xml:space="preserve">Creativity is usually about producing </w:t>
      </w:r>
      <w:r w:rsidR="005770B3" w:rsidRPr="0017269F">
        <w:rPr>
          <w:rFonts w:ascii="Arial" w:hAnsi="Arial" w:cs="Arial"/>
        </w:rPr>
        <w:t>novel and useful ideas</w:t>
      </w:r>
      <w:r w:rsidRPr="0017269F">
        <w:rPr>
          <w:rFonts w:ascii="Arial" w:hAnsi="Arial" w:cs="Arial"/>
        </w:rPr>
        <w:t>, whereas innovation is about</w:t>
      </w:r>
      <w:r w:rsidR="00DD05DF" w:rsidRPr="0017269F">
        <w:rPr>
          <w:rFonts w:ascii="Arial" w:hAnsi="Arial" w:cs="Arial"/>
        </w:rPr>
        <w:t xml:space="preserve"> implementing those ideas in practice (Amabile, 1996; Anderson, Potocnik, and Zhou, 2014). Seren </w:t>
      </w:r>
      <w:proofErr w:type="spellStart"/>
      <w:r w:rsidR="00DD05DF" w:rsidRPr="0017269F">
        <w:rPr>
          <w:rFonts w:ascii="Arial" w:hAnsi="Arial" w:cs="Arial"/>
        </w:rPr>
        <w:t>Coffi</w:t>
      </w:r>
      <w:proofErr w:type="spellEnd"/>
      <w:r w:rsidR="00DD05DF" w:rsidRPr="0017269F">
        <w:rPr>
          <w:rFonts w:ascii="Arial" w:hAnsi="Arial" w:cs="Arial"/>
        </w:rPr>
        <w:t xml:space="preserve"> was clearly creative from the start, but the case shows that creativity alone was not enough. Without systems, maintenance</w:t>
      </w:r>
      <w:r w:rsidR="005770B3" w:rsidRPr="0017269F">
        <w:rPr>
          <w:rFonts w:ascii="Arial" w:hAnsi="Arial" w:cs="Arial"/>
        </w:rPr>
        <w:t>,</w:t>
      </w:r>
      <w:r w:rsidR="00DD05DF" w:rsidRPr="0017269F">
        <w:rPr>
          <w:rFonts w:ascii="Arial" w:hAnsi="Arial" w:cs="Arial"/>
        </w:rPr>
        <w:t xml:space="preserve"> and timely decisions, good ideas become fragile. Amabile’s work is useful here because it shows that context matters as much as imagination when organisations try to innovate (Amabile, 1988).</w:t>
      </w:r>
    </w:p>
    <w:p w14:paraId="07F988C3" w14:textId="02D903A4" w:rsidR="00DD05DF" w:rsidRPr="0017269F" w:rsidRDefault="00DD05DF" w:rsidP="0017269F">
      <w:pPr>
        <w:spacing w:line="360" w:lineRule="auto"/>
        <w:jc w:val="both"/>
        <w:rPr>
          <w:rFonts w:ascii="Arial" w:hAnsi="Arial" w:cs="Arial"/>
        </w:rPr>
      </w:pPr>
      <w:r w:rsidRPr="0017269F">
        <w:rPr>
          <w:rFonts w:ascii="Arial" w:hAnsi="Arial" w:cs="Arial"/>
        </w:rPr>
        <w:t xml:space="preserve">In hospitality, innovation is often </w:t>
      </w:r>
      <w:r w:rsidR="005770B3" w:rsidRPr="0017269F">
        <w:rPr>
          <w:rFonts w:ascii="Arial" w:hAnsi="Arial" w:cs="Arial"/>
        </w:rPr>
        <w:t>low-tech</w:t>
      </w:r>
      <w:r w:rsidRPr="0017269F">
        <w:rPr>
          <w:rFonts w:ascii="Arial" w:hAnsi="Arial" w:cs="Arial"/>
        </w:rPr>
        <w:t xml:space="preserve"> and </w:t>
      </w:r>
      <w:r w:rsidR="005770B3" w:rsidRPr="0017269F">
        <w:rPr>
          <w:rFonts w:ascii="Arial" w:hAnsi="Arial" w:cs="Arial"/>
        </w:rPr>
        <w:t>experience-based</w:t>
      </w:r>
      <w:r w:rsidRPr="0017269F">
        <w:rPr>
          <w:rFonts w:ascii="Arial" w:hAnsi="Arial" w:cs="Arial"/>
        </w:rPr>
        <w:t>.</w:t>
      </w:r>
      <w:r w:rsidR="005770B3" w:rsidRPr="0017269F">
        <w:rPr>
          <w:rFonts w:ascii="Arial" w:hAnsi="Arial" w:cs="Arial"/>
        </w:rPr>
        <w:t xml:space="preserve"> It may involve atmosphere, service design, partnership, pricing, or routines rather than research laboratories or expensive technology (Den Hertog, </w:t>
      </w:r>
      <w:proofErr w:type="spellStart"/>
      <w:r w:rsidR="005770B3" w:rsidRPr="0017269F">
        <w:rPr>
          <w:rFonts w:ascii="Arial" w:hAnsi="Arial" w:cs="Arial"/>
        </w:rPr>
        <w:t>Gallouj</w:t>
      </w:r>
      <w:proofErr w:type="spellEnd"/>
      <w:r w:rsidR="005770B3" w:rsidRPr="0017269F">
        <w:rPr>
          <w:rFonts w:ascii="Arial" w:hAnsi="Arial" w:cs="Arial"/>
        </w:rPr>
        <w:t xml:space="preserve">, and Segers, 2011; Tejada and Moreno, 2013). Knowledge can also come from daily operations and local networks rather than formal departments (Nieves and Diaz-Meneses, 2018; Kim and Shim, 2018). </w:t>
      </w:r>
      <w:r w:rsidR="00754662" w:rsidRPr="0017269F">
        <w:rPr>
          <w:rFonts w:ascii="Arial" w:hAnsi="Arial" w:cs="Arial"/>
        </w:rPr>
        <w:t>Those fit</w:t>
      </w:r>
      <w:r w:rsidR="005770B3" w:rsidRPr="0017269F">
        <w:rPr>
          <w:rFonts w:ascii="Arial" w:hAnsi="Arial" w:cs="Arial"/>
        </w:rPr>
        <w:t xml:space="preserve"> </w:t>
      </w:r>
      <w:r w:rsidR="00754662" w:rsidRPr="0017269F">
        <w:rPr>
          <w:rFonts w:ascii="Arial" w:hAnsi="Arial" w:cs="Arial"/>
        </w:rPr>
        <w:t xml:space="preserve">Seren </w:t>
      </w:r>
      <w:proofErr w:type="spellStart"/>
      <w:r w:rsidR="00754662" w:rsidRPr="0017269F">
        <w:rPr>
          <w:rFonts w:ascii="Arial" w:hAnsi="Arial" w:cs="Arial"/>
        </w:rPr>
        <w:t>Coffi</w:t>
      </w:r>
      <w:proofErr w:type="spellEnd"/>
      <w:r w:rsidR="00754662" w:rsidRPr="0017269F">
        <w:rPr>
          <w:rFonts w:ascii="Arial" w:hAnsi="Arial" w:cs="Arial"/>
        </w:rPr>
        <w:t xml:space="preserve"> closely. Its strongest assets are relational and cultural, so the right innovation stabilises those assets rather than replaces them with a generic chain model.</w:t>
      </w:r>
    </w:p>
    <w:p w14:paraId="3F89154B" w14:textId="3DEE6B72" w:rsidR="00754662" w:rsidRPr="0017269F" w:rsidRDefault="00754662" w:rsidP="0017269F">
      <w:pPr>
        <w:spacing w:line="360" w:lineRule="auto"/>
        <w:jc w:val="both"/>
        <w:rPr>
          <w:rFonts w:ascii="Arial" w:hAnsi="Arial" w:cs="Arial"/>
        </w:rPr>
      </w:pPr>
      <w:r w:rsidRPr="0017269F">
        <w:rPr>
          <w:rFonts w:ascii="Arial" w:hAnsi="Arial" w:cs="Arial"/>
        </w:rPr>
        <w:t>A narrow capitalist response would prioritise standardisation, faster decisions, and easier replication. That logic has strengths, but it is risky here. Innovation research warns that growth can weaken distinctiveness when firms drift towards imitation rather than protect what makes them different (Turner, 2020).</w:t>
      </w:r>
    </w:p>
    <w:p w14:paraId="61004104" w14:textId="2E9686EE" w:rsidR="00754662" w:rsidRPr="0017269F" w:rsidRDefault="00754662" w:rsidP="0017269F">
      <w:pPr>
        <w:spacing w:line="360" w:lineRule="auto"/>
        <w:jc w:val="both"/>
        <w:rPr>
          <w:rFonts w:ascii="Arial" w:hAnsi="Arial" w:cs="Arial"/>
        </w:rPr>
      </w:pPr>
      <w:r w:rsidRPr="0017269F">
        <w:rPr>
          <w:rFonts w:ascii="Arial" w:hAnsi="Arial" w:cs="Arial"/>
        </w:rPr>
        <w:t>Open innovation, by contrast, points to leveraging external relationships to strengthen internal capabilities rather than simply standardising everything (Chesbrough, Vanhaverbeke and West, 2014).</w:t>
      </w:r>
      <w:r w:rsidR="00B759DF" w:rsidRPr="0017269F">
        <w:rPr>
          <w:rFonts w:ascii="Arial" w:hAnsi="Arial" w:cs="Arial"/>
        </w:rPr>
        <w:t xml:space="preserve"> Business model research makes a related point; value comes from the fit between partners, resources, activities, and customer promise, not from size alone (Foss and </w:t>
      </w:r>
      <w:proofErr w:type="spellStart"/>
      <w:r w:rsidR="00B759DF" w:rsidRPr="0017269F">
        <w:rPr>
          <w:rFonts w:ascii="Arial" w:hAnsi="Arial" w:cs="Arial"/>
        </w:rPr>
        <w:t>Saebi</w:t>
      </w:r>
      <w:proofErr w:type="spellEnd"/>
      <w:r w:rsidR="00B759DF" w:rsidRPr="0017269F">
        <w:rPr>
          <w:rFonts w:ascii="Arial" w:hAnsi="Arial" w:cs="Arial"/>
        </w:rPr>
        <w:t>, 2017; Teece,2018). For Seren Coffi, heavy standardisation would weaken the very identity that attracted community support in the first place.</w:t>
      </w:r>
    </w:p>
    <w:p w14:paraId="0898B915" w14:textId="77777777" w:rsidR="00B759DF" w:rsidRPr="0017269F" w:rsidRDefault="00B759DF" w:rsidP="0017269F">
      <w:pPr>
        <w:spacing w:line="360" w:lineRule="auto"/>
        <w:jc w:val="both"/>
        <w:rPr>
          <w:rFonts w:ascii="Arial" w:hAnsi="Arial" w:cs="Arial"/>
        </w:rPr>
      </w:pPr>
    </w:p>
    <w:p w14:paraId="4F8A2A5F" w14:textId="77777777" w:rsidR="00B759DF" w:rsidRPr="0017269F" w:rsidRDefault="00B759DF" w:rsidP="0017269F">
      <w:pPr>
        <w:spacing w:line="360" w:lineRule="auto"/>
        <w:jc w:val="both"/>
        <w:rPr>
          <w:rFonts w:ascii="Arial" w:hAnsi="Arial" w:cs="Arial"/>
        </w:rPr>
      </w:pPr>
    </w:p>
    <w:p w14:paraId="43B5263D" w14:textId="77777777" w:rsidR="00B759DF" w:rsidRPr="0017269F" w:rsidRDefault="00B759DF" w:rsidP="0017269F">
      <w:pPr>
        <w:spacing w:line="360" w:lineRule="auto"/>
        <w:jc w:val="both"/>
        <w:rPr>
          <w:rFonts w:ascii="Arial" w:hAnsi="Arial" w:cs="Arial"/>
        </w:rPr>
      </w:pPr>
    </w:p>
    <w:p w14:paraId="4ADB1653" w14:textId="3B78E18E" w:rsidR="00B759DF" w:rsidRPr="0072135B" w:rsidRDefault="00B759DF" w:rsidP="0072135B">
      <w:pPr>
        <w:pStyle w:val="Heading1"/>
        <w:spacing w:line="360" w:lineRule="auto"/>
        <w:jc w:val="both"/>
        <w:rPr>
          <w:rFonts w:ascii="Arial" w:hAnsi="Arial" w:cs="Arial"/>
          <w:sz w:val="24"/>
          <w:szCs w:val="24"/>
        </w:rPr>
      </w:pPr>
      <w:bookmarkStart w:id="3" w:name="_Toc225779553"/>
      <w:r w:rsidRPr="0017269F">
        <w:rPr>
          <w:rFonts w:ascii="Arial" w:hAnsi="Arial" w:cs="Arial"/>
          <w:sz w:val="24"/>
          <w:szCs w:val="24"/>
        </w:rPr>
        <w:lastRenderedPageBreak/>
        <w:t xml:space="preserve">3. Proposed Innovation for Seren </w:t>
      </w:r>
      <w:proofErr w:type="spellStart"/>
      <w:r w:rsidRPr="0017269F">
        <w:rPr>
          <w:rFonts w:ascii="Arial" w:hAnsi="Arial" w:cs="Arial"/>
          <w:sz w:val="24"/>
          <w:szCs w:val="24"/>
        </w:rPr>
        <w:t>Coffi</w:t>
      </w:r>
      <w:bookmarkEnd w:id="3"/>
      <w:proofErr w:type="spellEnd"/>
    </w:p>
    <w:p w14:paraId="01759112" w14:textId="52CE82EB" w:rsidR="00B759DF" w:rsidRPr="0017269F" w:rsidRDefault="00B759DF" w:rsidP="0017269F">
      <w:pPr>
        <w:spacing w:line="360" w:lineRule="auto"/>
        <w:jc w:val="both"/>
        <w:rPr>
          <w:rFonts w:ascii="Arial" w:hAnsi="Arial" w:cs="Arial"/>
        </w:rPr>
      </w:pPr>
      <w:r w:rsidRPr="0017269F">
        <w:rPr>
          <w:rFonts w:ascii="Arial" w:hAnsi="Arial" w:cs="Arial"/>
        </w:rPr>
        <w:t xml:space="preserve">The recommended innovation is a combined recovery package rather than a single fix. Seren </w:t>
      </w:r>
      <w:proofErr w:type="spellStart"/>
      <w:r w:rsidRPr="0017269F">
        <w:rPr>
          <w:rFonts w:ascii="Arial" w:hAnsi="Arial" w:cs="Arial"/>
        </w:rPr>
        <w:t>Coffi</w:t>
      </w:r>
      <w:proofErr w:type="spellEnd"/>
      <w:r w:rsidRPr="0017269F">
        <w:rPr>
          <w:rFonts w:ascii="Arial" w:hAnsi="Arial" w:cs="Arial"/>
        </w:rPr>
        <w:t xml:space="preserve"> does not need a total reinvention. It needs a stronger operating frame around an offer that people still value.</w:t>
      </w:r>
    </w:p>
    <w:p w14:paraId="30E1085C" w14:textId="5C3671AE" w:rsidR="00B759DF" w:rsidRPr="0017269F" w:rsidRDefault="00B759DF" w:rsidP="0017269F">
      <w:pPr>
        <w:spacing w:line="360" w:lineRule="auto"/>
        <w:jc w:val="both"/>
        <w:rPr>
          <w:rFonts w:ascii="Arial" w:hAnsi="Arial" w:cs="Arial"/>
        </w:rPr>
      </w:pPr>
      <w:r w:rsidRPr="0017269F">
        <w:rPr>
          <w:rFonts w:ascii="Arial" w:hAnsi="Arial" w:cs="Arial"/>
        </w:rPr>
        <w:t>The first move should be to press the current coffee supplier to provide an espresso machine</w:t>
      </w:r>
      <w:r w:rsidR="007E33BC" w:rsidRPr="0017269F">
        <w:rPr>
          <w:rFonts w:ascii="Arial" w:hAnsi="Arial" w:cs="Arial"/>
        </w:rPr>
        <w:t xml:space="preserve"> on lease and a grinder, both with maintenance cover. This stays within the case rule that suppliers must remain unchanged because it depends on the existing relationship, instead of replacing it. It also addresses the most immediate weakness: unreliable equipment. A café whose grinder is broken cannot protect service quality, speed</w:t>
      </w:r>
      <w:r w:rsidR="008D7339" w:rsidRPr="0017269F">
        <w:rPr>
          <w:rFonts w:ascii="Arial" w:hAnsi="Arial" w:cs="Arial"/>
        </w:rPr>
        <w:t>,</w:t>
      </w:r>
      <w:r w:rsidR="007E33BC" w:rsidRPr="0017269F">
        <w:rPr>
          <w:rFonts w:ascii="Arial" w:hAnsi="Arial" w:cs="Arial"/>
        </w:rPr>
        <w:t xml:space="preserve"> or staff confidence. Supply-chain and open-innovation thinking both support this kind of partner-based problem solving when a small firm lacks spare capital and needs an external partner to absorb part of the operating risk (</w:t>
      </w:r>
      <w:r w:rsidR="00113AD1" w:rsidRPr="0017269F">
        <w:rPr>
          <w:rFonts w:ascii="Arial" w:hAnsi="Arial" w:cs="Arial"/>
        </w:rPr>
        <w:t>Manners- Bell and Lyon, 2022; Chesbrough, Van</w:t>
      </w:r>
      <w:r w:rsidR="008D7339" w:rsidRPr="0017269F">
        <w:rPr>
          <w:rFonts w:ascii="Arial" w:hAnsi="Arial" w:cs="Arial"/>
        </w:rPr>
        <w:t xml:space="preserve">haverbeke, and West, 2014). </w:t>
      </w:r>
    </w:p>
    <w:p w14:paraId="04B145BD" w14:textId="2ECF3634" w:rsidR="008D7339" w:rsidRPr="0017269F" w:rsidRDefault="008D7339" w:rsidP="0017269F">
      <w:pPr>
        <w:spacing w:line="360" w:lineRule="auto"/>
        <w:jc w:val="both"/>
        <w:rPr>
          <w:rFonts w:ascii="Arial" w:hAnsi="Arial" w:cs="Arial"/>
        </w:rPr>
      </w:pPr>
      <w:r w:rsidRPr="0017269F">
        <w:rPr>
          <w:rFonts w:ascii="Arial" w:hAnsi="Arial" w:cs="Arial"/>
        </w:rPr>
        <w:t xml:space="preserve">It is also realistic in the UK market. Suppliers openly advertise free-loan or lease packages that include machines, grinders, and servicing, so Seren </w:t>
      </w:r>
      <w:proofErr w:type="spellStart"/>
      <w:r w:rsidRPr="0017269F">
        <w:rPr>
          <w:rFonts w:ascii="Arial" w:hAnsi="Arial" w:cs="Arial"/>
        </w:rPr>
        <w:t>Coffi</w:t>
      </w:r>
      <w:proofErr w:type="spellEnd"/>
      <w:r w:rsidRPr="0017269F">
        <w:rPr>
          <w:rFonts w:ascii="Arial" w:hAnsi="Arial" w:cs="Arial"/>
        </w:rPr>
        <w:t xml:space="preserve"> would be asking for a common arrangement rather than a special favour (Capital Coffee, </w:t>
      </w:r>
      <w:proofErr w:type="spellStart"/>
      <w:r w:rsidRPr="0017269F">
        <w:rPr>
          <w:rFonts w:ascii="Arial" w:hAnsi="Arial" w:cs="Arial"/>
        </w:rPr>
        <w:t>n.d</w:t>
      </w:r>
      <w:proofErr w:type="spellEnd"/>
      <w:r w:rsidRPr="0017269F">
        <w:rPr>
          <w:rFonts w:ascii="Arial" w:hAnsi="Arial" w:cs="Arial"/>
        </w:rPr>
        <w:t xml:space="preserve">; Storm Coffee Supplies, </w:t>
      </w:r>
      <w:proofErr w:type="spellStart"/>
      <w:r w:rsidRPr="0017269F">
        <w:rPr>
          <w:rFonts w:ascii="Arial" w:hAnsi="Arial" w:cs="Arial"/>
        </w:rPr>
        <w:t>n.d</w:t>
      </w:r>
      <w:proofErr w:type="spellEnd"/>
      <w:r w:rsidRPr="0017269F">
        <w:rPr>
          <w:rFonts w:ascii="Arial" w:hAnsi="Arial" w:cs="Arial"/>
        </w:rPr>
        <w:t>).</w:t>
      </w:r>
    </w:p>
    <w:p w14:paraId="7C6F1A8A" w14:textId="749B8F04" w:rsidR="008D7339" w:rsidRPr="0017269F" w:rsidRDefault="008D7339" w:rsidP="0017269F">
      <w:pPr>
        <w:spacing w:line="360" w:lineRule="auto"/>
        <w:jc w:val="both"/>
        <w:rPr>
          <w:rFonts w:ascii="Arial" w:hAnsi="Arial" w:cs="Arial"/>
        </w:rPr>
      </w:pPr>
      <w:r w:rsidRPr="0017269F">
        <w:rPr>
          <w:rFonts w:ascii="Arial" w:hAnsi="Arial" w:cs="Arial"/>
        </w:rPr>
        <w:t>In practice, this would stabilise the service offer faster than waiting to save enough cash for outright replacement, and it does so without breaking the case constraint on supplier continuity.</w:t>
      </w:r>
    </w:p>
    <w:p w14:paraId="57D84B42" w14:textId="54FBFDF4" w:rsidR="00FF7849" w:rsidRPr="0017269F" w:rsidRDefault="008D7339" w:rsidP="0017269F">
      <w:pPr>
        <w:spacing w:line="360" w:lineRule="auto"/>
        <w:jc w:val="both"/>
        <w:rPr>
          <w:rFonts w:ascii="Arial" w:hAnsi="Arial" w:cs="Arial"/>
        </w:rPr>
      </w:pPr>
      <w:r w:rsidRPr="0017269F">
        <w:rPr>
          <w:rFonts w:ascii="Arial" w:hAnsi="Arial" w:cs="Arial"/>
        </w:rPr>
        <w:t xml:space="preserve">The second move should be a formal request to the landlord, where appropriate, the council for insulation or building improvement support. The case makes clear makes clear that winter costs are too high and the building performs badly. Carbon Trust guidance for SMEs notes that </w:t>
      </w:r>
      <w:r w:rsidR="00FF7849" w:rsidRPr="0017269F">
        <w:rPr>
          <w:rFonts w:ascii="Arial" w:hAnsi="Arial" w:cs="Arial"/>
        </w:rPr>
        <w:t>retrofitting</w:t>
      </w:r>
      <w:r w:rsidRPr="0017269F">
        <w:rPr>
          <w:rFonts w:ascii="Arial" w:hAnsi="Arial" w:cs="Arial"/>
        </w:rPr>
        <w:t xml:space="preserve"> and better energy efficiency can reduce avoidable pressure in </w:t>
      </w:r>
      <w:r w:rsidR="00FF7849" w:rsidRPr="0017269F">
        <w:rPr>
          <w:rFonts w:ascii="Arial" w:hAnsi="Arial" w:cs="Arial"/>
        </w:rPr>
        <w:t>existing</w:t>
      </w:r>
      <w:r w:rsidRPr="0017269F">
        <w:rPr>
          <w:rFonts w:ascii="Arial" w:hAnsi="Arial" w:cs="Arial"/>
        </w:rPr>
        <w:t xml:space="preserve"> premises (Carbon Trust, 2019). This matters because Seren </w:t>
      </w:r>
      <w:proofErr w:type="spellStart"/>
      <w:r w:rsidR="00FF7849" w:rsidRPr="0017269F">
        <w:rPr>
          <w:rFonts w:ascii="Arial" w:hAnsi="Arial" w:cs="Arial"/>
        </w:rPr>
        <w:t>Coffi's</w:t>
      </w:r>
      <w:proofErr w:type="spellEnd"/>
      <w:r w:rsidR="00FF7849" w:rsidRPr="0017269F">
        <w:rPr>
          <w:rFonts w:ascii="Arial" w:hAnsi="Arial" w:cs="Arial"/>
        </w:rPr>
        <w:t xml:space="preserve"> problem</w:t>
      </w:r>
      <w:r w:rsidRPr="0017269F">
        <w:rPr>
          <w:rFonts w:ascii="Arial" w:hAnsi="Arial" w:cs="Arial"/>
        </w:rPr>
        <w:t xml:space="preserve"> is partly structural</w:t>
      </w:r>
      <w:r w:rsidR="00FF7849" w:rsidRPr="0017269F">
        <w:rPr>
          <w:rFonts w:ascii="Arial" w:hAnsi="Arial" w:cs="Arial"/>
        </w:rPr>
        <w:t>, not only commercial. If the business keeps responding to high winter costs only through harder trading, it will remain exposed every year. The creative part of this move is that it treats the promises as a strategic issue rather than background scenery.</w:t>
      </w:r>
      <w:r w:rsidR="0072135B">
        <w:rPr>
          <w:rFonts w:ascii="Arial" w:hAnsi="Arial" w:cs="Arial"/>
        </w:rPr>
        <w:t xml:space="preserve"> </w:t>
      </w:r>
      <w:r w:rsidR="00FF7849" w:rsidRPr="0017269F">
        <w:rPr>
          <w:rFonts w:ascii="Arial" w:hAnsi="Arial" w:cs="Arial"/>
        </w:rPr>
        <w:t>Even if improvement is gradual, pushing the issue formally can strengthen the coffee shop's position and show that the owners are now dealing with root causes rather than only symptoms.</w:t>
      </w:r>
    </w:p>
    <w:p w14:paraId="0F0B6F53" w14:textId="0112693E" w:rsidR="00FF7849" w:rsidRPr="0017269F" w:rsidRDefault="00FF7849" w:rsidP="0017269F">
      <w:pPr>
        <w:spacing w:line="360" w:lineRule="auto"/>
        <w:jc w:val="both"/>
        <w:rPr>
          <w:rFonts w:ascii="Arial" w:hAnsi="Arial" w:cs="Arial"/>
        </w:rPr>
      </w:pPr>
      <w:r w:rsidRPr="0017269F">
        <w:rPr>
          <w:rFonts w:ascii="Arial" w:hAnsi="Arial" w:cs="Arial"/>
        </w:rPr>
        <w:lastRenderedPageBreak/>
        <w:t>The third move is a formal owner’s meeting and a written recovery plan. This is not a governance change, but it is a behavioural one. The plan should assign clear responsibilities for weekly checks, chalkboard updates, event relaunch, and supplier communication. Innovation climate research details that value alone does not deliver innovation; implementation improves when accountability is visible, and roles are clear (</w:t>
      </w:r>
      <w:proofErr w:type="spellStart"/>
      <w:r w:rsidRPr="0017269F">
        <w:rPr>
          <w:rFonts w:ascii="Arial" w:hAnsi="Arial" w:cs="Arial"/>
        </w:rPr>
        <w:t>Martind</w:t>
      </w:r>
      <w:proofErr w:type="spellEnd"/>
      <w:r w:rsidRPr="0017269F">
        <w:rPr>
          <w:rFonts w:ascii="Arial" w:hAnsi="Arial" w:cs="Arial"/>
        </w:rPr>
        <w:t xml:space="preserve"> and Terblanche, 2003; Isaksen, 2007; Hoang, Wilson-Evered, and </w:t>
      </w:r>
      <w:proofErr w:type="spellStart"/>
      <w:r w:rsidRPr="0017269F">
        <w:rPr>
          <w:rFonts w:ascii="Arial" w:hAnsi="Arial" w:cs="Arial"/>
        </w:rPr>
        <w:t>Lockstone</w:t>
      </w:r>
      <w:proofErr w:type="spellEnd"/>
      <w:r w:rsidRPr="0017269F">
        <w:rPr>
          <w:rFonts w:ascii="Arial" w:hAnsi="Arial" w:cs="Arial"/>
        </w:rPr>
        <w:t>-Binney, 2019).</w:t>
      </w:r>
    </w:p>
    <w:p w14:paraId="606834D9" w14:textId="708D6AD9" w:rsidR="00FF7849" w:rsidRPr="0017269F" w:rsidRDefault="00FF7849" w:rsidP="0017269F">
      <w:pPr>
        <w:spacing w:line="360" w:lineRule="auto"/>
        <w:jc w:val="both"/>
        <w:rPr>
          <w:rFonts w:ascii="Arial" w:hAnsi="Arial" w:cs="Arial"/>
        </w:rPr>
      </w:pPr>
      <w:r w:rsidRPr="0017269F">
        <w:rPr>
          <w:rFonts w:ascii="Arial" w:hAnsi="Arial" w:cs="Arial"/>
        </w:rPr>
        <w:t>The fourth move is to apply for a limited alcohol license and use it carefully. GOV.UK confirms that premises selling alcohol need a licence, so this is a regulated but workable route (GOV.UK, n.d.).</w:t>
      </w:r>
    </w:p>
    <w:p w14:paraId="5FEE31F8" w14:textId="05670176" w:rsidR="00033006" w:rsidRPr="0017269F" w:rsidRDefault="00033006" w:rsidP="0017269F">
      <w:pPr>
        <w:spacing w:line="360" w:lineRule="auto"/>
        <w:jc w:val="both"/>
        <w:rPr>
          <w:rFonts w:ascii="Arial" w:hAnsi="Arial" w:cs="Arial"/>
        </w:rPr>
      </w:pPr>
      <w:r w:rsidRPr="0017269F">
        <w:rPr>
          <w:rFonts w:ascii="Arial" w:hAnsi="Arial" w:cs="Arial"/>
        </w:rPr>
        <w:t xml:space="preserve">The purpose is not to turn Seren </w:t>
      </w:r>
      <w:proofErr w:type="spellStart"/>
      <w:r w:rsidRPr="0017269F">
        <w:rPr>
          <w:rFonts w:ascii="Arial" w:hAnsi="Arial" w:cs="Arial"/>
        </w:rPr>
        <w:t>Coffi</w:t>
      </w:r>
      <w:proofErr w:type="spellEnd"/>
      <w:r w:rsidRPr="0017269F">
        <w:rPr>
          <w:rFonts w:ascii="Arial" w:hAnsi="Arial" w:cs="Arial"/>
        </w:rPr>
        <w:t xml:space="preserve"> into a bar. It is to support selected poetry nights and community evenings with a small range of prosecco, champagne, and coffee-based alcoholic drinks. This is more consistent with a care-based, community-facing hospitality identity than a random menu expansion (</w:t>
      </w:r>
      <w:proofErr w:type="spellStart"/>
      <w:r w:rsidRPr="0017269F">
        <w:rPr>
          <w:rFonts w:ascii="Arial" w:hAnsi="Arial" w:cs="Arial"/>
        </w:rPr>
        <w:t>Tomassela</w:t>
      </w:r>
      <w:proofErr w:type="spellEnd"/>
      <w:r w:rsidRPr="0017269F">
        <w:rPr>
          <w:rFonts w:ascii="Arial" w:hAnsi="Arial" w:cs="Arial"/>
        </w:rPr>
        <w:t>, Ali, and Gill, 2024).</w:t>
      </w:r>
    </w:p>
    <w:p w14:paraId="47BA5331" w14:textId="1A493287" w:rsidR="00033006" w:rsidRPr="0017269F" w:rsidRDefault="007D23B2" w:rsidP="0017269F">
      <w:pPr>
        <w:spacing w:line="360" w:lineRule="auto"/>
        <w:jc w:val="both"/>
        <w:rPr>
          <w:rFonts w:ascii="Arial" w:hAnsi="Arial" w:cs="Arial"/>
        </w:rPr>
      </w:pPr>
      <w:r w:rsidRPr="0017269F">
        <w:rPr>
          <w:rFonts w:ascii="Arial" w:hAnsi="Arial" w:cs="Arial"/>
        </w:rPr>
        <w:t xml:space="preserve">The fifth move is a small price increase in four stages while trying to remain around 25 % cheaper than competitors. </w:t>
      </w:r>
      <w:proofErr w:type="spellStart"/>
      <w:r w:rsidRPr="0017269F">
        <w:rPr>
          <w:rFonts w:ascii="Arial" w:hAnsi="Arial" w:cs="Arial"/>
        </w:rPr>
        <w:t>Stanging</w:t>
      </w:r>
      <w:proofErr w:type="spellEnd"/>
      <w:r w:rsidRPr="0017269F">
        <w:rPr>
          <w:rFonts w:ascii="Arial" w:hAnsi="Arial" w:cs="Arial"/>
        </w:rPr>
        <w:t xml:space="preserve"> matters because Seren </w:t>
      </w:r>
      <w:proofErr w:type="spellStart"/>
      <w:r w:rsidRPr="0017269F">
        <w:rPr>
          <w:rFonts w:ascii="Arial" w:hAnsi="Arial" w:cs="Arial"/>
        </w:rPr>
        <w:t>Coffi</w:t>
      </w:r>
      <w:proofErr w:type="spellEnd"/>
      <w:r w:rsidRPr="0017269F">
        <w:rPr>
          <w:rFonts w:ascii="Arial" w:hAnsi="Arial" w:cs="Arial"/>
        </w:rPr>
        <w:t xml:space="preserve"> has already shown that customers respond better when change is explained. The earlier case evidence on transparent communication around bean prices suggests that honesty can soften resistance even when some customers still reduce visits. </w:t>
      </w:r>
    </w:p>
    <w:p w14:paraId="51291A48" w14:textId="2FD31DC2" w:rsidR="007D23B2" w:rsidRPr="0017269F" w:rsidRDefault="007D23B2" w:rsidP="0017269F">
      <w:pPr>
        <w:spacing w:line="360" w:lineRule="auto"/>
        <w:jc w:val="both"/>
        <w:rPr>
          <w:rFonts w:ascii="Arial" w:hAnsi="Arial" w:cs="Arial"/>
        </w:rPr>
      </w:pPr>
      <w:r w:rsidRPr="0017269F">
        <w:rPr>
          <w:rFonts w:ascii="Arial" w:hAnsi="Arial" w:cs="Arial"/>
        </w:rPr>
        <w:t xml:space="preserve">Service innovation is not only about launching new products; it also includes how the service system is configured and how value is captured (Den Hertog, </w:t>
      </w:r>
      <w:proofErr w:type="spellStart"/>
      <w:r w:rsidRPr="0017269F">
        <w:rPr>
          <w:rFonts w:ascii="Arial" w:hAnsi="Arial" w:cs="Arial"/>
        </w:rPr>
        <w:t>Gallouj</w:t>
      </w:r>
      <w:proofErr w:type="spellEnd"/>
      <w:r w:rsidRPr="0017269F">
        <w:rPr>
          <w:rFonts w:ascii="Arial" w:hAnsi="Arial" w:cs="Arial"/>
        </w:rPr>
        <w:t xml:space="preserve">, and Segers, 2021; Teece, 2018). Here, the staged increase works for two reasons. It improves margins without a sharp shock, and it signals that Seren </w:t>
      </w:r>
      <w:proofErr w:type="spellStart"/>
      <w:r w:rsidRPr="0017269F">
        <w:rPr>
          <w:rFonts w:ascii="Arial" w:hAnsi="Arial" w:cs="Arial"/>
        </w:rPr>
        <w:t>Coffi</w:t>
      </w:r>
      <w:proofErr w:type="spellEnd"/>
      <w:r w:rsidRPr="0017269F">
        <w:rPr>
          <w:rFonts w:ascii="Arial" w:hAnsi="Arial" w:cs="Arial"/>
        </w:rPr>
        <w:t xml:space="preserve"> still sees affordability as part of its identity. The price rise is therefore not a retreat from values but a controlled attempt to make those values financially supportable.</w:t>
      </w:r>
    </w:p>
    <w:p w14:paraId="7C14ADE6" w14:textId="7B714C21" w:rsidR="00593135" w:rsidRPr="0017269F" w:rsidRDefault="00593135" w:rsidP="0017269F">
      <w:pPr>
        <w:spacing w:line="360" w:lineRule="auto"/>
        <w:jc w:val="both"/>
        <w:rPr>
          <w:rFonts w:ascii="Arial" w:hAnsi="Arial" w:cs="Arial"/>
        </w:rPr>
      </w:pPr>
      <w:r w:rsidRPr="0017269F">
        <w:rPr>
          <w:rFonts w:ascii="Arial" w:hAnsi="Arial" w:cs="Arial"/>
        </w:rPr>
        <w:t>Viewed briefly through the Business Model Canvas, the package improves key partners, protects key resources, strengthens revenue streams, and reduces cost pressure without forcing a full rebrand (Osterwalder and Pigneur, 2021). That is why it is better understood as business model replacement and renewal than as simple cost-cutting.</w:t>
      </w:r>
    </w:p>
    <w:p w14:paraId="23539EF9" w14:textId="77777777" w:rsidR="0072135B" w:rsidRPr="0017269F" w:rsidRDefault="0072135B" w:rsidP="0017269F">
      <w:pPr>
        <w:spacing w:line="360" w:lineRule="auto"/>
        <w:jc w:val="both"/>
        <w:rPr>
          <w:rFonts w:ascii="Arial" w:hAnsi="Arial" w:cs="Arial"/>
        </w:rPr>
      </w:pPr>
    </w:p>
    <w:p w14:paraId="52D8CF64" w14:textId="173475C5" w:rsidR="00593135" w:rsidRPr="0072135B" w:rsidRDefault="00593135" w:rsidP="0072135B">
      <w:pPr>
        <w:pStyle w:val="Heading1"/>
        <w:spacing w:line="360" w:lineRule="auto"/>
        <w:jc w:val="both"/>
        <w:rPr>
          <w:rFonts w:ascii="Arial" w:hAnsi="Arial" w:cs="Arial"/>
          <w:sz w:val="24"/>
          <w:szCs w:val="24"/>
        </w:rPr>
      </w:pPr>
      <w:bookmarkStart w:id="4" w:name="_Toc225779554"/>
      <w:r w:rsidRPr="0017269F">
        <w:rPr>
          <w:rFonts w:ascii="Arial" w:hAnsi="Arial" w:cs="Arial"/>
          <w:sz w:val="24"/>
          <w:szCs w:val="24"/>
        </w:rPr>
        <w:lastRenderedPageBreak/>
        <w:t>4. Overview of the 4 Ps</w:t>
      </w:r>
      <w:bookmarkEnd w:id="4"/>
    </w:p>
    <w:p w14:paraId="49A80333" w14:textId="4C17525D" w:rsidR="00593135" w:rsidRPr="0017269F" w:rsidRDefault="00593135" w:rsidP="0017269F">
      <w:pPr>
        <w:spacing w:line="360" w:lineRule="auto"/>
        <w:jc w:val="both"/>
        <w:rPr>
          <w:rFonts w:ascii="Arial" w:hAnsi="Arial" w:cs="Arial"/>
        </w:rPr>
      </w:pPr>
      <w:r w:rsidRPr="0017269F">
        <w:rPr>
          <w:rFonts w:ascii="Arial" w:hAnsi="Arial" w:cs="Arial"/>
        </w:rPr>
        <w:t xml:space="preserve">According to Tidd and Bessant (2018), the 4Ps model of innovation can involve product, process, position, and paradigm, not only invention. Seren </w:t>
      </w:r>
      <w:proofErr w:type="spellStart"/>
      <w:r w:rsidRPr="0017269F">
        <w:rPr>
          <w:rFonts w:ascii="Arial" w:hAnsi="Arial" w:cs="Arial"/>
        </w:rPr>
        <w:t>Coffi's</w:t>
      </w:r>
      <w:proofErr w:type="spellEnd"/>
      <w:r w:rsidRPr="0017269F">
        <w:rPr>
          <w:rFonts w:ascii="Arial" w:hAnsi="Arial" w:cs="Arial"/>
        </w:rPr>
        <w:t xml:space="preserve"> recovery package fits all four, but some parts are stronger than others.</w:t>
      </w:r>
    </w:p>
    <w:p w14:paraId="2D7B2EC8" w14:textId="58312F76" w:rsidR="00593135" w:rsidRPr="0017269F" w:rsidRDefault="00593135" w:rsidP="0017269F">
      <w:pPr>
        <w:spacing w:line="360" w:lineRule="auto"/>
        <w:jc w:val="both"/>
        <w:rPr>
          <w:rFonts w:ascii="Arial" w:hAnsi="Arial" w:cs="Arial"/>
        </w:rPr>
      </w:pPr>
      <w:r w:rsidRPr="0017269F">
        <w:rPr>
          <w:rFonts w:ascii="Arial" w:hAnsi="Arial" w:cs="Arial"/>
        </w:rPr>
        <w:t>The product element is the small alcohol offer linked to poetry nights and coffee-based evening drinks. It does not replace the core menu, but it extends the offer coherently (Trott, 2016).</w:t>
      </w:r>
    </w:p>
    <w:p w14:paraId="556726ED" w14:textId="1D1D6C08" w:rsidR="00593135" w:rsidRPr="0017269F" w:rsidRDefault="0082731B" w:rsidP="0017269F">
      <w:pPr>
        <w:spacing w:line="360" w:lineRule="auto"/>
        <w:jc w:val="both"/>
        <w:rPr>
          <w:rFonts w:ascii="Arial" w:hAnsi="Arial" w:cs="Arial"/>
        </w:rPr>
      </w:pPr>
      <w:r w:rsidRPr="0017269F">
        <w:rPr>
          <w:rFonts w:ascii="Arial" w:hAnsi="Arial" w:cs="Arial"/>
        </w:rPr>
        <w:t>Process innovation is stronger. Leased equipment, maintenance cover, a written owner’s plan, and energy action all improve how the coffee shop works day to day. In small hospitality businesses, these back-stage changes can matter more than flashy front-stage ones. Logistics and supply chain thinking highlights the importance of reliable operational flow (Manners-Bell and Lyon, 2022), while hospitality SME crisis research shows how fragile routines can quickly undermine performance (Dowell, Bowen, and Morris, 2023).</w:t>
      </w:r>
    </w:p>
    <w:p w14:paraId="45D6CFF0" w14:textId="2CD32B47" w:rsidR="0082731B" w:rsidRPr="0017269F" w:rsidRDefault="0082731B" w:rsidP="0017269F">
      <w:pPr>
        <w:spacing w:line="360" w:lineRule="auto"/>
        <w:jc w:val="both"/>
        <w:rPr>
          <w:rFonts w:ascii="Arial" w:hAnsi="Arial" w:cs="Arial"/>
        </w:rPr>
      </w:pPr>
      <w:r w:rsidRPr="0017269F">
        <w:rPr>
          <w:rFonts w:ascii="Arial" w:hAnsi="Arial" w:cs="Arial"/>
        </w:rPr>
        <w:t xml:space="preserve">The position element comes from presenting Seren </w:t>
      </w:r>
      <w:proofErr w:type="spellStart"/>
      <w:r w:rsidRPr="0017269F">
        <w:rPr>
          <w:rFonts w:ascii="Arial" w:hAnsi="Arial" w:cs="Arial"/>
        </w:rPr>
        <w:t>Coffi</w:t>
      </w:r>
      <w:proofErr w:type="spellEnd"/>
      <w:r w:rsidRPr="0017269F">
        <w:rPr>
          <w:rFonts w:ascii="Arial" w:hAnsi="Arial" w:cs="Arial"/>
        </w:rPr>
        <w:t xml:space="preserve"> as an affordable, values-led coffee shop with curated evening trade. The stage price rise is part of that position because it keeps the coffee shop accessible while signalling firmer control of the business.</w:t>
      </w:r>
    </w:p>
    <w:p w14:paraId="7FB2B3C8" w14:textId="2CB76F00" w:rsidR="0082731B" w:rsidRPr="0017269F" w:rsidRDefault="0082731B" w:rsidP="0017269F">
      <w:pPr>
        <w:spacing w:line="360" w:lineRule="auto"/>
        <w:jc w:val="both"/>
        <w:rPr>
          <w:rFonts w:ascii="Arial" w:hAnsi="Arial" w:cs="Arial"/>
        </w:rPr>
      </w:pPr>
      <w:r w:rsidRPr="0017269F">
        <w:rPr>
          <w:rFonts w:ascii="Arial" w:hAnsi="Arial" w:cs="Arial"/>
        </w:rPr>
        <w:t>The deepest shift is in the paradigm. The business would move from being idealistic but fragile to being disciplined and values-led. That is not a sell-out; it is a change in how sustainability is understood (Turner,2020).</w:t>
      </w:r>
    </w:p>
    <w:p w14:paraId="4AA6DCE6" w14:textId="3ED248EB" w:rsidR="00B55372" w:rsidRPr="0017269F" w:rsidRDefault="00B55372" w:rsidP="0017269F">
      <w:pPr>
        <w:spacing w:line="360" w:lineRule="auto"/>
        <w:jc w:val="both"/>
        <w:rPr>
          <w:rFonts w:ascii="Arial" w:hAnsi="Arial" w:cs="Arial"/>
        </w:rPr>
      </w:pPr>
      <w:r w:rsidRPr="0017269F">
        <w:rPr>
          <w:rFonts w:ascii="Arial" w:hAnsi="Arial" w:cs="Arial"/>
        </w:rPr>
        <w:t>Overall, this proposal is primarily about process and paradigm innovation, supported by smaller product and positioning changes. That fits a case where the main weakness is implementation rather than a lack of imagination.</w:t>
      </w:r>
    </w:p>
    <w:p w14:paraId="3542B15B" w14:textId="407CE538" w:rsidR="00B55372" w:rsidRPr="0017269F" w:rsidRDefault="00B55372" w:rsidP="0017269F">
      <w:pPr>
        <w:spacing w:line="360" w:lineRule="auto"/>
        <w:jc w:val="both"/>
        <w:rPr>
          <w:rFonts w:ascii="Arial" w:hAnsi="Arial" w:cs="Arial"/>
        </w:rPr>
      </w:pPr>
      <w:r w:rsidRPr="0017269F">
        <w:rPr>
          <w:rFonts w:ascii="Arial" w:hAnsi="Arial" w:cs="Arial"/>
        </w:rPr>
        <w:t>The solution comes directly from the case constraints. Since leadership, governance, and suppliers cannot change, the task is to find leverage inside the current system rather than outside it.</w:t>
      </w:r>
    </w:p>
    <w:p w14:paraId="2820E1E8" w14:textId="1EB87FD9" w:rsidR="00B55372" w:rsidRPr="0017269F" w:rsidRDefault="00B55372" w:rsidP="0017269F">
      <w:pPr>
        <w:spacing w:line="360" w:lineRule="auto"/>
        <w:jc w:val="both"/>
        <w:rPr>
          <w:rFonts w:ascii="Arial" w:hAnsi="Arial" w:cs="Arial"/>
        </w:rPr>
      </w:pPr>
      <w:r w:rsidRPr="0017269F">
        <w:rPr>
          <w:rFonts w:ascii="Arial" w:hAnsi="Arial" w:cs="Arial"/>
        </w:rPr>
        <w:t xml:space="preserve">That is where the lateral element sits. The supplier becomes a source of stability, not only beans. The building becomes something to negotiate over, not just endure. Poetry nights become both a community activity and a controlled revenue platform. This is close to bricolage, where firms rework what is already available under pressure, and </w:t>
      </w:r>
      <w:r w:rsidRPr="0017269F">
        <w:rPr>
          <w:rFonts w:ascii="Arial" w:hAnsi="Arial" w:cs="Arial"/>
        </w:rPr>
        <w:lastRenderedPageBreak/>
        <w:t xml:space="preserve">it also reflects open innovation because outside </w:t>
      </w:r>
      <w:r w:rsidR="003F2A40" w:rsidRPr="0017269F">
        <w:rPr>
          <w:rFonts w:ascii="Arial" w:hAnsi="Arial" w:cs="Arial"/>
        </w:rPr>
        <w:t>relationships are</w:t>
      </w:r>
      <w:r w:rsidRPr="0017269F">
        <w:rPr>
          <w:rFonts w:ascii="Arial" w:hAnsi="Arial" w:cs="Arial"/>
        </w:rPr>
        <w:t xml:space="preserve"> used to strengthen internal capability (Park and Seo, 2024; Chesbrough, Vanhaverbeke</w:t>
      </w:r>
      <w:r w:rsidR="003F2A40" w:rsidRPr="0017269F">
        <w:rPr>
          <w:rFonts w:ascii="Arial" w:hAnsi="Arial" w:cs="Arial"/>
        </w:rPr>
        <w:t>,</w:t>
      </w:r>
      <w:r w:rsidRPr="0017269F">
        <w:rPr>
          <w:rFonts w:ascii="Arial" w:hAnsi="Arial" w:cs="Arial"/>
        </w:rPr>
        <w:t xml:space="preserve"> and West, 2014).</w:t>
      </w:r>
    </w:p>
    <w:p w14:paraId="21B8C6D3" w14:textId="5A203327" w:rsidR="003F2A40" w:rsidRPr="0017269F" w:rsidRDefault="003F2A40" w:rsidP="0017269F">
      <w:pPr>
        <w:spacing w:line="360" w:lineRule="auto"/>
        <w:jc w:val="both"/>
        <w:rPr>
          <w:rFonts w:ascii="Arial" w:hAnsi="Arial" w:cs="Arial"/>
        </w:rPr>
      </w:pPr>
      <w:r w:rsidRPr="0017269F">
        <w:rPr>
          <w:rFonts w:ascii="Arial" w:hAnsi="Arial" w:cs="Arial"/>
        </w:rPr>
        <w:t>The idea is creative because it avoids the false choice between “scale-up” and “stay pure but fail”. Instead, it looks for a third route: stabilise operations, preserve identity, and then rebuild selected income streams. That is a more suitable form of innovation for a low-tech hospitality business than copying the system of a chain (Tejada and Moreno, 2013).</w:t>
      </w:r>
    </w:p>
    <w:p w14:paraId="7D857D77" w14:textId="77777777" w:rsidR="003F2A40" w:rsidRPr="0017269F" w:rsidRDefault="003F2A40" w:rsidP="0017269F">
      <w:pPr>
        <w:spacing w:line="360" w:lineRule="auto"/>
        <w:jc w:val="both"/>
        <w:rPr>
          <w:rFonts w:ascii="Arial" w:hAnsi="Arial" w:cs="Arial"/>
        </w:rPr>
      </w:pPr>
    </w:p>
    <w:p w14:paraId="6654C216" w14:textId="77777777" w:rsidR="003F2A40" w:rsidRPr="0017269F" w:rsidRDefault="003F2A40" w:rsidP="0017269F">
      <w:pPr>
        <w:spacing w:line="360" w:lineRule="auto"/>
        <w:jc w:val="both"/>
        <w:rPr>
          <w:rFonts w:ascii="Arial" w:hAnsi="Arial" w:cs="Arial"/>
        </w:rPr>
      </w:pPr>
    </w:p>
    <w:p w14:paraId="04142917" w14:textId="77777777" w:rsidR="003F2A40" w:rsidRPr="0017269F" w:rsidRDefault="003F2A40" w:rsidP="0017269F">
      <w:pPr>
        <w:spacing w:line="360" w:lineRule="auto"/>
        <w:jc w:val="both"/>
        <w:rPr>
          <w:rFonts w:ascii="Arial" w:hAnsi="Arial" w:cs="Arial"/>
        </w:rPr>
      </w:pPr>
    </w:p>
    <w:p w14:paraId="048CE8F1" w14:textId="77777777" w:rsidR="003F2A40" w:rsidRPr="0017269F" w:rsidRDefault="003F2A40" w:rsidP="0017269F">
      <w:pPr>
        <w:spacing w:line="360" w:lineRule="auto"/>
        <w:jc w:val="both"/>
        <w:rPr>
          <w:rFonts w:ascii="Arial" w:hAnsi="Arial" w:cs="Arial"/>
        </w:rPr>
      </w:pPr>
    </w:p>
    <w:p w14:paraId="6A896C6E" w14:textId="77777777" w:rsidR="003F2A40" w:rsidRPr="0017269F" w:rsidRDefault="003F2A40" w:rsidP="0017269F">
      <w:pPr>
        <w:spacing w:line="360" w:lineRule="auto"/>
        <w:jc w:val="both"/>
        <w:rPr>
          <w:rFonts w:ascii="Arial" w:hAnsi="Arial" w:cs="Arial"/>
        </w:rPr>
      </w:pPr>
    </w:p>
    <w:p w14:paraId="03741934" w14:textId="77777777" w:rsidR="003F2A40" w:rsidRPr="0017269F" w:rsidRDefault="003F2A40" w:rsidP="0017269F">
      <w:pPr>
        <w:spacing w:line="360" w:lineRule="auto"/>
        <w:jc w:val="both"/>
        <w:rPr>
          <w:rFonts w:ascii="Arial" w:hAnsi="Arial" w:cs="Arial"/>
        </w:rPr>
      </w:pPr>
    </w:p>
    <w:p w14:paraId="0D2E4DBC" w14:textId="77777777" w:rsidR="003F2A40" w:rsidRPr="0017269F" w:rsidRDefault="003F2A40" w:rsidP="0017269F">
      <w:pPr>
        <w:spacing w:line="360" w:lineRule="auto"/>
        <w:jc w:val="both"/>
        <w:rPr>
          <w:rFonts w:ascii="Arial" w:hAnsi="Arial" w:cs="Arial"/>
        </w:rPr>
      </w:pPr>
    </w:p>
    <w:p w14:paraId="035FABFB" w14:textId="77777777" w:rsidR="003F2A40" w:rsidRPr="0017269F" w:rsidRDefault="003F2A40" w:rsidP="0017269F">
      <w:pPr>
        <w:spacing w:line="360" w:lineRule="auto"/>
        <w:jc w:val="both"/>
        <w:rPr>
          <w:rFonts w:ascii="Arial" w:hAnsi="Arial" w:cs="Arial"/>
        </w:rPr>
      </w:pPr>
    </w:p>
    <w:p w14:paraId="4E33F463" w14:textId="77777777" w:rsidR="003F2A40" w:rsidRPr="0017269F" w:rsidRDefault="003F2A40" w:rsidP="0017269F">
      <w:pPr>
        <w:spacing w:line="360" w:lineRule="auto"/>
        <w:jc w:val="both"/>
        <w:rPr>
          <w:rFonts w:ascii="Arial" w:hAnsi="Arial" w:cs="Arial"/>
        </w:rPr>
      </w:pPr>
    </w:p>
    <w:p w14:paraId="6116D57E" w14:textId="77777777" w:rsidR="003F2A40" w:rsidRPr="0017269F" w:rsidRDefault="003F2A40" w:rsidP="0017269F">
      <w:pPr>
        <w:spacing w:line="360" w:lineRule="auto"/>
        <w:jc w:val="both"/>
        <w:rPr>
          <w:rFonts w:ascii="Arial" w:hAnsi="Arial" w:cs="Arial"/>
        </w:rPr>
      </w:pPr>
    </w:p>
    <w:p w14:paraId="30D733F4" w14:textId="77777777" w:rsidR="003F2A40" w:rsidRPr="0017269F" w:rsidRDefault="003F2A40" w:rsidP="0017269F">
      <w:pPr>
        <w:spacing w:line="360" w:lineRule="auto"/>
        <w:jc w:val="both"/>
        <w:rPr>
          <w:rFonts w:ascii="Arial" w:hAnsi="Arial" w:cs="Arial"/>
        </w:rPr>
      </w:pPr>
    </w:p>
    <w:p w14:paraId="157E8F1D" w14:textId="77777777" w:rsidR="003F2A40" w:rsidRPr="0017269F" w:rsidRDefault="003F2A40" w:rsidP="0017269F">
      <w:pPr>
        <w:spacing w:line="360" w:lineRule="auto"/>
        <w:jc w:val="both"/>
        <w:rPr>
          <w:rFonts w:ascii="Arial" w:hAnsi="Arial" w:cs="Arial"/>
        </w:rPr>
      </w:pPr>
    </w:p>
    <w:p w14:paraId="791D4614" w14:textId="77777777" w:rsidR="003F2A40" w:rsidRPr="0017269F" w:rsidRDefault="003F2A40" w:rsidP="0017269F">
      <w:pPr>
        <w:spacing w:line="360" w:lineRule="auto"/>
        <w:jc w:val="both"/>
        <w:rPr>
          <w:rFonts w:ascii="Arial" w:hAnsi="Arial" w:cs="Arial"/>
        </w:rPr>
      </w:pPr>
    </w:p>
    <w:p w14:paraId="3C19A172" w14:textId="77777777" w:rsidR="003F2A40" w:rsidRPr="0017269F" w:rsidRDefault="003F2A40" w:rsidP="0017269F">
      <w:pPr>
        <w:spacing w:line="360" w:lineRule="auto"/>
        <w:jc w:val="both"/>
        <w:rPr>
          <w:rFonts w:ascii="Arial" w:hAnsi="Arial" w:cs="Arial"/>
        </w:rPr>
      </w:pPr>
    </w:p>
    <w:p w14:paraId="204D5838" w14:textId="77777777" w:rsidR="003F2A40" w:rsidRPr="0017269F" w:rsidRDefault="003F2A40" w:rsidP="0017269F">
      <w:pPr>
        <w:spacing w:line="360" w:lineRule="auto"/>
        <w:jc w:val="both"/>
        <w:rPr>
          <w:rFonts w:ascii="Arial" w:hAnsi="Arial" w:cs="Arial"/>
        </w:rPr>
      </w:pPr>
    </w:p>
    <w:p w14:paraId="3624CC98" w14:textId="77777777" w:rsidR="003F2A40" w:rsidRPr="0017269F" w:rsidRDefault="003F2A40" w:rsidP="0017269F">
      <w:pPr>
        <w:spacing w:line="360" w:lineRule="auto"/>
        <w:jc w:val="both"/>
        <w:rPr>
          <w:rFonts w:ascii="Arial" w:hAnsi="Arial" w:cs="Arial"/>
        </w:rPr>
      </w:pPr>
    </w:p>
    <w:p w14:paraId="3BA6E5FA" w14:textId="77777777" w:rsidR="003F2A40" w:rsidRDefault="003F2A40" w:rsidP="0017269F">
      <w:pPr>
        <w:spacing w:line="360" w:lineRule="auto"/>
        <w:jc w:val="both"/>
        <w:rPr>
          <w:rFonts w:ascii="Arial" w:hAnsi="Arial" w:cs="Arial"/>
        </w:rPr>
      </w:pPr>
    </w:p>
    <w:p w14:paraId="7FBEB7E0" w14:textId="77777777" w:rsidR="0072135B" w:rsidRPr="0017269F" w:rsidRDefault="0072135B" w:rsidP="0017269F">
      <w:pPr>
        <w:spacing w:line="360" w:lineRule="auto"/>
        <w:jc w:val="both"/>
        <w:rPr>
          <w:rFonts w:ascii="Arial" w:hAnsi="Arial" w:cs="Arial"/>
        </w:rPr>
      </w:pPr>
    </w:p>
    <w:p w14:paraId="6E2119B0" w14:textId="46CDDF37" w:rsidR="003F2A40" w:rsidRPr="0017269F" w:rsidRDefault="003F2A40" w:rsidP="0017269F">
      <w:pPr>
        <w:pStyle w:val="Heading1"/>
        <w:spacing w:line="360" w:lineRule="auto"/>
        <w:jc w:val="both"/>
        <w:rPr>
          <w:rFonts w:ascii="Arial" w:hAnsi="Arial" w:cs="Arial"/>
          <w:sz w:val="24"/>
          <w:szCs w:val="24"/>
        </w:rPr>
      </w:pPr>
      <w:bookmarkStart w:id="5" w:name="_Toc225779555"/>
      <w:r w:rsidRPr="0017269F">
        <w:rPr>
          <w:rFonts w:ascii="Arial" w:hAnsi="Arial" w:cs="Arial"/>
          <w:sz w:val="24"/>
          <w:szCs w:val="24"/>
        </w:rPr>
        <w:lastRenderedPageBreak/>
        <w:t>5. Lewin's Force Field Analysis</w:t>
      </w:r>
      <w:bookmarkEnd w:id="5"/>
    </w:p>
    <w:p w14:paraId="66FA3F2C" w14:textId="77777777" w:rsidR="003F2A40" w:rsidRPr="0017269F" w:rsidRDefault="003F2A40" w:rsidP="0017269F">
      <w:pPr>
        <w:spacing w:line="360" w:lineRule="auto"/>
        <w:jc w:val="both"/>
        <w:rPr>
          <w:rFonts w:ascii="Arial" w:hAnsi="Arial" w:cs="Arial"/>
        </w:rPr>
      </w:pPr>
    </w:p>
    <w:p w14:paraId="720C1CC9" w14:textId="57E910CA" w:rsidR="003F2A40" w:rsidRPr="0017269F" w:rsidRDefault="00911F6B" w:rsidP="0017269F">
      <w:pPr>
        <w:spacing w:line="360" w:lineRule="auto"/>
        <w:jc w:val="both"/>
        <w:rPr>
          <w:rFonts w:ascii="Arial" w:hAnsi="Arial" w:cs="Arial"/>
        </w:rPr>
      </w:pPr>
      <w:r w:rsidRPr="0017269F">
        <w:rPr>
          <w:rFonts w:ascii="Arial" w:hAnsi="Arial" w:cs="Arial"/>
        </w:rPr>
        <w:t>Lewin's</w:t>
      </w:r>
      <w:r w:rsidR="003F2A40" w:rsidRPr="0017269F">
        <w:rPr>
          <w:rFonts w:ascii="Arial" w:hAnsi="Arial" w:cs="Arial"/>
        </w:rPr>
        <w:t xml:space="preserve"> Force Field Analysis tests whether change is likely to hold by weighing </w:t>
      </w:r>
      <w:r w:rsidRPr="0017269F">
        <w:rPr>
          <w:rFonts w:ascii="Arial" w:hAnsi="Arial" w:cs="Arial"/>
        </w:rPr>
        <w:t xml:space="preserve">driving and restraining forces (Lewin, 1947). That matters here because Seren </w:t>
      </w:r>
      <w:proofErr w:type="spellStart"/>
      <w:r w:rsidRPr="0017269F">
        <w:rPr>
          <w:rFonts w:ascii="Arial" w:hAnsi="Arial" w:cs="Arial"/>
        </w:rPr>
        <w:t>Coffi</w:t>
      </w:r>
      <w:proofErr w:type="spellEnd"/>
      <w:r w:rsidRPr="0017269F">
        <w:rPr>
          <w:rFonts w:ascii="Arial" w:hAnsi="Arial" w:cs="Arial"/>
        </w:rPr>
        <w:t xml:space="preserve"> is fragile and short of cash, so sensible ideas still </w:t>
      </w:r>
      <w:r w:rsidR="00912ED8" w:rsidRPr="0017269F">
        <w:rPr>
          <w:rFonts w:ascii="Arial" w:hAnsi="Arial" w:cs="Arial"/>
        </w:rPr>
        <w:t>must</w:t>
      </w:r>
      <w:r w:rsidRPr="0017269F">
        <w:rPr>
          <w:rFonts w:ascii="Arial" w:hAnsi="Arial" w:cs="Arial"/>
        </w:rPr>
        <w:t xml:space="preserve"> survive real constraints.</w:t>
      </w:r>
    </w:p>
    <w:p w14:paraId="662A3AC2" w14:textId="779AF842" w:rsidR="00912ED8" w:rsidRPr="0017269F" w:rsidRDefault="00912ED8" w:rsidP="0017269F">
      <w:pPr>
        <w:spacing w:line="360" w:lineRule="auto"/>
        <w:jc w:val="both"/>
        <w:rPr>
          <w:rFonts w:ascii="Arial" w:hAnsi="Arial" w:cs="Arial"/>
        </w:rPr>
      </w:pPr>
      <w:r w:rsidRPr="0017269F">
        <w:rPr>
          <w:rFonts w:ascii="Arial" w:hAnsi="Arial" w:cs="Arial"/>
        </w:rPr>
        <w:t xml:space="preserve">The driving forces are strong. The case says the product remains in demand, so the coffee shop is not trying to revive something unwanted. Seren </w:t>
      </w:r>
      <w:proofErr w:type="spellStart"/>
      <w:r w:rsidRPr="0017269F">
        <w:rPr>
          <w:rFonts w:ascii="Arial" w:hAnsi="Arial" w:cs="Arial"/>
        </w:rPr>
        <w:t>Coffi</w:t>
      </w:r>
      <w:proofErr w:type="spellEnd"/>
      <w:r w:rsidRPr="0017269F">
        <w:rPr>
          <w:rFonts w:ascii="Arial" w:hAnsi="Arial" w:cs="Arial"/>
        </w:rPr>
        <w:t xml:space="preserve"> already has a differentiated identity built on Welsh culture, transparency, and community. Equipment leasing would reduce one major bottleneck by restoring reliability, and UK supplier practice shows that machine and grinder support packages exist (Capital Coffee, </w:t>
      </w:r>
      <w:proofErr w:type="spellStart"/>
      <w:r w:rsidRPr="0017269F">
        <w:rPr>
          <w:rFonts w:ascii="Arial" w:hAnsi="Arial" w:cs="Arial"/>
        </w:rPr>
        <w:t>nd</w:t>
      </w:r>
      <w:proofErr w:type="spellEnd"/>
      <w:r w:rsidRPr="0017269F">
        <w:rPr>
          <w:rFonts w:ascii="Arial" w:hAnsi="Arial" w:cs="Arial"/>
        </w:rPr>
        <w:t xml:space="preserve">). </w:t>
      </w:r>
    </w:p>
    <w:p w14:paraId="69E06F6F" w14:textId="4A729733" w:rsidR="00912ED8" w:rsidRPr="0017269F" w:rsidRDefault="00912ED8" w:rsidP="0017269F">
      <w:pPr>
        <w:spacing w:line="360" w:lineRule="auto"/>
        <w:jc w:val="both"/>
        <w:rPr>
          <w:rFonts w:ascii="Arial" w:hAnsi="Arial" w:cs="Arial"/>
        </w:rPr>
      </w:pPr>
      <w:r w:rsidRPr="0017269F">
        <w:rPr>
          <w:rFonts w:ascii="Arial" w:hAnsi="Arial" w:cs="Arial"/>
        </w:rPr>
        <w:t>Licensed evening events could raise spend per visit without abandoning the coffee shop character, although this depends on approval under the premises licensing system (GOV.UK, n.d.).</w:t>
      </w:r>
    </w:p>
    <w:p w14:paraId="4F8A12BF" w14:textId="40D91ED2" w:rsidR="00912ED8" w:rsidRPr="0017269F" w:rsidRDefault="00912ED8" w:rsidP="0017269F">
      <w:pPr>
        <w:spacing w:line="360" w:lineRule="auto"/>
        <w:jc w:val="both"/>
        <w:rPr>
          <w:rFonts w:ascii="Arial" w:hAnsi="Arial" w:cs="Arial"/>
        </w:rPr>
      </w:pPr>
      <w:r w:rsidRPr="0017269F">
        <w:rPr>
          <w:rFonts w:ascii="Arial" w:hAnsi="Arial" w:cs="Arial"/>
        </w:rPr>
        <w:t>Staged price rises offer margin improvement without a sudden shock. Most importantly, the proposal builds on existing strengths instead of requiring a full business replacement, which fits innovation principles that</w:t>
      </w:r>
      <w:r w:rsidR="00B9659A" w:rsidRPr="0017269F">
        <w:rPr>
          <w:rFonts w:ascii="Arial" w:hAnsi="Arial" w:cs="Arial"/>
        </w:rPr>
        <w:t xml:space="preserve"> favour adaptation around what already creates value (Tidd and Bessant, 2018).</w:t>
      </w:r>
    </w:p>
    <w:p w14:paraId="266076E0" w14:textId="4984C25C" w:rsidR="00B9659A" w:rsidRPr="0017269F" w:rsidRDefault="00B9659A" w:rsidP="0017269F">
      <w:pPr>
        <w:spacing w:line="360" w:lineRule="auto"/>
        <w:jc w:val="both"/>
        <w:rPr>
          <w:rFonts w:ascii="Arial" w:hAnsi="Arial" w:cs="Arial"/>
        </w:rPr>
      </w:pPr>
      <w:r w:rsidRPr="0017269F">
        <w:rPr>
          <w:rFonts w:ascii="Arial" w:hAnsi="Arial" w:cs="Arial"/>
        </w:rPr>
        <w:t xml:space="preserve">The restraining forces are also serious. Founder behaviour is the biggest one. If meetings continue to be missed and decisions delayed, the rest of the package will stall. </w:t>
      </w:r>
    </w:p>
    <w:p w14:paraId="65326511" w14:textId="65756B3F" w:rsidR="00B9659A" w:rsidRPr="0017269F" w:rsidRDefault="00B9659A" w:rsidP="0017269F">
      <w:pPr>
        <w:spacing w:line="360" w:lineRule="auto"/>
        <w:jc w:val="both"/>
        <w:rPr>
          <w:rFonts w:ascii="Arial" w:hAnsi="Arial" w:cs="Arial"/>
        </w:rPr>
      </w:pPr>
      <w:r w:rsidRPr="0017269F">
        <w:rPr>
          <w:rFonts w:ascii="Arial" w:hAnsi="Arial" w:cs="Arial"/>
        </w:rPr>
        <w:t>Financial weakness is another, because even a staged recovery needs focus when only £2000 remains in petty cash. Landlord or council support may take time, and licensing approval is not immediate. Some customers may also react badly to price rises, even when they are phased.</w:t>
      </w:r>
    </w:p>
    <w:p w14:paraId="6D558278" w14:textId="53D85FB7" w:rsidR="00B9659A" w:rsidRPr="0017269F" w:rsidRDefault="00B9659A" w:rsidP="0017269F">
      <w:pPr>
        <w:spacing w:line="360" w:lineRule="auto"/>
        <w:jc w:val="both"/>
        <w:rPr>
          <w:rFonts w:ascii="Arial" w:hAnsi="Arial" w:cs="Arial"/>
        </w:rPr>
      </w:pPr>
      <w:r w:rsidRPr="0017269F">
        <w:rPr>
          <w:rFonts w:ascii="Arial" w:hAnsi="Arial" w:cs="Arial"/>
        </w:rPr>
        <w:t xml:space="preserve">Hospitality research shows that owner-managed firms often face layered uncertainty and crisis pressure, which makes disciplined follow-through essential (Ahmad, 2015; Dowell, Bowen, and Morris, 2023). There is also a reputational risk: if Seren </w:t>
      </w:r>
      <w:proofErr w:type="spellStart"/>
      <w:r w:rsidRPr="0017269F">
        <w:rPr>
          <w:rFonts w:ascii="Arial" w:hAnsi="Arial" w:cs="Arial"/>
        </w:rPr>
        <w:t>Coffi</w:t>
      </w:r>
      <w:proofErr w:type="spellEnd"/>
      <w:r w:rsidRPr="0017269F">
        <w:rPr>
          <w:rFonts w:ascii="Arial" w:hAnsi="Arial" w:cs="Arial"/>
        </w:rPr>
        <w:t xml:space="preserve"> announces a change but then implements it inconsistently, customers may read that as further decline rather than recovery.</w:t>
      </w:r>
    </w:p>
    <w:p w14:paraId="17B4AA1B" w14:textId="293EF8D5" w:rsidR="00B9659A" w:rsidRPr="0017269F" w:rsidRDefault="00B9659A" w:rsidP="0017269F">
      <w:pPr>
        <w:spacing w:line="360" w:lineRule="auto"/>
        <w:jc w:val="both"/>
        <w:rPr>
          <w:rFonts w:ascii="Arial" w:hAnsi="Arial" w:cs="Arial"/>
        </w:rPr>
      </w:pPr>
      <w:r w:rsidRPr="0017269F">
        <w:rPr>
          <w:rFonts w:ascii="Arial" w:hAnsi="Arial" w:cs="Arial"/>
        </w:rPr>
        <w:lastRenderedPageBreak/>
        <w:t xml:space="preserve">The proposal is viable, but </w:t>
      </w:r>
      <w:r w:rsidR="005568DB" w:rsidRPr="0017269F">
        <w:rPr>
          <w:rFonts w:ascii="Arial" w:hAnsi="Arial" w:cs="Arial"/>
        </w:rPr>
        <w:t>conditionally</w:t>
      </w:r>
      <w:r w:rsidR="005568DB">
        <w:rPr>
          <w:rFonts w:ascii="Arial" w:hAnsi="Arial" w:cs="Arial"/>
        </w:rPr>
        <w:t xml:space="preserve"> so,</w:t>
      </w:r>
      <w:r w:rsidRPr="0017269F">
        <w:rPr>
          <w:rFonts w:ascii="Arial" w:hAnsi="Arial" w:cs="Arial"/>
        </w:rPr>
        <w:t xml:space="preserve"> </w:t>
      </w:r>
      <w:r w:rsidR="005568DB">
        <w:rPr>
          <w:rFonts w:ascii="Arial" w:hAnsi="Arial" w:cs="Arial"/>
        </w:rPr>
        <w:t>i</w:t>
      </w:r>
      <w:r w:rsidRPr="0017269F">
        <w:rPr>
          <w:rFonts w:ascii="Arial" w:hAnsi="Arial" w:cs="Arial"/>
        </w:rPr>
        <w:t xml:space="preserve">t is strong because it addresses several linked weaknesses at once and stays close to the coffee </w:t>
      </w:r>
      <w:r w:rsidR="0072135B">
        <w:rPr>
          <w:rFonts w:ascii="Arial" w:hAnsi="Arial" w:cs="Arial"/>
        </w:rPr>
        <w:t>shop's</w:t>
      </w:r>
      <w:r w:rsidRPr="0017269F">
        <w:rPr>
          <w:rFonts w:ascii="Arial" w:hAnsi="Arial" w:cs="Arial"/>
        </w:rPr>
        <w:t xml:space="preserve"> identity. </w:t>
      </w:r>
      <w:r w:rsidR="00CA6FC7" w:rsidRPr="0017269F">
        <w:rPr>
          <w:rFonts w:ascii="Arial" w:hAnsi="Arial" w:cs="Arial"/>
        </w:rPr>
        <w:t xml:space="preserve">It is conditional because success depends heavily on improved owner discipline. Climate research supports this judgment: innovation works better when leadership creates clarity, follow-through, and room for change (Isaksen, 2007; Hoang, Wilson-Evered, and </w:t>
      </w:r>
      <w:proofErr w:type="spellStart"/>
      <w:r w:rsidR="00CA6FC7" w:rsidRPr="0017269F">
        <w:rPr>
          <w:rFonts w:ascii="Arial" w:hAnsi="Arial" w:cs="Arial"/>
        </w:rPr>
        <w:t>Lockstone</w:t>
      </w:r>
      <w:proofErr w:type="spellEnd"/>
      <w:r w:rsidR="00CA6FC7" w:rsidRPr="0017269F">
        <w:rPr>
          <w:rFonts w:ascii="Arial" w:hAnsi="Arial" w:cs="Arial"/>
        </w:rPr>
        <w:t>-Binney, 2019).</w:t>
      </w:r>
    </w:p>
    <w:p w14:paraId="10D9BB77" w14:textId="6D6C68E8" w:rsidR="00CA6FC7" w:rsidRPr="0017269F" w:rsidRDefault="00CA6FC7" w:rsidP="0017269F">
      <w:pPr>
        <w:spacing w:line="360" w:lineRule="auto"/>
        <w:jc w:val="both"/>
        <w:rPr>
          <w:rFonts w:ascii="Arial" w:hAnsi="Arial" w:cs="Arial"/>
        </w:rPr>
      </w:pPr>
      <w:r w:rsidRPr="0017269F">
        <w:rPr>
          <w:rFonts w:ascii="Arial" w:hAnsi="Arial" w:cs="Arial"/>
        </w:rPr>
        <w:t xml:space="preserve">Even if the package does not maximise short-term growth, it can still be justified from a value-creation perspective. It protects a culturally distinctive place, restores community activity, and keeps an ethical local business alive. Research on social value supports judging success by more than scale alone (Kim and Shin, 2022; </w:t>
      </w:r>
      <w:proofErr w:type="spellStart"/>
      <w:r w:rsidRPr="0017269F">
        <w:rPr>
          <w:rFonts w:ascii="Arial" w:hAnsi="Arial" w:cs="Arial"/>
        </w:rPr>
        <w:t>Lashitew</w:t>
      </w:r>
      <w:proofErr w:type="spellEnd"/>
      <w:r w:rsidRPr="0017269F">
        <w:rPr>
          <w:rFonts w:ascii="Arial" w:hAnsi="Arial" w:cs="Arial"/>
        </w:rPr>
        <w:t xml:space="preserve">, van </w:t>
      </w:r>
      <w:proofErr w:type="spellStart"/>
      <w:r w:rsidRPr="0017269F">
        <w:rPr>
          <w:rFonts w:ascii="Arial" w:hAnsi="Arial" w:cs="Arial"/>
        </w:rPr>
        <w:t>Tulder</w:t>
      </w:r>
      <w:proofErr w:type="spellEnd"/>
      <w:r w:rsidRPr="0017269F">
        <w:rPr>
          <w:rFonts w:ascii="Arial" w:hAnsi="Arial" w:cs="Arial"/>
        </w:rPr>
        <w:t>, and Muche, 2020).</w:t>
      </w:r>
    </w:p>
    <w:p w14:paraId="0B7D899F" w14:textId="60AD34FB" w:rsidR="00CA6FC7" w:rsidRPr="0017269F" w:rsidRDefault="00CA6FC7" w:rsidP="0017269F">
      <w:pPr>
        <w:spacing w:line="360" w:lineRule="auto"/>
        <w:jc w:val="both"/>
        <w:rPr>
          <w:rFonts w:ascii="Arial" w:hAnsi="Arial" w:cs="Arial"/>
        </w:rPr>
      </w:pPr>
      <w:r w:rsidRPr="0017269F">
        <w:rPr>
          <w:rFonts w:ascii="Arial" w:hAnsi="Arial" w:cs="Arial"/>
        </w:rPr>
        <w:t xml:space="preserve">Seren </w:t>
      </w:r>
      <w:proofErr w:type="spellStart"/>
      <w:r w:rsidR="00625F50" w:rsidRPr="0017269F">
        <w:rPr>
          <w:rFonts w:ascii="Arial" w:hAnsi="Arial" w:cs="Arial"/>
        </w:rPr>
        <w:t>Coffi's</w:t>
      </w:r>
      <w:proofErr w:type="spellEnd"/>
      <w:r w:rsidRPr="0017269F">
        <w:rPr>
          <w:rFonts w:ascii="Arial" w:hAnsi="Arial" w:cs="Arial"/>
        </w:rPr>
        <w:t xml:space="preserve"> climate supports innovation because it is rich in meaning, community connection</w:t>
      </w:r>
      <w:r w:rsidR="00625F50" w:rsidRPr="0017269F">
        <w:rPr>
          <w:rFonts w:ascii="Arial" w:hAnsi="Arial" w:cs="Arial"/>
        </w:rPr>
        <w:t>,</w:t>
      </w:r>
      <w:r w:rsidRPr="0017269F">
        <w:rPr>
          <w:rFonts w:ascii="Arial" w:hAnsi="Arial" w:cs="Arial"/>
        </w:rPr>
        <w:t xml:space="preserve"> and trust. The coffee </w:t>
      </w:r>
      <w:r w:rsidR="0072135B">
        <w:rPr>
          <w:rFonts w:ascii="Arial" w:hAnsi="Arial" w:cs="Arial"/>
        </w:rPr>
        <w:t>shop's</w:t>
      </w:r>
      <w:r w:rsidRPr="0017269F">
        <w:rPr>
          <w:rFonts w:ascii="Arial" w:hAnsi="Arial" w:cs="Arial"/>
        </w:rPr>
        <w:t xml:space="preserve"> early success with poetry evenings, language </w:t>
      </w:r>
      <w:r w:rsidR="00625F50" w:rsidRPr="0017269F">
        <w:rPr>
          <w:rFonts w:ascii="Arial" w:hAnsi="Arial" w:cs="Arial"/>
        </w:rPr>
        <w:t xml:space="preserve">exchanges, and transparent sourcing suggests that it can generate strong engagement when energy is focused (Martins and Terblanche, 2003; </w:t>
      </w:r>
      <w:proofErr w:type="spellStart"/>
      <w:r w:rsidR="00625F50" w:rsidRPr="0017269F">
        <w:rPr>
          <w:rFonts w:ascii="Arial" w:hAnsi="Arial" w:cs="Arial"/>
        </w:rPr>
        <w:t>Dohni</w:t>
      </w:r>
      <w:proofErr w:type="spellEnd"/>
      <w:r w:rsidR="00625F50" w:rsidRPr="0017269F">
        <w:rPr>
          <w:rFonts w:ascii="Arial" w:hAnsi="Arial" w:cs="Arial"/>
        </w:rPr>
        <w:t>, 2008).</w:t>
      </w:r>
    </w:p>
    <w:p w14:paraId="60C946ED" w14:textId="6FDCD062" w:rsidR="00625F50" w:rsidRPr="0017269F" w:rsidRDefault="00625F50" w:rsidP="0017269F">
      <w:pPr>
        <w:spacing w:line="360" w:lineRule="auto"/>
        <w:jc w:val="both"/>
        <w:rPr>
          <w:rFonts w:ascii="Arial" w:hAnsi="Arial" w:cs="Arial"/>
        </w:rPr>
      </w:pPr>
      <w:r w:rsidRPr="0017269F">
        <w:rPr>
          <w:rFonts w:ascii="Arial" w:hAnsi="Arial" w:cs="Arial"/>
        </w:rPr>
        <w:t>At the same time, the climate resists innovation at the point of implementation. Slow decisions, missed meetings, and neglected routine tasks show weak execution. Andreson, Potocnik</w:t>
      </w:r>
      <w:r w:rsidR="00C92BA0" w:rsidRPr="0017269F">
        <w:rPr>
          <w:rFonts w:ascii="Arial" w:hAnsi="Arial" w:cs="Arial"/>
        </w:rPr>
        <w:t>,</w:t>
      </w:r>
      <w:r w:rsidRPr="0017269F">
        <w:rPr>
          <w:rFonts w:ascii="Arial" w:hAnsi="Arial" w:cs="Arial"/>
        </w:rPr>
        <w:t xml:space="preserve"> and Zhou (2014) </w:t>
      </w:r>
      <w:r w:rsidR="005568DB">
        <w:rPr>
          <w:rFonts w:ascii="Arial" w:hAnsi="Arial" w:cs="Arial"/>
        </w:rPr>
        <w:t>state’s</w:t>
      </w:r>
      <w:r w:rsidRPr="0017269F">
        <w:rPr>
          <w:rFonts w:ascii="Arial" w:hAnsi="Arial" w:cs="Arial"/>
        </w:rPr>
        <w:t xml:space="preserve"> that innovation depends on multi-level conditions, not just idea quality</w:t>
      </w:r>
      <w:r w:rsidR="00C92BA0" w:rsidRPr="0017269F">
        <w:rPr>
          <w:rFonts w:ascii="Arial" w:hAnsi="Arial" w:cs="Arial"/>
        </w:rPr>
        <w:t xml:space="preserve">. </w:t>
      </w:r>
    </w:p>
    <w:p w14:paraId="7ABDADEE" w14:textId="73E8B278" w:rsidR="00C92BA0" w:rsidRPr="0017269F" w:rsidRDefault="00C92BA0" w:rsidP="0017269F">
      <w:pPr>
        <w:spacing w:line="360" w:lineRule="auto"/>
        <w:jc w:val="both"/>
        <w:rPr>
          <w:rFonts w:ascii="Arial" w:hAnsi="Arial" w:cs="Arial"/>
        </w:rPr>
      </w:pPr>
      <w:r w:rsidRPr="0017269F">
        <w:rPr>
          <w:rFonts w:ascii="Arial" w:hAnsi="Arial" w:cs="Arial"/>
        </w:rPr>
        <w:t>Seren Coffi, therefore, does not need a colder culture. It needs a more disciplined version of the caring culture it already has, supported by knowledge sharing and a practical coordinator (Kim and Shim, 2018). That is why the owners' recovery meeting is so important: it is the bridge between a culture that inspires ideas and a culture that can deliver them.</w:t>
      </w:r>
    </w:p>
    <w:p w14:paraId="187F55B1" w14:textId="77777777" w:rsidR="00C92BA0" w:rsidRPr="0017269F" w:rsidRDefault="00C92BA0" w:rsidP="0017269F">
      <w:pPr>
        <w:spacing w:line="360" w:lineRule="auto"/>
        <w:jc w:val="both"/>
        <w:rPr>
          <w:rFonts w:ascii="Arial" w:hAnsi="Arial" w:cs="Arial"/>
        </w:rPr>
      </w:pPr>
    </w:p>
    <w:p w14:paraId="35FB6170" w14:textId="77777777" w:rsidR="00C92BA0" w:rsidRPr="0017269F" w:rsidRDefault="00C92BA0" w:rsidP="0017269F">
      <w:pPr>
        <w:spacing w:line="360" w:lineRule="auto"/>
        <w:jc w:val="both"/>
        <w:rPr>
          <w:rFonts w:ascii="Arial" w:hAnsi="Arial" w:cs="Arial"/>
        </w:rPr>
      </w:pPr>
    </w:p>
    <w:p w14:paraId="15F03655" w14:textId="77777777" w:rsidR="003C460D" w:rsidRDefault="003C460D" w:rsidP="0017269F">
      <w:pPr>
        <w:pStyle w:val="Heading1"/>
        <w:spacing w:line="360" w:lineRule="auto"/>
        <w:jc w:val="both"/>
        <w:rPr>
          <w:rFonts w:ascii="Arial" w:hAnsi="Arial" w:cs="Arial"/>
          <w:sz w:val="24"/>
          <w:szCs w:val="24"/>
        </w:rPr>
      </w:pPr>
    </w:p>
    <w:p w14:paraId="6AD8AA55" w14:textId="77777777" w:rsidR="003C460D" w:rsidRPr="003C460D" w:rsidRDefault="003C460D" w:rsidP="003C460D"/>
    <w:p w14:paraId="2F1E9B8F" w14:textId="292BF203" w:rsidR="00C92BA0" w:rsidRPr="0017269F" w:rsidRDefault="00C92BA0" w:rsidP="0017269F">
      <w:pPr>
        <w:pStyle w:val="Heading1"/>
        <w:spacing w:line="360" w:lineRule="auto"/>
        <w:jc w:val="both"/>
        <w:rPr>
          <w:rFonts w:ascii="Arial" w:hAnsi="Arial" w:cs="Arial"/>
          <w:sz w:val="24"/>
          <w:szCs w:val="24"/>
        </w:rPr>
      </w:pPr>
      <w:bookmarkStart w:id="6" w:name="_Toc225779556"/>
      <w:r w:rsidRPr="0017269F">
        <w:rPr>
          <w:rFonts w:ascii="Arial" w:hAnsi="Arial" w:cs="Arial"/>
          <w:sz w:val="24"/>
          <w:szCs w:val="24"/>
        </w:rPr>
        <w:lastRenderedPageBreak/>
        <w:t>6. Conclusion</w:t>
      </w:r>
      <w:bookmarkEnd w:id="6"/>
    </w:p>
    <w:p w14:paraId="44F101A1" w14:textId="77777777" w:rsidR="00C92BA0" w:rsidRPr="0017269F" w:rsidRDefault="00C92BA0" w:rsidP="0017269F">
      <w:pPr>
        <w:spacing w:line="360" w:lineRule="auto"/>
        <w:jc w:val="both"/>
        <w:rPr>
          <w:rFonts w:ascii="Arial" w:hAnsi="Arial" w:cs="Arial"/>
        </w:rPr>
      </w:pPr>
    </w:p>
    <w:p w14:paraId="40EEB675" w14:textId="211ED295" w:rsidR="00C92BA0" w:rsidRPr="0017269F" w:rsidRDefault="00C92BA0" w:rsidP="0017269F">
      <w:pPr>
        <w:spacing w:line="360" w:lineRule="auto"/>
        <w:jc w:val="both"/>
        <w:rPr>
          <w:rFonts w:ascii="Arial" w:hAnsi="Arial" w:cs="Arial"/>
        </w:rPr>
      </w:pPr>
      <w:r w:rsidRPr="0017269F">
        <w:rPr>
          <w:rFonts w:ascii="Arial" w:hAnsi="Arial" w:cs="Arial"/>
        </w:rPr>
        <w:t xml:space="preserve">Seren </w:t>
      </w:r>
      <w:proofErr w:type="spellStart"/>
      <w:r w:rsidRPr="0017269F">
        <w:rPr>
          <w:rFonts w:ascii="Arial" w:hAnsi="Arial" w:cs="Arial"/>
        </w:rPr>
        <w:t>Coffi</w:t>
      </w:r>
      <w:proofErr w:type="spellEnd"/>
      <w:r w:rsidRPr="0017269F">
        <w:rPr>
          <w:rFonts w:ascii="Arial" w:hAnsi="Arial" w:cs="Arial"/>
        </w:rPr>
        <w:t xml:space="preserve"> should not answer </w:t>
      </w:r>
      <w:r w:rsidR="00DA279B" w:rsidRPr="0017269F">
        <w:rPr>
          <w:rFonts w:ascii="Arial" w:hAnsi="Arial" w:cs="Arial"/>
        </w:rPr>
        <w:t>with weakness</w:t>
      </w:r>
      <w:r w:rsidRPr="0017269F">
        <w:rPr>
          <w:rFonts w:ascii="Arial" w:hAnsi="Arial" w:cs="Arial"/>
        </w:rPr>
        <w:t xml:space="preserve"> by becoming generic. The better response is a values-led recovery package that makes the present model workable again: supplier-supported equipment, building improvement pressure, a formal owner’s plan, licensed event-led evenings, and staged price increases. This proposal fits the 4Ps on innovation, is conditionally viable under Lewin's Force Field Analyses, and protects the social and cultural value that makes the coffee shop worth saving.</w:t>
      </w:r>
    </w:p>
    <w:p w14:paraId="59977EB5" w14:textId="77777777" w:rsidR="00C92BA0" w:rsidRPr="0017269F" w:rsidRDefault="00C92BA0" w:rsidP="0017269F">
      <w:pPr>
        <w:spacing w:line="360" w:lineRule="auto"/>
        <w:jc w:val="both"/>
        <w:rPr>
          <w:rFonts w:ascii="Arial" w:hAnsi="Arial" w:cs="Arial"/>
        </w:rPr>
      </w:pPr>
    </w:p>
    <w:p w14:paraId="1D097431" w14:textId="77777777" w:rsidR="00C92BA0" w:rsidRPr="0017269F" w:rsidRDefault="00C92BA0" w:rsidP="0017269F">
      <w:pPr>
        <w:spacing w:line="360" w:lineRule="auto"/>
        <w:jc w:val="both"/>
        <w:rPr>
          <w:rFonts w:ascii="Arial" w:hAnsi="Arial" w:cs="Arial"/>
        </w:rPr>
      </w:pPr>
    </w:p>
    <w:p w14:paraId="1320178C" w14:textId="77777777" w:rsidR="00912ED8" w:rsidRPr="0017269F" w:rsidRDefault="00912ED8" w:rsidP="0017269F">
      <w:pPr>
        <w:spacing w:line="360" w:lineRule="auto"/>
        <w:jc w:val="both"/>
        <w:rPr>
          <w:rFonts w:ascii="Arial" w:hAnsi="Arial" w:cs="Arial"/>
        </w:rPr>
      </w:pPr>
    </w:p>
    <w:p w14:paraId="5BBC1F96" w14:textId="77777777" w:rsidR="00911F6B" w:rsidRPr="0017269F" w:rsidRDefault="00911F6B" w:rsidP="0017269F">
      <w:pPr>
        <w:spacing w:line="360" w:lineRule="auto"/>
        <w:jc w:val="both"/>
        <w:rPr>
          <w:rFonts w:ascii="Arial" w:hAnsi="Arial" w:cs="Arial"/>
        </w:rPr>
      </w:pPr>
    </w:p>
    <w:p w14:paraId="2A35CF69" w14:textId="77777777" w:rsidR="003C460D" w:rsidRDefault="003C460D" w:rsidP="003C460D">
      <w:pPr>
        <w:pStyle w:val="Heading1"/>
        <w:spacing w:line="360" w:lineRule="auto"/>
        <w:jc w:val="both"/>
        <w:rPr>
          <w:rFonts w:ascii="Arial" w:hAnsi="Arial" w:cs="Arial"/>
          <w:sz w:val="24"/>
          <w:szCs w:val="24"/>
        </w:rPr>
      </w:pPr>
    </w:p>
    <w:p w14:paraId="7DA64CAE" w14:textId="77777777" w:rsidR="003C460D" w:rsidRDefault="003C460D" w:rsidP="003C460D"/>
    <w:p w14:paraId="636FEE0D" w14:textId="77777777" w:rsidR="003C460D" w:rsidRDefault="003C460D" w:rsidP="003C460D"/>
    <w:p w14:paraId="6BACC599" w14:textId="77777777" w:rsidR="003C460D" w:rsidRDefault="003C460D" w:rsidP="003C460D"/>
    <w:p w14:paraId="5FEAF1DA" w14:textId="77777777" w:rsidR="003C460D" w:rsidRDefault="003C460D" w:rsidP="003C460D"/>
    <w:p w14:paraId="4F3B0F1F" w14:textId="77777777" w:rsidR="003C460D" w:rsidRDefault="003C460D" w:rsidP="003C460D"/>
    <w:p w14:paraId="0A9AB6E7" w14:textId="77777777" w:rsidR="003C460D" w:rsidRDefault="003C460D" w:rsidP="003C460D"/>
    <w:p w14:paraId="5A0C0620" w14:textId="77777777" w:rsidR="003C460D" w:rsidRDefault="003C460D" w:rsidP="003C460D"/>
    <w:p w14:paraId="1F17B48F" w14:textId="77777777" w:rsidR="003C460D" w:rsidRDefault="003C460D" w:rsidP="003C460D"/>
    <w:p w14:paraId="3C87BCAB" w14:textId="77777777" w:rsidR="003C460D" w:rsidRDefault="003C460D" w:rsidP="003C460D"/>
    <w:p w14:paraId="4BAE1AA3" w14:textId="5DB720D9" w:rsidR="003C460D" w:rsidRDefault="003C460D" w:rsidP="003C460D"/>
    <w:p w14:paraId="5FCF8934" w14:textId="77777777" w:rsidR="003C460D" w:rsidRDefault="003C460D" w:rsidP="003C460D"/>
    <w:p w14:paraId="2E7655CF" w14:textId="77777777" w:rsidR="003C460D" w:rsidRPr="003C460D" w:rsidRDefault="003C460D" w:rsidP="003C460D"/>
    <w:p w14:paraId="626FED9D" w14:textId="193F3DE2" w:rsidR="00AA3777" w:rsidRPr="003C460D" w:rsidRDefault="00DA279B" w:rsidP="003C460D">
      <w:pPr>
        <w:pStyle w:val="Heading1"/>
        <w:spacing w:line="360" w:lineRule="auto"/>
        <w:jc w:val="both"/>
        <w:rPr>
          <w:rFonts w:ascii="Arial" w:hAnsi="Arial" w:cs="Arial"/>
          <w:sz w:val="24"/>
          <w:szCs w:val="24"/>
        </w:rPr>
      </w:pPr>
      <w:bookmarkStart w:id="7" w:name="_Toc225779557"/>
      <w:r w:rsidRPr="0017269F">
        <w:rPr>
          <w:rFonts w:ascii="Arial" w:hAnsi="Arial" w:cs="Arial"/>
          <w:sz w:val="24"/>
          <w:szCs w:val="24"/>
        </w:rPr>
        <w:lastRenderedPageBreak/>
        <w:t>Part 2</w:t>
      </w:r>
      <w:bookmarkEnd w:id="7"/>
    </w:p>
    <w:p w14:paraId="360CD5AF" w14:textId="5C370D47" w:rsidR="00566110" w:rsidRPr="0017269F" w:rsidRDefault="00566110" w:rsidP="0017269F">
      <w:pPr>
        <w:spacing w:line="360" w:lineRule="auto"/>
        <w:jc w:val="both"/>
        <w:rPr>
          <w:rFonts w:ascii="Arial" w:hAnsi="Arial" w:cs="Arial"/>
        </w:rPr>
      </w:pPr>
      <w:r w:rsidRPr="0017269F">
        <w:rPr>
          <w:rFonts w:ascii="Arial" w:hAnsi="Arial" w:cs="Arial"/>
        </w:rPr>
        <w:t xml:space="preserve">This report evaluates how I use an AI language model to develop my original innovation for Seren </w:t>
      </w:r>
      <w:proofErr w:type="spellStart"/>
      <w:r w:rsidRPr="0017269F">
        <w:rPr>
          <w:rFonts w:ascii="Arial" w:hAnsi="Arial" w:cs="Arial"/>
        </w:rPr>
        <w:t>Coffi</w:t>
      </w:r>
      <w:proofErr w:type="spellEnd"/>
      <w:r w:rsidRPr="0017269F">
        <w:rPr>
          <w:rFonts w:ascii="Arial" w:hAnsi="Arial" w:cs="Arial"/>
        </w:rPr>
        <w:t xml:space="preserve">. My starting idea was a value-led recovery package rather than a growth plan: supplier-backed machine and grinder support, insulation support, a formal recovery structure between the founders, a limited alcohol licence for selected events, and staged price rises. </w:t>
      </w:r>
    </w:p>
    <w:p w14:paraId="32A84180" w14:textId="1DDA37D5" w:rsidR="00566110" w:rsidRPr="0017269F" w:rsidRDefault="00566110" w:rsidP="0017269F">
      <w:pPr>
        <w:spacing w:line="360" w:lineRule="auto"/>
        <w:jc w:val="both"/>
        <w:rPr>
          <w:rFonts w:ascii="Arial" w:hAnsi="Arial" w:cs="Arial"/>
        </w:rPr>
      </w:pPr>
      <w:r w:rsidRPr="0017269F">
        <w:rPr>
          <w:rFonts w:ascii="Arial" w:hAnsi="Arial" w:cs="Arial"/>
        </w:rPr>
        <w:t xml:space="preserve">The AI did not </w:t>
      </w:r>
      <w:r w:rsidR="00EA6C32">
        <w:rPr>
          <w:rFonts w:ascii="Arial" w:hAnsi="Arial" w:cs="Arial"/>
        </w:rPr>
        <w:t>help in my decisions or solutions;</w:t>
      </w:r>
      <w:r w:rsidR="00DF200A" w:rsidRPr="0017269F">
        <w:rPr>
          <w:rFonts w:ascii="Arial" w:hAnsi="Arial" w:cs="Arial"/>
        </w:rPr>
        <w:t xml:space="preserve"> instead, it helped me test, defend it and present them more clearly.</w:t>
      </w:r>
      <w:r w:rsidR="00C10AB7" w:rsidRPr="0017269F">
        <w:rPr>
          <w:rFonts w:ascii="Arial" w:hAnsi="Arial" w:cs="Arial"/>
        </w:rPr>
        <w:t xml:space="preserve"> Its</w:t>
      </w:r>
      <w:r w:rsidR="00DF200A" w:rsidRPr="0017269F">
        <w:rPr>
          <w:rFonts w:ascii="Arial" w:hAnsi="Arial" w:cs="Arial"/>
        </w:rPr>
        <w:t xml:space="preserve"> stronger contribution was to sharpen</w:t>
      </w:r>
      <w:r w:rsidR="00C10AB7" w:rsidRPr="0017269F">
        <w:rPr>
          <w:rFonts w:ascii="Arial" w:hAnsi="Arial" w:cs="Arial"/>
        </w:rPr>
        <w:t xml:space="preserve"> the operational logic behind the plan, especially by showing that Seren </w:t>
      </w:r>
      <w:proofErr w:type="spellStart"/>
      <w:r w:rsidR="00ED67DD" w:rsidRPr="0017269F">
        <w:rPr>
          <w:rFonts w:ascii="Arial" w:hAnsi="Arial" w:cs="Arial"/>
        </w:rPr>
        <w:t>Coffi's</w:t>
      </w:r>
      <w:proofErr w:type="spellEnd"/>
      <w:r w:rsidR="00C10AB7" w:rsidRPr="0017269F">
        <w:rPr>
          <w:rFonts w:ascii="Arial" w:hAnsi="Arial" w:cs="Arial"/>
        </w:rPr>
        <w:t xml:space="preserve"> </w:t>
      </w:r>
      <w:r w:rsidR="00B37069" w:rsidRPr="0017269F">
        <w:rPr>
          <w:rFonts w:ascii="Arial" w:hAnsi="Arial" w:cs="Arial"/>
        </w:rPr>
        <w:t>real problem was not lack of demand but organisational fragility.</w:t>
      </w:r>
    </w:p>
    <w:p w14:paraId="4FBFC2AF" w14:textId="64D44B72" w:rsidR="00AA3777" w:rsidRPr="003C460D" w:rsidRDefault="00B37069" w:rsidP="003C460D">
      <w:pPr>
        <w:spacing w:line="360" w:lineRule="auto"/>
        <w:jc w:val="both"/>
        <w:rPr>
          <w:rFonts w:ascii="Arial" w:hAnsi="Arial" w:cs="Arial"/>
        </w:rPr>
      </w:pPr>
      <w:r w:rsidRPr="0017269F">
        <w:rPr>
          <w:rFonts w:ascii="Arial" w:hAnsi="Arial" w:cs="Arial"/>
        </w:rPr>
        <w:t>However, the interaction also has clear weaknesses. The LLM initially treated my connected solutions as separate points, misread some of my summaries, and used overconfident wording that did not fully fit the case. Overall, the exercise showed that AI can be useful as a critical sparring partner, but only when the user remains in control, checks the logic carefully, and refuses weak recommendations.</w:t>
      </w:r>
    </w:p>
    <w:p w14:paraId="5A4BF056" w14:textId="21AF0FC2" w:rsidR="00B37069" w:rsidRPr="0017269F" w:rsidRDefault="00B37069" w:rsidP="0017269F">
      <w:pPr>
        <w:spacing w:line="360" w:lineRule="auto"/>
        <w:jc w:val="both"/>
        <w:rPr>
          <w:rFonts w:ascii="Arial" w:hAnsi="Arial" w:cs="Arial"/>
        </w:rPr>
      </w:pPr>
      <w:r w:rsidRPr="0017269F">
        <w:rPr>
          <w:rFonts w:ascii="Arial" w:hAnsi="Arial" w:cs="Arial"/>
        </w:rPr>
        <w:t xml:space="preserve">This report reflects on my use of an AI to develop a creative innovation for Seren </w:t>
      </w:r>
      <w:proofErr w:type="spellStart"/>
      <w:r w:rsidRPr="0017269F">
        <w:rPr>
          <w:rFonts w:ascii="Arial" w:hAnsi="Arial" w:cs="Arial"/>
        </w:rPr>
        <w:t>Coffi</w:t>
      </w:r>
      <w:proofErr w:type="spellEnd"/>
      <w:r w:rsidRPr="0017269F">
        <w:rPr>
          <w:rFonts w:ascii="Arial" w:hAnsi="Arial" w:cs="Arial"/>
        </w:rPr>
        <w:t xml:space="preserve">, a small </w:t>
      </w:r>
      <w:r w:rsidR="00ED67DD" w:rsidRPr="0017269F">
        <w:rPr>
          <w:rFonts w:ascii="Arial" w:hAnsi="Arial" w:cs="Arial"/>
        </w:rPr>
        <w:t>Cardiff</w:t>
      </w:r>
      <w:r w:rsidRPr="0017269F">
        <w:rPr>
          <w:rFonts w:ascii="Arial" w:hAnsi="Arial" w:cs="Arial"/>
        </w:rPr>
        <w:t xml:space="preserve"> coffee shop, facing rising costs, weak cash flow, equipment problems, slower service</w:t>
      </w:r>
      <w:r w:rsidR="00ED67DD" w:rsidRPr="0017269F">
        <w:rPr>
          <w:rFonts w:ascii="Arial" w:hAnsi="Arial" w:cs="Arial"/>
        </w:rPr>
        <w:t>,</w:t>
      </w:r>
      <w:r w:rsidRPr="0017269F">
        <w:rPr>
          <w:rFonts w:ascii="Arial" w:hAnsi="Arial" w:cs="Arial"/>
        </w:rPr>
        <w:t xml:space="preserve"> </w:t>
      </w:r>
      <w:r w:rsidR="00ED67DD" w:rsidRPr="0017269F">
        <w:rPr>
          <w:rFonts w:ascii="Arial" w:hAnsi="Arial" w:cs="Arial"/>
        </w:rPr>
        <w:t xml:space="preserve">and declining founder discipline. In creativity terms, an idea is normally expected to be both novel and useful, while innovation is the process of turning ideas into practical value within an organisational setting (Runco and Jaeger, 2012; Tidd and Bessant, 2018). I did not need the AI to inspire or to reflect in my solutions. I needed it to challenge my solutions, so I can verify my judgment. </w:t>
      </w:r>
    </w:p>
    <w:p w14:paraId="1368BD88" w14:textId="2AAC9DE4" w:rsidR="00ED67DD" w:rsidRPr="0017269F" w:rsidRDefault="00ED67DD" w:rsidP="0017269F">
      <w:pPr>
        <w:spacing w:line="360" w:lineRule="auto"/>
        <w:jc w:val="both"/>
        <w:rPr>
          <w:rFonts w:ascii="Arial" w:hAnsi="Arial" w:cs="Arial"/>
        </w:rPr>
      </w:pPr>
      <w:r w:rsidRPr="0017269F">
        <w:rPr>
          <w:rFonts w:ascii="Arial" w:hAnsi="Arial" w:cs="Arial"/>
        </w:rPr>
        <w:t xml:space="preserve">The wider research </w:t>
      </w:r>
      <w:r w:rsidR="00B21FAE" w:rsidRPr="0017269F">
        <w:rPr>
          <w:rFonts w:ascii="Arial" w:hAnsi="Arial" w:cs="Arial"/>
        </w:rPr>
        <w:t>suggests</w:t>
      </w:r>
      <w:r w:rsidRPr="0017269F">
        <w:rPr>
          <w:rFonts w:ascii="Arial" w:hAnsi="Arial" w:cs="Arial"/>
        </w:rPr>
        <w:t xml:space="preserve"> that generative </w:t>
      </w:r>
      <w:r w:rsidR="00B21FAE" w:rsidRPr="0017269F">
        <w:rPr>
          <w:rFonts w:ascii="Arial" w:hAnsi="Arial" w:cs="Arial"/>
        </w:rPr>
        <w:t>AI</w:t>
      </w:r>
      <w:r w:rsidRPr="0017269F">
        <w:rPr>
          <w:rFonts w:ascii="Arial" w:hAnsi="Arial" w:cs="Arial"/>
        </w:rPr>
        <w:t xml:space="preserve"> can support ideation, act as a co-creative partner</w:t>
      </w:r>
      <w:r w:rsidR="00B21FAE" w:rsidRPr="0017269F">
        <w:rPr>
          <w:rFonts w:ascii="Arial" w:hAnsi="Arial" w:cs="Arial"/>
        </w:rPr>
        <w:t>,</w:t>
      </w:r>
      <w:r w:rsidRPr="0017269F">
        <w:rPr>
          <w:rFonts w:ascii="Arial" w:hAnsi="Arial" w:cs="Arial"/>
        </w:rPr>
        <w:t xml:space="preserve"> and help users work through uncertainty, but that its outputs still require human oversight and judgement (Karimi et al., 2020; </w:t>
      </w:r>
      <w:proofErr w:type="spellStart"/>
      <w:r w:rsidRPr="0017269F">
        <w:rPr>
          <w:rFonts w:ascii="Arial" w:hAnsi="Arial" w:cs="Arial"/>
        </w:rPr>
        <w:t>Kasneci</w:t>
      </w:r>
      <w:proofErr w:type="spellEnd"/>
      <w:r w:rsidRPr="0017269F">
        <w:rPr>
          <w:rFonts w:ascii="Arial" w:hAnsi="Arial" w:cs="Arial"/>
        </w:rPr>
        <w:t xml:space="preserve"> et al., 2023; Wingstrom, Hautala</w:t>
      </w:r>
      <w:r w:rsidR="00B21FAE" w:rsidRPr="0017269F">
        <w:rPr>
          <w:rFonts w:ascii="Arial" w:hAnsi="Arial" w:cs="Arial"/>
        </w:rPr>
        <w:t>,</w:t>
      </w:r>
      <w:r w:rsidRPr="0017269F">
        <w:rPr>
          <w:rFonts w:ascii="Arial" w:hAnsi="Arial" w:cs="Arial"/>
        </w:rPr>
        <w:t xml:space="preserve"> and Lundman</w:t>
      </w:r>
      <w:r w:rsidR="00B21FAE" w:rsidRPr="0017269F">
        <w:rPr>
          <w:rFonts w:ascii="Arial" w:hAnsi="Arial" w:cs="Arial"/>
        </w:rPr>
        <w:t>, 2020).</w:t>
      </w:r>
    </w:p>
    <w:p w14:paraId="6DC922B0" w14:textId="64332C0B" w:rsidR="00B21FAE" w:rsidRPr="0017269F" w:rsidRDefault="00B21FAE" w:rsidP="0017269F">
      <w:pPr>
        <w:spacing w:line="360" w:lineRule="auto"/>
        <w:jc w:val="both"/>
        <w:rPr>
          <w:rFonts w:ascii="Arial" w:hAnsi="Arial" w:cs="Arial"/>
        </w:rPr>
      </w:pPr>
      <w:r w:rsidRPr="0017269F">
        <w:rPr>
          <w:rFonts w:ascii="Arial" w:hAnsi="Arial" w:cs="Arial"/>
        </w:rPr>
        <w:t xml:space="preserve">My starting solution was built around five linked actions. First, Seren </w:t>
      </w:r>
      <w:proofErr w:type="spellStart"/>
      <w:r w:rsidRPr="0017269F">
        <w:rPr>
          <w:rFonts w:ascii="Arial" w:hAnsi="Arial" w:cs="Arial"/>
        </w:rPr>
        <w:t>Coffi</w:t>
      </w:r>
      <w:proofErr w:type="spellEnd"/>
      <w:r w:rsidRPr="0017269F">
        <w:rPr>
          <w:rFonts w:ascii="Arial" w:hAnsi="Arial" w:cs="Arial"/>
        </w:rPr>
        <w:t xml:space="preserve"> should negotiate a lease or hire support for the coffee machine and grinder, with maintenance, through the current supplier.</w:t>
      </w:r>
    </w:p>
    <w:p w14:paraId="62FC5879" w14:textId="20D44113" w:rsidR="00B21FAE" w:rsidRPr="0017269F" w:rsidRDefault="00B21FAE" w:rsidP="0017269F">
      <w:pPr>
        <w:spacing w:line="360" w:lineRule="auto"/>
        <w:jc w:val="both"/>
        <w:rPr>
          <w:rFonts w:ascii="Arial" w:hAnsi="Arial" w:cs="Arial"/>
        </w:rPr>
      </w:pPr>
      <w:r w:rsidRPr="0017269F">
        <w:rPr>
          <w:rFonts w:ascii="Arial" w:hAnsi="Arial" w:cs="Arial"/>
        </w:rPr>
        <w:t>Second, it should seek insulation support from the landlord or council to reduce cost pressure.</w:t>
      </w:r>
    </w:p>
    <w:p w14:paraId="17D8C7C8" w14:textId="7ABF165D" w:rsidR="00B21FAE" w:rsidRPr="0017269F" w:rsidRDefault="00B21FAE" w:rsidP="0017269F">
      <w:pPr>
        <w:spacing w:line="360" w:lineRule="auto"/>
        <w:jc w:val="both"/>
        <w:rPr>
          <w:rFonts w:ascii="Arial" w:hAnsi="Arial" w:cs="Arial"/>
        </w:rPr>
      </w:pPr>
      <w:r w:rsidRPr="0017269F">
        <w:rPr>
          <w:rFonts w:ascii="Arial" w:hAnsi="Arial" w:cs="Arial"/>
        </w:rPr>
        <w:lastRenderedPageBreak/>
        <w:t>Third, the two founders should agree on a formal recovery structure so that responsibilities, actions, and follow-up no longer drift.</w:t>
      </w:r>
    </w:p>
    <w:p w14:paraId="3CFE084D" w14:textId="4FAA1795" w:rsidR="00B21FAE" w:rsidRPr="0017269F" w:rsidRDefault="00B21FAE" w:rsidP="0017269F">
      <w:pPr>
        <w:spacing w:line="360" w:lineRule="auto"/>
        <w:jc w:val="both"/>
        <w:rPr>
          <w:rFonts w:ascii="Arial" w:hAnsi="Arial" w:cs="Arial"/>
        </w:rPr>
      </w:pPr>
      <w:r w:rsidRPr="0017269F">
        <w:rPr>
          <w:rFonts w:ascii="Arial" w:hAnsi="Arial" w:cs="Arial"/>
        </w:rPr>
        <w:t>Fourth, the coffee shop should consider a limited alcohol licence for selected events as a secondary income source.</w:t>
      </w:r>
    </w:p>
    <w:p w14:paraId="77486E1C" w14:textId="37A58831" w:rsidR="00B21FAE" w:rsidRPr="0017269F" w:rsidRDefault="00B21FAE" w:rsidP="0017269F">
      <w:pPr>
        <w:spacing w:line="360" w:lineRule="auto"/>
        <w:jc w:val="both"/>
        <w:rPr>
          <w:rFonts w:ascii="Arial" w:hAnsi="Arial" w:cs="Arial"/>
        </w:rPr>
      </w:pPr>
      <w:r w:rsidRPr="0017269F">
        <w:rPr>
          <w:rFonts w:ascii="Arial" w:hAnsi="Arial" w:cs="Arial"/>
        </w:rPr>
        <w:t xml:space="preserve">Fifth, prices should increase gradually in stages, so margins improve without </w:t>
      </w:r>
      <w:r w:rsidR="005861C0" w:rsidRPr="0017269F">
        <w:rPr>
          <w:rFonts w:ascii="Arial" w:hAnsi="Arial" w:cs="Arial"/>
        </w:rPr>
        <w:t>breaking the brand’s fairness-based identity.</w:t>
      </w:r>
    </w:p>
    <w:p w14:paraId="4BE7FF5E" w14:textId="1C5A5ECD" w:rsidR="005861C0" w:rsidRPr="0017269F" w:rsidRDefault="005861C0" w:rsidP="0017269F">
      <w:pPr>
        <w:spacing w:line="360" w:lineRule="auto"/>
        <w:jc w:val="both"/>
        <w:rPr>
          <w:rFonts w:ascii="Arial" w:hAnsi="Arial" w:cs="Arial"/>
        </w:rPr>
      </w:pPr>
      <w:r w:rsidRPr="0017269F">
        <w:rPr>
          <w:rFonts w:ascii="Arial" w:hAnsi="Arial" w:cs="Arial"/>
        </w:rPr>
        <w:t>At the same time, I was aware that the model could misread context or produce polished but weak reasoning, so I approached the interaction critically rather than passively (Dwivedi et al., 2023).</w:t>
      </w:r>
    </w:p>
    <w:p w14:paraId="181D953E" w14:textId="1C5221F7" w:rsidR="006920BB" w:rsidRPr="0017269F" w:rsidRDefault="006920BB" w:rsidP="0017269F">
      <w:pPr>
        <w:spacing w:line="360" w:lineRule="auto"/>
        <w:jc w:val="both"/>
        <w:rPr>
          <w:rFonts w:ascii="Arial" w:hAnsi="Arial" w:cs="Arial"/>
        </w:rPr>
      </w:pPr>
      <w:r w:rsidRPr="0017269F">
        <w:rPr>
          <w:rFonts w:ascii="Arial" w:hAnsi="Arial" w:cs="Arial"/>
        </w:rPr>
        <w:t>The main weakness was that the LLM initially treated my solution as if it were a list of separate recommendations. That led it to challenge the pricing stages and the alcohol licence too harshly, because it responded as though those points were meant to carry the entire recovery alone. I had intended all five actions to work together. Once I explained more clearly, the model revised its judgment and accepted that the plan was stronger as a package than as isolated points.</w:t>
      </w:r>
    </w:p>
    <w:p w14:paraId="5E7CE084" w14:textId="01462A74" w:rsidR="006920BB" w:rsidRPr="0017269F" w:rsidRDefault="006920BB" w:rsidP="0017269F">
      <w:pPr>
        <w:spacing w:line="360" w:lineRule="auto"/>
        <w:jc w:val="both"/>
        <w:rPr>
          <w:rFonts w:ascii="Arial" w:hAnsi="Arial" w:cs="Arial"/>
        </w:rPr>
      </w:pPr>
      <w:r w:rsidRPr="0017269F">
        <w:rPr>
          <w:rFonts w:ascii="Arial" w:hAnsi="Arial" w:cs="Arial"/>
        </w:rPr>
        <w:t xml:space="preserve">The model also produced wording that did not always fit the case well. </w:t>
      </w:r>
      <w:r w:rsidR="00FB7742" w:rsidRPr="0017269F">
        <w:rPr>
          <w:rFonts w:ascii="Arial" w:hAnsi="Arial" w:cs="Arial"/>
        </w:rPr>
        <w:t>For example, it referred to “written discipline”, which sounded top-down and slightly misplaced, given that both people involved were founders. I had to correct that and push the conversation towards “formal recovery structure” or “written operating routine”, which was much closer to what I meant.</w:t>
      </w:r>
    </w:p>
    <w:p w14:paraId="1162A1E4" w14:textId="08F88174" w:rsidR="00FB7742" w:rsidRPr="0017269F" w:rsidRDefault="00FB7742" w:rsidP="0017269F">
      <w:pPr>
        <w:spacing w:line="360" w:lineRule="auto"/>
        <w:jc w:val="both"/>
        <w:rPr>
          <w:rFonts w:ascii="Arial" w:hAnsi="Arial" w:cs="Arial"/>
        </w:rPr>
      </w:pPr>
      <w:r w:rsidRPr="0017269F">
        <w:rPr>
          <w:rFonts w:ascii="Arial" w:hAnsi="Arial" w:cs="Arial"/>
        </w:rPr>
        <w:t>This experience matches broader concerns about LLM output. Generative AI often produces plausible and fluent responses, but fluency can hide shallow interpretation, awkward assumptions, or overconfident framing (Bender et al., 2021; UNESCO, 2023). The problem is not always a factual hallucination. Sometimes it is conceptual slippage; the answer sounds strong but misses the user’s actual logic.</w:t>
      </w:r>
    </w:p>
    <w:p w14:paraId="1D758625" w14:textId="37CC4DFB" w:rsidR="00FB7742" w:rsidRPr="0017269F" w:rsidRDefault="00FB7742" w:rsidP="0017269F">
      <w:pPr>
        <w:spacing w:line="360" w:lineRule="auto"/>
        <w:jc w:val="both"/>
        <w:rPr>
          <w:rFonts w:ascii="Arial" w:hAnsi="Arial" w:cs="Arial"/>
        </w:rPr>
      </w:pPr>
      <w:r w:rsidRPr="0017269F">
        <w:rPr>
          <w:rFonts w:ascii="Arial" w:hAnsi="Arial" w:cs="Arial"/>
        </w:rPr>
        <w:t xml:space="preserve">A practical issue was that the quality of the output depended heavily on how carefully I framed follow-up prompts. When I gave the model a summary, it sometimes filled the gaps too quickly. </w:t>
      </w:r>
      <w:r w:rsidR="009B3B05" w:rsidRPr="0017269F">
        <w:rPr>
          <w:rFonts w:ascii="Arial" w:hAnsi="Arial" w:cs="Arial"/>
        </w:rPr>
        <w:t>I had to keep correcting the context and reminding it that the solution was connected rather than fragmented. This supports the view that AI outputs are shaped by prompt design and user steering, not just by the model’s internal ability (</w:t>
      </w:r>
      <w:proofErr w:type="spellStart"/>
      <w:r w:rsidR="009B3B05" w:rsidRPr="0017269F">
        <w:rPr>
          <w:rFonts w:ascii="Arial" w:hAnsi="Arial" w:cs="Arial"/>
        </w:rPr>
        <w:t>Kasneci</w:t>
      </w:r>
      <w:proofErr w:type="spellEnd"/>
      <w:r w:rsidR="009B3B05" w:rsidRPr="0017269F">
        <w:rPr>
          <w:rFonts w:ascii="Arial" w:hAnsi="Arial" w:cs="Arial"/>
        </w:rPr>
        <w:t xml:space="preserve"> et al., 2023; UNESCO, 2022).</w:t>
      </w:r>
    </w:p>
    <w:p w14:paraId="11348905" w14:textId="0A394B8D" w:rsidR="009B3B05" w:rsidRPr="0017269F" w:rsidRDefault="009B3B05" w:rsidP="0017269F">
      <w:pPr>
        <w:spacing w:line="360" w:lineRule="auto"/>
        <w:jc w:val="both"/>
        <w:rPr>
          <w:rFonts w:ascii="Arial" w:hAnsi="Arial" w:cs="Arial"/>
        </w:rPr>
      </w:pPr>
      <w:r w:rsidRPr="0017269F">
        <w:rPr>
          <w:rFonts w:ascii="Arial" w:hAnsi="Arial" w:cs="Arial"/>
        </w:rPr>
        <w:lastRenderedPageBreak/>
        <w:t xml:space="preserve">Another issue was the risk of normalisation. Some of the LLM’s early responses drifted towards a generic operational turnaround, which could have flattened Seren </w:t>
      </w:r>
      <w:proofErr w:type="spellStart"/>
      <w:r w:rsidRPr="0017269F">
        <w:rPr>
          <w:rFonts w:ascii="Arial" w:hAnsi="Arial" w:cs="Arial"/>
        </w:rPr>
        <w:t>Coffi's</w:t>
      </w:r>
      <w:proofErr w:type="spellEnd"/>
      <w:r w:rsidRPr="0017269F">
        <w:rPr>
          <w:rFonts w:ascii="Arial" w:hAnsi="Arial" w:cs="Arial"/>
        </w:rPr>
        <w:t xml:space="preserve"> district values-led identity. This is an important limitation because creativity is not only about solving a problem efficiently, but it is also about preserving meaning, fit, and context (Amabile and Pratt, 2016). Research suggests that generative AI can enhance individual ideation but also reduce the diversity of output if users rely on it too heavily (Doshi and Hauser, 2024). I could see that risk in this task.</w:t>
      </w:r>
      <w:r w:rsidR="00EE326E" w:rsidRPr="0017269F">
        <w:rPr>
          <w:rFonts w:ascii="Arial" w:hAnsi="Arial" w:cs="Arial"/>
        </w:rPr>
        <w:t xml:space="preserve"> Studies have shown that LLMs generate inaccurate or fabricated citations and references, which makes source-checking essential in academic work (Chelli et al., 2024).</w:t>
      </w:r>
    </w:p>
    <w:p w14:paraId="47218AB9" w14:textId="050B324A" w:rsidR="00EE326E" w:rsidRPr="0017269F" w:rsidRDefault="00EE326E" w:rsidP="0017269F">
      <w:pPr>
        <w:spacing w:line="360" w:lineRule="auto"/>
        <w:jc w:val="both"/>
        <w:rPr>
          <w:rFonts w:ascii="Arial" w:hAnsi="Arial" w:cs="Arial"/>
        </w:rPr>
      </w:pPr>
      <w:r w:rsidRPr="0017269F">
        <w:rPr>
          <w:rFonts w:ascii="Arial" w:hAnsi="Arial" w:cs="Arial"/>
        </w:rPr>
        <w:t xml:space="preserve">Overall, I would describe the AI’s role in this task as developmental rather than authorial. It did not originate the innovation. The core solution remained mine. What the LLM contributed was pressure-testing, reframing, and sharper sequencing. It acted more like a critical friend than a designer. This is consistent with co-creativity research, which suggests that AI can productively interact with human users, but that meaningful </w:t>
      </w:r>
      <w:r w:rsidR="002E131F" w:rsidRPr="0017269F">
        <w:rPr>
          <w:rFonts w:ascii="Arial" w:hAnsi="Arial" w:cs="Arial"/>
        </w:rPr>
        <w:t>judgment</w:t>
      </w:r>
      <w:r w:rsidRPr="0017269F">
        <w:rPr>
          <w:rFonts w:ascii="Arial" w:hAnsi="Arial" w:cs="Arial"/>
        </w:rPr>
        <w:t>, interpretation</w:t>
      </w:r>
      <w:r w:rsidR="002E131F" w:rsidRPr="0017269F">
        <w:rPr>
          <w:rFonts w:ascii="Arial" w:hAnsi="Arial" w:cs="Arial"/>
        </w:rPr>
        <w:t>,</w:t>
      </w:r>
      <w:r w:rsidRPr="0017269F">
        <w:rPr>
          <w:rFonts w:ascii="Arial" w:hAnsi="Arial" w:cs="Arial"/>
        </w:rPr>
        <w:t xml:space="preserve"> and contextual fit still rest with the human partner (Karimi et al., 2020; Wingstrom, Hautala</w:t>
      </w:r>
      <w:r w:rsidR="002E131F" w:rsidRPr="0017269F">
        <w:rPr>
          <w:rFonts w:ascii="Arial" w:hAnsi="Arial" w:cs="Arial"/>
        </w:rPr>
        <w:t>,</w:t>
      </w:r>
      <w:r w:rsidRPr="0017269F">
        <w:rPr>
          <w:rFonts w:ascii="Arial" w:hAnsi="Arial" w:cs="Arial"/>
        </w:rPr>
        <w:t xml:space="preserve"> and Lundman</w:t>
      </w:r>
      <w:r w:rsidR="002E131F" w:rsidRPr="0017269F">
        <w:rPr>
          <w:rFonts w:ascii="Arial" w:hAnsi="Arial" w:cs="Arial"/>
        </w:rPr>
        <w:t>, 2022).</w:t>
      </w:r>
    </w:p>
    <w:p w14:paraId="0DAACC91" w14:textId="34146515" w:rsidR="002E131F" w:rsidRPr="0017269F" w:rsidRDefault="002E131F" w:rsidP="0017269F">
      <w:pPr>
        <w:spacing w:line="360" w:lineRule="auto"/>
        <w:jc w:val="both"/>
        <w:rPr>
          <w:rFonts w:ascii="Arial" w:hAnsi="Arial" w:cs="Arial"/>
        </w:rPr>
      </w:pPr>
      <w:r w:rsidRPr="0017269F">
        <w:rPr>
          <w:rFonts w:ascii="Arial" w:hAnsi="Arial" w:cs="Arial"/>
        </w:rPr>
        <w:t xml:space="preserve">However, that value depended on resistance as much as acceptance. The best moments came when I challenged the LLM’s answer, not when I simply received it. Some studies suggest that AI can support creative performance or idea generation, while others warn that repeated use may narrow diversity or weaken independent thinking if the user becomes too reliant on machine-generated structures (Thomas et al., 2024; Toma and Yanez-Perez, 2024; Doshi and Hauser, 2024). </w:t>
      </w:r>
    </w:p>
    <w:p w14:paraId="1D2EBF56" w14:textId="58F05673" w:rsidR="002E131F" w:rsidRPr="0017269F" w:rsidRDefault="002E131F" w:rsidP="0017269F">
      <w:pPr>
        <w:spacing w:line="360" w:lineRule="auto"/>
        <w:jc w:val="both"/>
        <w:rPr>
          <w:rFonts w:ascii="Arial" w:hAnsi="Arial" w:cs="Arial"/>
        </w:rPr>
      </w:pPr>
      <w:r w:rsidRPr="0017269F">
        <w:rPr>
          <w:rFonts w:ascii="Arial" w:hAnsi="Arial" w:cs="Arial"/>
        </w:rPr>
        <w:t>There are also ethical and educational</w:t>
      </w:r>
      <w:r w:rsidR="005A7F28" w:rsidRPr="0017269F">
        <w:rPr>
          <w:rFonts w:ascii="Arial" w:hAnsi="Arial" w:cs="Arial"/>
        </w:rPr>
        <w:t xml:space="preserve"> issues. UNESCO’s guidance </w:t>
      </w:r>
      <w:r w:rsidR="00CF18CB">
        <w:rPr>
          <w:rFonts w:ascii="Arial" w:hAnsi="Arial" w:cs="Arial"/>
        </w:rPr>
        <w:t>emphasis</w:t>
      </w:r>
      <w:r w:rsidR="005A7F28" w:rsidRPr="0017269F">
        <w:rPr>
          <w:rFonts w:ascii="Arial" w:hAnsi="Arial" w:cs="Arial"/>
        </w:rPr>
        <w:t xml:space="preserve"> human oversight, transparency, and critical use of generative AI in learning and research, rather than blind delegation (UNESCO, 2022; UNESCO, 2023). Similar concerns appear in higher education research, where students often see value in generative AI but still need boundaries and critical literacy (</w:t>
      </w:r>
      <w:proofErr w:type="spellStart"/>
      <w:r w:rsidR="005A7F28" w:rsidRPr="0017269F">
        <w:rPr>
          <w:rFonts w:ascii="Arial" w:hAnsi="Arial" w:cs="Arial"/>
        </w:rPr>
        <w:t>Arowosegbe</w:t>
      </w:r>
      <w:proofErr w:type="spellEnd"/>
      <w:r w:rsidR="005A7F28" w:rsidRPr="0017269F">
        <w:rPr>
          <w:rFonts w:ascii="Arial" w:hAnsi="Arial" w:cs="Arial"/>
        </w:rPr>
        <w:t xml:space="preserve">, Alqahtani, and </w:t>
      </w:r>
      <w:proofErr w:type="spellStart"/>
      <w:r w:rsidR="005A7F28" w:rsidRPr="0017269F">
        <w:rPr>
          <w:rFonts w:ascii="Arial" w:hAnsi="Arial" w:cs="Arial"/>
        </w:rPr>
        <w:t>Oyelade</w:t>
      </w:r>
      <w:proofErr w:type="spellEnd"/>
      <w:r w:rsidR="005A7F28" w:rsidRPr="0017269F">
        <w:rPr>
          <w:rFonts w:ascii="Arial" w:hAnsi="Arial" w:cs="Arial"/>
        </w:rPr>
        <w:t>, 2024). This reflects my own conclusion. AI was useful here, but only because I already understood the case well enough to argue back.</w:t>
      </w:r>
    </w:p>
    <w:p w14:paraId="444F0708" w14:textId="0CDB0469" w:rsidR="005A7F28" w:rsidRPr="0017269F" w:rsidRDefault="005A7F28" w:rsidP="0017269F">
      <w:pPr>
        <w:spacing w:line="360" w:lineRule="auto"/>
        <w:jc w:val="both"/>
        <w:rPr>
          <w:rFonts w:ascii="Arial" w:hAnsi="Arial" w:cs="Arial"/>
        </w:rPr>
      </w:pPr>
      <w:r w:rsidRPr="0017269F">
        <w:rPr>
          <w:rFonts w:ascii="Arial" w:hAnsi="Arial" w:cs="Arial"/>
        </w:rPr>
        <w:t xml:space="preserve">Using an AI LLM helped me </w:t>
      </w:r>
      <w:r w:rsidR="00A231AE" w:rsidRPr="0017269F">
        <w:rPr>
          <w:rFonts w:ascii="Arial" w:hAnsi="Arial" w:cs="Arial"/>
        </w:rPr>
        <w:t xml:space="preserve">argue about my innovation for Seren </w:t>
      </w:r>
      <w:proofErr w:type="spellStart"/>
      <w:r w:rsidR="00A231AE" w:rsidRPr="0017269F">
        <w:rPr>
          <w:rFonts w:ascii="Arial" w:hAnsi="Arial" w:cs="Arial"/>
        </w:rPr>
        <w:t>Coffi</w:t>
      </w:r>
      <w:proofErr w:type="spellEnd"/>
      <w:r w:rsidR="00A231AE" w:rsidRPr="0017269F">
        <w:rPr>
          <w:rFonts w:ascii="Arial" w:hAnsi="Arial" w:cs="Arial"/>
        </w:rPr>
        <w:t>, but it didn't replace</w:t>
      </w:r>
      <w:r w:rsidRPr="0017269F">
        <w:rPr>
          <w:rFonts w:ascii="Arial" w:hAnsi="Arial" w:cs="Arial"/>
        </w:rPr>
        <w:t xml:space="preserve"> my thinking. </w:t>
      </w:r>
      <w:r w:rsidR="00670211" w:rsidRPr="0017269F">
        <w:rPr>
          <w:rFonts w:ascii="Arial" w:hAnsi="Arial" w:cs="Arial"/>
        </w:rPr>
        <w:t xml:space="preserve">Its main value was that it sharpened the language, exposed weak </w:t>
      </w:r>
      <w:r w:rsidR="00A231AE" w:rsidRPr="0017269F">
        <w:rPr>
          <w:rFonts w:ascii="Arial" w:hAnsi="Arial" w:cs="Arial"/>
        </w:rPr>
        <w:t>points in the presentation</w:t>
      </w:r>
      <w:r w:rsidR="00670211" w:rsidRPr="0017269F">
        <w:rPr>
          <w:rFonts w:ascii="Arial" w:hAnsi="Arial" w:cs="Arial"/>
        </w:rPr>
        <w:t xml:space="preserve">, and helped me frame the recovery as a clearer operational </w:t>
      </w:r>
      <w:r w:rsidR="00670211" w:rsidRPr="0017269F">
        <w:rPr>
          <w:rFonts w:ascii="Arial" w:hAnsi="Arial" w:cs="Arial"/>
        </w:rPr>
        <w:lastRenderedPageBreak/>
        <w:t>sequence. It also confirmed that the case was fundamentally about fragility rather than demand. At the same time, the exercise showed clear limits,</w:t>
      </w:r>
    </w:p>
    <w:p w14:paraId="1D3AFA6D" w14:textId="76099376" w:rsidR="00670211" w:rsidRPr="0017269F" w:rsidRDefault="00670211" w:rsidP="0017269F">
      <w:pPr>
        <w:spacing w:line="360" w:lineRule="auto"/>
        <w:jc w:val="both"/>
        <w:rPr>
          <w:rFonts w:ascii="Arial" w:hAnsi="Arial" w:cs="Arial"/>
        </w:rPr>
      </w:pPr>
      <w:r w:rsidRPr="0017269F">
        <w:rPr>
          <w:rFonts w:ascii="Arial" w:hAnsi="Arial" w:cs="Arial"/>
        </w:rPr>
        <w:t>The model initially misunderstood the connected nature of my solution, used clumsy wording around the founders, and risked pushing the answer into a more generic form. I therefore conclude that AI worked best as a tool for challenge and refinement, not as a source of final judgment. The final innovation remained a values-led operational recovery shaped by human readings of the case, with AI used to test, pressure, and improve it.</w:t>
      </w:r>
    </w:p>
    <w:p w14:paraId="3E58BE0F" w14:textId="258E5A63" w:rsidR="00AA3777" w:rsidRPr="003C460D" w:rsidRDefault="00A231AE" w:rsidP="003C460D">
      <w:pPr>
        <w:spacing w:line="360" w:lineRule="auto"/>
        <w:jc w:val="both"/>
        <w:rPr>
          <w:rFonts w:ascii="Arial" w:hAnsi="Arial" w:cs="Arial"/>
        </w:rPr>
      </w:pPr>
      <w:r w:rsidRPr="0017269F">
        <w:rPr>
          <w:rFonts w:ascii="Arial" w:hAnsi="Arial" w:cs="Arial"/>
        </w:rPr>
        <w:t>AI should be used as a tool and not as a replacement for human thinking; it cannot be used to make critical decisions.</w:t>
      </w:r>
      <w:r w:rsidR="00C3490D" w:rsidRPr="0017269F">
        <w:rPr>
          <w:rFonts w:ascii="Arial" w:hAnsi="Arial" w:cs="Arial"/>
        </w:rPr>
        <w:t xml:space="preserve"> AI most often generates incorrect answers, with unverified sources. It must be remembered that AI does not have consciousness, therefore we cannot trust that the information it gives us is correct or wrong.</w:t>
      </w:r>
    </w:p>
    <w:p w14:paraId="3FE293F6" w14:textId="1346ED33" w:rsidR="0072135B" w:rsidRDefault="00951E82" w:rsidP="0017269F">
      <w:pPr>
        <w:spacing w:line="360" w:lineRule="auto"/>
        <w:jc w:val="both"/>
        <w:rPr>
          <w:rFonts w:ascii="Arial" w:hAnsi="Arial" w:cs="Arial"/>
        </w:rPr>
      </w:pPr>
      <w:r w:rsidRPr="00951E82">
        <w:rPr>
          <w:rFonts w:ascii="Arial" w:hAnsi="Arial" w:cs="Arial"/>
        </w:rPr>
        <w:t>In conclusion, AI cannot be employed in academic tasks beyond study, and even in that context, it requires assessment and verification due to numerous unfounded assumptions and untested assertions. But in study and when you question people's choices and feelings, it can be quite beneficial to make you think differently.</w:t>
      </w:r>
    </w:p>
    <w:p w14:paraId="401A4C94" w14:textId="77777777" w:rsidR="0072135B" w:rsidRPr="0017269F" w:rsidRDefault="0072135B" w:rsidP="0017269F">
      <w:pPr>
        <w:spacing w:line="360" w:lineRule="auto"/>
        <w:jc w:val="both"/>
        <w:rPr>
          <w:rFonts w:ascii="Arial" w:hAnsi="Arial" w:cs="Arial"/>
        </w:rPr>
      </w:pPr>
    </w:p>
    <w:p w14:paraId="175C149E" w14:textId="77777777" w:rsidR="003C460D" w:rsidRDefault="003C460D" w:rsidP="0017269F">
      <w:pPr>
        <w:pStyle w:val="Heading1"/>
      </w:pPr>
    </w:p>
    <w:p w14:paraId="1F442E0E" w14:textId="77777777" w:rsidR="003C460D" w:rsidRDefault="003C460D" w:rsidP="0017269F">
      <w:pPr>
        <w:pStyle w:val="Heading1"/>
      </w:pPr>
    </w:p>
    <w:p w14:paraId="55E9C440" w14:textId="77777777" w:rsidR="003C460D" w:rsidRDefault="003C460D" w:rsidP="0017269F">
      <w:pPr>
        <w:pStyle w:val="Heading1"/>
      </w:pPr>
    </w:p>
    <w:p w14:paraId="104CF1B9" w14:textId="77777777" w:rsidR="003C460D" w:rsidRDefault="003C460D" w:rsidP="0017269F">
      <w:pPr>
        <w:pStyle w:val="Heading1"/>
      </w:pPr>
    </w:p>
    <w:p w14:paraId="32958994" w14:textId="77777777" w:rsidR="003C460D" w:rsidRDefault="003C460D" w:rsidP="0017269F">
      <w:pPr>
        <w:pStyle w:val="Heading1"/>
      </w:pPr>
    </w:p>
    <w:p w14:paraId="5472EED6" w14:textId="77777777" w:rsidR="003C460D" w:rsidRPr="003C460D" w:rsidRDefault="003C460D" w:rsidP="003C460D"/>
    <w:p w14:paraId="1DA77A58" w14:textId="2DCBC5F0" w:rsidR="009A730B" w:rsidRDefault="009A730B" w:rsidP="0017269F">
      <w:pPr>
        <w:pStyle w:val="Heading1"/>
      </w:pPr>
      <w:bookmarkStart w:id="8" w:name="_Toc225779558"/>
      <w:r>
        <w:lastRenderedPageBreak/>
        <w:t>References</w:t>
      </w:r>
      <w:bookmarkEnd w:id="8"/>
      <w:r>
        <w:t xml:space="preserve"> </w:t>
      </w:r>
    </w:p>
    <w:p w14:paraId="03F4080D" w14:textId="77777777" w:rsidR="009A730B" w:rsidRDefault="009A730B" w:rsidP="00566110"/>
    <w:p w14:paraId="74730D28" w14:textId="26FAFF0C" w:rsidR="009A730B" w:rsidRPr="005F66CE" w:rsidRDefault="009A730B" w:rsidP="009A730B">
      <w:pPr>
        <w:spacing w:after="80" w:line="264" w:lineRule="auto"/>
        <w:ind w:left="432" w:hanging="432"/>
      </w:pPr>
      <w:r w:rsidRPr="005F66CE">
        <w:rPr>
          <w:rFonts w:ascii="Arial" w:hAnsi="Arial"/>
        </w:rPr>
        <w:t xml:space="preserve">Ahmad, S.Z. (2015) ‘Entrepreneurship in the small and medium-sized hotel sector’, Current Issues in Tourism, 18(4), pp. 328-349. Available at: </w:t>
      </w:r>
      <w:hyperlink r:id="rId8" w:history="1">
        <w:r w:rsidRPr="005F66CE">
          <w:rPr>
            <w:rStyle w:val="Hyperlink"/>
            <w:color w:val="0563C1"/>
          </w:rPr>
          <w:t>https://doi.org/10.1080/13683500.2014.934211</w:t>
        </w:r>
      </w:hyperlink>
      <w:r w:rsidR="00AE6F78" w:rsidRPr="005F66CE">
        <w:t xml:space="preserve"> (Accessed: 16 March 2026).</w:t>
      </w:r>
    </w:p>
    <w:p w14:paraId="309E0F50" w14:textId="77777777" w:rsidR="00AE6F78" w:rsidRPr="005F66CE" w:rsidRDefault="00AE6F78" w:rsidP="009A730B">
      <w:pPr>
        <w:spacing w:after="80" w:line="264" w:lineRule="auto"/>
        <w:ind w:left="432" w:hanging="432"/>
      </w:pPr>
    </w:p>
    <w:p w14:paraId="7CCC9DF4" w14:textId="77777777" w:rsidR="009A730B" w:rsidRPr="005F66CE" w:rsidRDefault="009A730B" w:rsidP="009A730B">
      <w:pPr>
        <w:spacing w:after="80" w:line="264" w:lineRule="auto"/>
        <w:ind w:left="432" w:hanging="432"/>
      </w:pPr>
      <w:r w:rsidRPr="005F66CE">
        <w:rPr>
          <w:rFonts w:ascii="Arial" w:hAnsi="Arial"/>
        </w:rPr>
        <w:t xml:space="preserve">Amabile, T.M. (1988) ‘A model of creativity and innovation in organizations’, in </w:t>
      </w:r>
      <w:proofErr w:type="spellStart"/>
      <w:r w:rsidRPr="005F66CE">
        <w:rPr>
          <w:rFonts w:ascii="Arial" w:hAnsi="Arial"/>
        </w:rPr>
        <w:t>Staw</w:t>
      </w:r>
      <w:proofErr w:type="spellEnd"/>
      <w:r w:rsidRPr="005F66CE">
        <w:rPr>
          <w:rFonts w:ascii="Arial" w:hAnsi="Arial"/>
        </w:rPr>
        <w:t xml:space="preserve">, B.M. and Cummings, L.L. (eds.) Research in Organizational </w:t>
      </w:r>
      <w:proofErr w:type="spellStart"/>
      <w:r w:rsidRPr="005F66CE">
        <w:rPr>
          <w:rFonts w:ascii="Arial" w:hAnsi="Arial"/>
        </w:rPr>
        <w:t>Behavior</w:t>
      </w:r>
      <w:proofErr w:type="spellEnd"/>
      <w:r w:rsidRPr="005F66CE">
        <w:rPr>
          <w:rFonts w:ascii="Arial" w:hAnsi="Arial"/>
        </w:rPr>
        <w:t>. Vol. 10. Greenwich, CT: JAI Press, pp. 123-167.</w:t>
      </w:r>
    </w:p>
    <w:p w14:paraId="50D4A588" w14:textId="778E52CF" w:rsidR="009A730B" w:rsidRPr="005F66CE" w:rsidRDefault="009A730B" w:rsidP="009A730B">
      <w:pPr>
        <w:spacing w:after="80" w:line="264" w:lineRule="auto"/>
        <w:ind w:left="432" w:hanging="432"/>
        <w:rPr>
          <w:rFonts w:ascii="Arial" w:hAnsi="Arial"/>
        </w:rPr>
      </w:pPr>
      <w:r w:rsidRPr="005F66CE">
        <w:rPr>
          <w:rFonts w:ascii="Arial" w:hAnsi="Arial"/>
        </w:rPr>
        <w:t>Amabile, T.M. (1996)</w:t>
      </w:r>
      <w:r w:rsidR="00465C55" w:rsidRPr="005F66CE">
        <w:rPr>
          <w:rFonts w:ascii="Arial" w:hAnsi="Arial"/>
        </w:rPr>
        <w:t>.</w:t>
      </w:r>
      <w:r w:rsidRPr="005F66CE">
        <w:rPr>
          <w:rFonts w:ascii="Arial" w:hAnsi="Arial"/>
        </w:rPr>
        <w:t xml:space="preserve"> Creativity in Context. Boulder, CO: Westview Press.</w:t>
      </w:r>
    </w:p>
    <w:p w14:paraId="31DE8EA0" w14:textId="41C57039" w:rsidR="00465C55" w:rsidRPr="005F66CE" w:rsidRDefault="00465C55" w:rsidP="00465C55">
      <w:pPr>
        <w:spacing w:after="120"/>
        <w:ind w:left="360" w:hanging="360"/>
        <w:rPr>
          <w:rFonts w:eastAsia="MS Mincho"/>
          <w:kern w:val="0"/>
          <w:lang w:val="en-US"/>
          <w14:ligatures w14:val="none"/>
        </w:rPr>
      </w:pPr>
      <w:r w:rsidRPr="005F66CE">
        <w:rPr>
          <w:rFonts w:eastAsia="MS Mincho"/>
          <w:kern w:val="0"/>
          <w:lang w:val="en-US"/>
          <w14:ligatures w14:val="none"/>
        </w:rPr>
        <w:t xml:space="preserve">Amabile, T.M. and Pratt, M.G. (2016) ‘The dynamic componential model of creativity and innovation in organizations: Making progress, making meaning’, Research in Organizational Behavior, 36, pp. 157–183. Available at: </w:t>
      </w:r>
      <w:hyperlink r:id="rId9" w:history="1">
        <w:r w:rsidRPr="005F66CE">
          <w:rPr>
            <w:rStyle w:val="Hyperlink"/>
            <w:rFonts w:eastAsia="MS Mincho"/>
            <w:color w:val="0563C1"/>
            <w:kern w:val="0"/>
            <w:lang w:val="en-US"/>
            <w14:ligatures w14:val="none"/>
          </w:rPr>
          <w:t>https://doi.org/10.1016/j.riob.2016.10.001</w:t>
        </w:r>
      </w:hyperlink>
      <w:r w:rsidR="00AE6F78" w:rsidRPr="005F66CE">
        <w:t xml:space="preserve"> (Accessed: 18 March 2026).</w:t>
      </w:r>
    </w:p>
    <w:p w14:paraId="37C33C5E" w14:textId="77777777" w:rsidR="00465C55" w:rsidRPr="005F66CE" w:rsidRDefault="00465C55" w:rsidP="009A730B">
      <w:pPr>
        <w:spacing w:after="80" w:line="264" w:lineRule="auto"/>
        <w:ind w:left="432" w:hanging="432"/>
      </w:pPr>
    </w:p>
    <w:p w14:paraId="08DF310B" w14:textId="78B1C44D" w:rsidR="009A730B" w:rsidRPr="005F66CE" w:rsidRDefault="009A730B" w:rsidP="009A730B">
      <w:pPr>
        <w:spacing w:after="80" w:line="264" w:lineRule="auto"/>
        <w:ind w:left="432" w:hanging="432"/>
      </w:pPr>
      <w:r w:rsidRPr="005F66CE">
        <w:rPr>
          <w:rFonts w:ascii="Arial" w:hAnsi="Arial"/>
        </w:rPr>
        <w:t xml:space="preserve">Anderson, N., Potočnik, K. and Zhou, J. (2014) ‘Innovation and creativity in organizations: A state-of-the-science review, prospective commentary, and guiding framework’, Journal of Management, 40(5), pp. 1297-1333. Available at: </w:t>
      </w:r>
      <w:hyperlink r:id="rId10" w:history="1">
        <w:r w:rsidRPr="005F66CE">
          <w:rPr>
            <w:rStyle w:val="Hyperlink"/>
            <w:color w:val="0563C1"/>
          </w:rPr>
          <w:t>https://doi.org/10.1177/0149206314527128</w:t>
        </w:r>
      </w:hyperlink>
      <w:r w:rsidR="00AE6F78" w:rsidRPr="005F66CE">
        <w:t xml:space="preserve"> (Accessed: 22 March 2026).</w:t>
      </w:r>
    </w:p>
    <w:p w14:paraId="0619864E" w14:textId="546C2501" w:rsidR="00465C55" w:rsidRPr="005F66CE" w:rsidRDefault="00465C55" w:rsidP="00465C55">
      <w:pPr>
        <w:spacing w:after="120"/>
        <w:ind w:left="360" w:hanging="360"/>
      </w:pPr>
      <w:proofErr w:type="spellStart"/>
      <w:r w:rsidRPr="005F66CE">
        <w:rPr>
          <w:rFonts w:eastAsia="MS Mincho"/>
          <w:kern w:val="0"/>
          <w:lang w:val="en-US"/>
          <w14:ligatures w14:val="none"/>
        </w:rPr>
        <w:t>Arowosegbe</w:t>
      </w:r>
      <w:proofErr w:type="spellEnd"/>
      <w:r w:rsidRPr="005F66CE">
        <w:rPr>
          <w:rFonts w:eastAsia="MS Mincho"/>
          <w:kern w:val="0"/>
          <w:lang w:val="en-US"/>
          <w14:ligatures w14:val="none"/>
        </w:rPr>
        <w:t xml:space="preserve">, A., Alqahtani, J.S. and </w:t>
      </w:r>
      <w:proofErr w:type="spellStart"/>
      <w:r w:rsidRPr="005F66CE">
        <w:rPr>
          <w:rFonts w:eastAsia="MS Mincho"/>
          <w:kern w:val="0"/>
          <w:lang w:val="en-US"/>
          <w14:ligatures w14:val="none"/>
        </w:rPr>
        <w:t>Oyelade</w:t>
      </w:r>
      <w:proofErr w:type="spellEnd"/>
      <w:r w:rsidRPr="005F66CE">
        <w:rPr>
          <w:rFonts w:eastAsia="MS Mincho"/>
          <w:kern w:val="0"/>
          <w:lang w:val="en-US"/>
          <w14:ligatures w14:val="none"/>
        </w:rPr>
        <w:t xml:space="preserve">, T. (2024) ‘Perception of generative AI use in UK higher education’, Frontiers in Education, 9, 1463208. Available at: </w:t>
      </w:r>
      <w:hyperlink r:id="rId11" w:history="1">
        <w:r w:rsidRPr="005F66CE">
          <w:rPr>
            <w:rStyle w:val="Hyperlink"/>
            <w:rFonts w:eastAsia="MS Mincho"/>
            <w:color w:val="0563C1"/>
            <w:kern w:val="0"/>
            <w:lang w:val="en-US"/>
            <w14:ligatures w14:val="none"/>
          </w:rPr>
          <w:t>https://doi.org/10.3389/feduc.2024.1463208</w:t>
        </w:r>
      </w:hyperlink>
      <w:r w:rsidR="00AE6F78" w:rsidRPr="005F66CE">
        <w:t xml:space="preserve"> (Accessed: 19 March 2026).</w:t>
      </w:r>
    </w:p>
    <w:p w14:paraId="2633454F" w14:textId="604FB8EA" w:rsidR="00465C55" w:rsidRPr="005F66CE" w:rsidRDefault="00465C55" w:rsidP="00465C55">
      <w:pPr>
        <w:spacing w:after="120"/>
        <w:ind w:left="360" w:hanging="360"/>
        <w:rPr>
          <w:rFonts w:eastAsia="MS Mincho"/>
          <w:kern w:val="0"/>
          <w:lang w:val="en-US"/>
          <w14:ligatures w14:val="none"/>
        </w:rPr>
      </w:pPr>
      <w:r w:rsidRPr="005F66CE">
        <w:rPr>
          <w:rFonts w:eastAsia="MS Mincho"/>
          <w:kern w:val="0"/>
          <w:lang w:val="en-US"/>
          <w14:ligatures w14:val="none"/>
        </w:rPr>
        <w:t xml:space="preserve">Bender, E.M., Gebru, T., McMillan-Major, A. and </w:t>
      </w:r>
      <w:proofErr w:type="spellStart"/>
      <w:r w:rsidRPr="005F66CE">
        <w:rPr>
          <w:rFonts w:eastAsia="MS Mincho"/>
          <w:kern w:val="0"/>
          <w:lang w:val="en-US"/>
          <w14:ligatures w14:val="none"/>
        </w:rPr>
        <w:t>Shmitchell</w:t>
      </w:r>
      <w:proofErr w:type="spellEnd"/>
      <w:r w:rsidRPr="005F66CE">
        <w:rPr>
          <w:rFonts w:eastAsia="MS Mincho"/>
          <w:kern w:val="0"/>
          <w:lang w:val="en-US"/>
          <w14:ligatures w14:val="none"/>
        </w:rPr>
        <w:t xml:space="preserve">, S. (2021) ‘On the dangers of stochastic parrots: Can language models be too big?’, in Proceedings of the 2021 ACM Conference on Fairness, Accountability, and Transparency. New York: ACM, pp. 610–623. Available at: </w:t>
      </w:r>
      <w:hyperlink r:id="rId12" w:history="1">
        <w:r w:rsidRPr="005F66CE">
          <w:rPr>
            <w:rStyle w:val="Hyperlink"/>
            <w:rFonts w:eastAsia="MS Mincho"/>
            <w:color w:val="0563C1"/>
            <w:kern w:val="0"/>
            <w:lang w:val="en-US"/>
            <w14:ligatures w14:val="none"/>
          </w:rPr>
          <w:t>https://doi.org/10.1145/3442188.3445922</w:t>
        </w:r>
      </w:hyperlink>
      <w:r w:rsidR="00AE6F78" w:rsidRPr="005F66CE">
        <w:t xml:space="preserve"> (Accessed: 22 March 2026).</w:t>
      </w:r>
    </w:p>
    <w:p w14:paraId="270B1930" w14:textId="77777777" w:rsidR="00465C55" w:rsidRPr="005F66CE" w:rsidRDefault="00465C55" w:rsidP="00465C55">
      <w:pPr>
        <w:spacing w:after="120"/>
        <w:ind w:left="360" w:hanging="360"/>
        <w:rPr>
          <w:rFonts w:eastAsia="MS Mincho"/>
          <w:kern w:val="0"/>
          <w:lang w:val="en-US"/>
          <w14:ligatures w14:val="none"/>
        </w:rPr>
      </w:pPr>
    </w:p>
    <w:p w14:paraId="0B741981" w14:textId="77777777" w:rsidR="00465C55" w:rsidRPr="005F66CE" w:rsidRDefault="00465C55" w:rsidP="009A730B">
      <w:pPr>
        <w:spacing w:after="80" w:line="264" w:lineRule="auto"/>
        <w:ind w:left="432" w:hanging="432"/>
      </w:pPr>
    </w:p>
    <w:p w14:paraId="75693647" w14:textId="77777777" w:rsidR="009A730B" w:rsidRPr="005F66CE" w:rsidRDefault="009A730B" w:rsidP="009A730B">
      <w:pPr>
        <w:spacing w:after="80" w:line="264" w:lineRule="auto"/>
        <w:ind w:left="432" w:hanging="432"/>
      </w:pPr>
      <w:r w:rsidRPr="005F66CE">
        <w:rPr>
          <w:rFonts w:ascii="Arial" w:hAnsi="Arial"/>
        </w:rPr>
        <w:t xml:space="preserve">Capital Coffee (n.d.) Free Loan Coffee Machines. Available at: </w:t>
      </w:r>
      <w:hyperlink r:id="rId13" w:history="1">
        <w:r w:rsidRPr="005F66CE">
          <w:rPr>
            <w:rStyle w:val="Hyperlink"/>
            <w:color w:val="0563C1"/>
          </w:rPr>
          <w:t>https://capitalcoffee.co.uk/pages/free-loan-coffee-machines</w:t>
        </w:r>
      </w:hyperlink>
      <w:r w:rsidRPr="005F66CE">
        <w:rPr>
          <w:rFonts w:ascii="Arial" w:hAnsi="Arial"/>
        </w:rPr>
        <w:t xml:space="preserve"> (Accessed: 25 March 2026).</w:t>
      </w:r>
    </w:p>
    <w:p w14:paraId="60544657" w14:textId="5C74F7E1" w:rsidR="009A730B" w:rsidRPr="005F66CE" w:rsidRDefault="009A730B" w:rsidP="009A730B">
      <w:pPr>
        <w:spacing w:after="80" w:line="264" w:lineRule="auto"/>
        <w:ind w:left="432" w:hanging="432"/>
      </w:pPr>
      <w:r w:rsidRPr="005F66CE">
        <w:rPr>
          <w:rFonts w:ascii="Arial" w:hAnsi="Arial"/>
        </w:rPr>
        <w:t>Carbon Trust (2019)</w:t>
      </w:r>
      <w:r w:rsidR="0015150F" w:rsidRPr="005F66CE">
        <w:rPr>
          <w:rFonts w:ascii="Arial" w:hAnsi="Arial"/>
        </w:rPr>
        <w:t>.</w:t>
      </w:r>
      <w:r w:rsidRPr="005F66CE">
        <w:rPr>
          <w:rFonts w:ascii="Arial" w:hAnsi="Arial"/>
        </w:rPr>
        <w:t xml:space="preserve"> Implementing energy efficiency for a start-up. Available at: </w:t>
      </w:r>
      <w:hyperlink r:id="rId14" w:history="1">
        <w:r w:rsidRPr="005F66CE">
          <w:rPr>
            <w:rStyle w:val="Hyperlink"/>
            <w:color w:val="0563C1"/>
          </w:rPr>
          <w:t>https://www.carbontrust.com/our-work-and-impact/guides-reports-and-tools/implementing-energy-efficiency-for-a-start-up</w:t>
        </w:r>
      </w:hyperlink>
      <w:r w:rsidRPr="005F66CE">
        <w:rPr>
          <w:rFonts w:ascii="Arial" w:hAnsi="Arial"/>
        </w:rPr>
        <w:t xml:space="preserve"> (Accessed: 25 March 2026).</w:t>
      </w:r>
    </w:p>
    <w:p w14:paraId="1C1B5DE3" w14:textId="77777777" w:rsidR="009A730B" w:rsidRPr="005F66CE" w:rsidRDefault="009A730B" w:rsidP="009A730B">
      <w:pPr>
        <w:spacing w:after="80" w:line="264" w:lineRule="auto"/>
        <w:ind w:left="432" w:hanging="432"/>
        <w:rPr>
          <w:rFonts w:ascii="Arial" w:hAnsi="Arial"/>
        </w:rPr>
      </w:pPr>
      <w:r w:rsidRPr="005F66CE">
        <w:rPr>
          <w:rFonts w:ascii="Arial" w:hAnsi="Arial"/>
        </w:rPr>
        <w:t>Chesbrough, H., Vanhaverbeke, W. and West, J. (eds.) (2014) New Frontiers in Open Innovation. Oxford: Oxford University Press.</w:t>
      </w:r>
    </w:p>
    <w:p w14:paraId="73BDA5D8" w14:textId="34096777" w:rsidR="00465C55" w:rsidRPr="005F66CE" w:rsidRDefault="00465C55" w:rsidP="00465C55">
      <w:pPr>
        <w:spacing w:after="120"/>
        <w:ind w:left="360" w:hanging="360"/>
        <w:rPr>
          <w:rFonts w:eastAsia="MS Mincho"/>
          <w:kern w:val="0"/>
          <w:lang w:val="en-US"/>
          <w14:ligatures w14:val="none"/>
        </w:rPr>
      </w:pPr>
      <w:r w:rsidRPr="005F66CE">
        <w:rPr>
          <w:rFonts w:eastAsia="MS Mincho"/>
          <w:kern w:val="0"/>
          <w:lang w:val="en-US"/>
          <w14:ligatures w14:val="none"/>
        </w:rPr>
        <w:lastRenderedPageBreak/>
        <w:t xml:space="preserve">Chelli, M., Descamps, J., Hockensmith, J., Biera, M., and Bianchini, C. (2024). Hallucination rates and reference accuracy of ChatGPT and Bard for systematic reviews: Comparative analysis, Journal of Medical Internet Research, 26, e53164. Available at: </w:t>
      </w:r>
      <w:hyperlink r:id="rId15" w:history="1">
        <w:r w:rsidRPr="005F66CE">
          <w:rPr>
            <w:rStyle w:val="Hyperlink"/>
            <w:rFonts w:eastAsia="MS Mincho"/>
            <w:color w:val="0563C1"/>
            <w:kern w:val="0"/>
            <w:lang w:val="en-US"/>
            <w14:ligatures w14:val="none"/>
          </w:rPr>
          <w:t>https://doi.org/10.2196/53164</w:t>
        </w:r>
      </w:hyperlink>
      <w:r w:rsidR="00AE6F78" w:rsidRPr="005F66CE">
        <w:t xml:space="preserve"> (Accessed: 18 March 2026).</w:t>
      </w:r>
    </w:p>
    <w:p w14:paraId="4EFBEA15" w14:textId="77777777" w:rsidR="00465C55" w:rsidRPr="005F66CE" w:rsidRDefault="00465C55" w:rsidP="009A730B">
      <w:pPr>
        <w:spacing w:after="80" w:line="264" w:lineRule="auto"/>
        <w:ind w:left="432" w:hanging="432"/>
      </w:pPr>
    </w:p>
    <w:p w14:paraId="60ED7E9E" w14:textId="4615E7D3" w:rsidR="009A730B" w:rsidRPr="005F66CE" w:rsidRDefault="009A730B" w:rsidP="009A730B">
      <w:pPr>
        <w:spacing w:after="80" w:line="264" w:lineRule="auto"/>
        <w:ind w:left="432" w:hanging="432"/>
      </w:pPr>
      <w:r w:rsidRPr="005F66CE">
        <w:rPr>
          <w:rFonts w:ascii="Arial" w:hAnsi="Arial"/>
        </w:rPr>
        <w:t xml:space="preserve">Den Hertog, P., </w:t>
      </w:r>
      <w:proofErr w:type="spellStart"/>
      <w:r w:rsidRPr="005F66CE">
        <w:rPr>
          <w:rFonts w:ascii="Arial" w:hAnsi="Arial"/>
        </w:rPr>
        <w:t>Gallouj</w:t>
      </w:r>
      <w:proofErr w:type="spellEnd"/>
      <w:r w:rsidRPr="005F66CE">
        <w:rPr>
          <w:rFonts w:ascii="Arial" w:hAnsi="Arial"/>
        </w:rPr>
        <w:t xml:space="preserve">, F. and Segers, J. (2011) ‘Measuring innovation in a “low-tech” service industry: the case of the Dutch hospitality industry’, The Service Industries Journal, 31(9), pp. 1429-1449. Available at: </w:t>
      </w:r>
      <w:hyperlink r:id="rId16" w:history="1">
        <w:r w:rsidRPr="005F66CE">
          <w:rPr>
            <w:rStyle w:val="Hyperlink"/>
            <w:color w:val="0563C1"/>
          </w:rPr>
          <w:t>https://doi.org/10.1080/02642060903576084</w:t>
        </w:r>
      </w:hyperlink>
      <w:r w:rsidR="00AE6F78" w:rsidRPr="005F66CE">
        <w:t xml:space="preserve"> (Accessed: 24 March 2026).</w:t>
      </w:r>
    </w:p>
    <w:p w14:paraId="121F533C" w14:textId="3EB26890" w:rsidR="009A730B" w:rsidRPr="005F66CE" w:rsidRDefault="009A730B" w:rsidP="009A730B">
      <w:pPr>
        <w:spacing w:after="80" w:line="264" w:lineRule="auto"/>
        <w:ind w:left="432" w:hanging="432"/>
      </w:pPr>
      <w:proofErr w:type="spellStart"/>
      <w:r w:rsidRPr="005F66CE">
        <w:rPr>
          <w:rFonts w:ascii="Arial" w:hAnsi="Arial"/>
        </w:rPr>
        <w:t>Dobni</w:t>
      </w:r>
      <w:proofErr w:type="spellEnd"/>
      <w:r w:rsidRPr="005F66CE">
        <w:rPr>
          <w:rFonts w:ascii="Arial" w:hAnsi="Arial"/>
        </w:rPr>
        <w:t xml:space="preserve">, C.B. (2008) ‘Measuring innovation culture in organizations’, European Journal of Innovation Management, 11(4), pp. 539-559. Available at: </w:t>
      </w:r>
      <w:hyperlink r:id="rId17" w:history="1">
        <w:r w:rsidRPr="005F66CE">
          <w:rPr>
            <w:rStyle w:val="Hyperlink"/>
            <w:color w:val="0563C1"/>
          </w:rPr>
          <w:t>https://doi.org/10.1108/14601060810911156</w:t>
        </w:r>
      </w:hyperlink>
      <w:r w:rsidR="00AE6F78" w:rsidRPr="005F66CE">
        <w:t xml:space="preserve"> (Accessed:20 March 2026).</w:t>
      </w:r>
    </w:p>
    <w:p w14:paraId="7E0434E1" w14:textId="0CEF6A3A" w:rsidR="00465C55" w:rsidRPr="005F66CE" w:rsidRDefault="00465C55" w:rsidP="00465C55">
      <w:pPr>
        <w:spacing w:after="120"/>
        <w:rPr>
          <w:rFonts w:eastAsia="MS Mincho"/>
          <w:kern w:val="0"/>
          <w:lang w:val="en-US"/>
          <w14:ligatures w14:val="none"/>
        </w:rPr>
      </w:pPr>
      <w:r w:rsidRPr="005F66CE">
        <w:rPr>
          <w:rFonts w:eastAsia="MS Mincho"/>
          <w:kern w:val="0"/>
          <w:lang w:val="en-US"/>
          <w14:ligatures w14:val="none"/>
        </w:rPr>
        <w:t xml:space="preserve">Doshi, A.R. and Hauser, O.P. (2024) ‘Generative AI enhances individual creativity but reduces the collective diversity of novel content’, Science Advances, 10(28), eadn5290. Available at: </w:t>
      </w:r>
      <w:hyperlink r:id="rId18" w:history="1">
        <w:r w:rsidRPr="005F66CE">
          <w:rPr>
            <w:rStyle w:val="Hyperlink"/>
            <w:rFonts w:eastAsia="MS Mincho"/>
            <w:color w:val="0563C1"/>
            <w:kern w:val="0"/>
            <w:lang w:val="en-US"/>
            <w14:ligatures w14:val="none"/>
          </w:rPr>
          <w:t>https://doi.org/10.1126/sciadv.adn5290</w:t>
        </w:r>
      </w:hyperlink>
      <w:r w:rsidR="00AE6F78" w:rsidRPr="005F66CE">
        <w:t xml:space="preserve"> (Accessed:26 March 2026).</w:t>
      </w:r>
    </w:p>
    <w:p w14:paraId="06D9BD5F" w14:textId="77777777" w:rsidR="00465C55" w:rsidRPr="005F66CE" w:rsidRDefault="00465C55" w:rsidP="009A730B">
      <w:pPr>
        <w:spacing w:after="80" w:line="264" w:lineRule="auto"/>
        <w:ind w:left="432" w:hanging="432"/>
      </w:pPr>
    </w:p>
    <w:p w14:paraId="56C8E47C" w14:textId="38CB56BF" w:rsidR="009A730B" w:rsidRPr="005F66CE" w:rsidRDefault="009A730B" w:rsidP="009A730B">
      <w:pPr>
        <w:spacing w:after="80" w:line="264" w:lineRule="auto"/>
        <w:ind w:left="432" w:hanging="432"/>
      </w:pPr>
      <w:r w:rsidRPr="005F66CE">
        <w:rPr>
          <w:rFonts w:ascii="Arial" w:hAnsi="Arial"/>
        </w:rPr>
        <w:t xml:space="preserve">Dowell, D., Bowen, R. and Morris, W. (2023) ‘Hospitality SME innovation: responses to multifaceted crises’, British Food Journal, 125(11), pp. 4034-4047. Available at: </w:t>
      </w:r>
      <w:hyperlink r:id="rId19" w:history="1">
        <w:r w:rsidRPr="005F66CE">
          <w:rPr>
            <w:rStyle w:val="Hyperlink"/>
            <w:color w:val="0563C1"/>
          </w:rPr>
          <w:t>https://doi.org/10.1108/BFJ-11-2022-0982</w:t>
        </w:r>
      </w:hyperlink>
      <w:r w:rsidR="00AE6F78" w:rsidRPr="005F66CE">
        <w:t xml:space="preserve"> Accessed:16 March 2026). </w:t>
      </w:r>
    </w:p>
    <w:p w14:paraId="4C6C0436" w14:textId="3CEF3560" w:rsidR="00465C55" w:rsidRPr="005F66CE" w:rsidRDefault="00465C55" w:rsidP="00465C55">
      <w:pPr>
        <w:spacing w:after="120"/>
        <w:rPr>
          <w:rFonts w:eastAsia="MS Mincho"/>
          <w:kern w:val="0"/>
          <w:lang w:val="en-US"/>
          <w14:ligatures w14:val="none"/>
        </w:rPr>
      </w:pPr>
      <w:r w:rsidRPr="005F66CE">
        <w:rPr>
          <w:rFonts w:eastAsia="MS Mincho"/>
          <w:kern w:val="0"/>
          <w:lang w:val="en-US"/>
          <w14:ligatures w14:val="none"/>
        </w:rPr>
        <w:t>Dwivedi, Y.K. et al. (2023) ‘“</w:t>
      </w:r>
      <w:r w:rsidR="0015150F" w:rsidRPr="005F66CE">
        <w:rPr>
          <w:rFonts w:eastAsia="MS Mincho"/>
          <w:kern w:val="0"/>
          <w:lang w:val="en-US"/>
          <w14:ligatures w14:val="none"/>
        </w:rPr>
        <w:t>So,</w:t>
      </w:r>
      <w:r w:rsidRPr="005F66CE">
        <w:rPr>
          <w:rFonts w:eastAsia="MS Mincho"/>
          <w:kern w:val="0"/>
          <w:lang w:val="en-US"/>
          <w14:ligatures w14:val="none"/>
        </w:rPr>
        <w:t xml:space="preserve"> what if ChatGPT wrote it?” Multidisciplinary perspectives on opportunities, challenges and implications of generative conversational AI for research, practice and policy’, International Journal of Information Management, 71, 102642. Available at: </w:t>
      </w:r>
      <w:hyperlink r:id="rId20" w:history="1">
        <w:r w:rsidRPr="005F66CE">
          <w:rPr>
            <w:rStyle w:val="Hyperlink"/>
            <w:rFonts w:eastAsia="MS Mincho"/>
            <w:color w:val="0563C1"/>
            <w:kern w:val="0"/>
            <w:lang w:val="en-US"/>
            <w14:ligatures w14:val="none"/>
          </w:rPr>
          <w:t>https://doi.org/10.1016/j.ijinfomgt.2023.102642</w:t>
        </w:r>
      </w:hyperlink>
      <w:r w:rsidR="00AE6F78" w:rsidRPr="005F66CE">
        <w:t xml:space="preserve"> (Accessed 19 March 2026).</w:t>
      </w:r>
    </w:p>
    <w:p w14:paraId="5FB06FFA" w14:textId="77777777" w:rsidR="00465C55" w:rsidRPr="005F66CE" w:rsidRDefault="00465C55" w:rsidP="009A730B">
      <w:pPr>
        <w:spacing w:after="80" w:line="264" w:lineRule="auto"/>
        <w:ind w:left="432" w:hanging="432"/>
      </w:pPr>
    </w:p>
    <w:p w14:paraId="73F25205" w14:textId="73A18366" w:rsidR="009A730B" w:rsidRPr="005F66CE" w:rsidRDefault="009A730B" w:rsidP="009A730B">
      <w:pPr>
        <w:spacing w:after="80" w:line="264" w:lineRule="auto"/>
        <w:ind w:left="432" w:hanging="432"/>
      </w:pPr>
      <w:r w:rsidRPr="005F66CE">
        <w:rPr>
          <w:rFonts w:ascii="Arial" w:hAnsi="Arial"/>
        </w:rPr>
        <w:t xml:space="preserve">Foss, N.J. and </w:t>
      </w:r>
      <w:proofErr w:type="spellStart"/>
      <w:r w:rsidRPr="005F66CE">
        <w:rPr>
          <w:rFonts w:ascii="Arial" w:hAnsi="Arial"/>
        </w:rPr>
        <w:t>Saebi</w:t>
      </w:r>
      <w:proofErr w:type="spellEnd"/>
      <w:r w:rsidRPr="005F66CE">
        <w:rPr>
          <w:rFonts w:ascii="Arial" w:hAnsi="Arial"/>
        </w:rPr>
        <w:t xml:space="preserve">, T. (2017) ‘Fifteen years of research on business model innovation: How far have we come, and where should we go?’, Journal of Management, 43(1), pp. 200-227. Available at: </w:t>
      </w:r>
      <w:hyperlink r:id="rId21" w:history="1">
        <w:r w:rsidRPr="005F66CE">
          <w:rPr>
            <w:rStyle w:val="Hyperlink"/>
            <w:color w:val="0563C1"/>
          </w:rPr>
          <w:t>https://doi.org/10.1177/0149206316675927</w:t>
        </w:r>
      </w:hyperlink>
      <w:r w:rsidR="00AE6F78" w:rsidRPr="005F66CE">
        <w:t xml:space="preserve"> (Accessed: 19 March 2026).</w:t>
      </w:r>
    </w:p>
    <w:p w14:paraId="32417604" w14:textId="77777777" w:rsidR="009A730B" w:rsidRPr="005F66CE" w:rsidRDefault="009A730B" w:rsidP="009A730B">
      <w:pPr>
        <w:spacing w:after="80" w:line="264" w:lineRule="auto"/>
        <w:ind w:left="432" w:hanging="432"/>
      </w:pPr>
      <w:r w:rsidRPr="005F66CE">
        <w:rPr>
          <w:rFonts w:ascii="Arial" w:hAnsi="Arial"/>
        </w:rPr>
        <w:t xml:space="preserve">GOV.UK (n.d.) Premises licence (England and Wales). Available at: </w:t>
      </w:r>
      <w:hyperlink r:id="rId22" w:history="1">
        <w:r w:rsidRPr="005F66CE">
          <w:rPr>
            <w:rStyle w:val="Hyperlink"/>
            <w:color w:val="0563C1"/>
          </w:rPr>
          <w:t>https://www.gov.uk/find-licences/premises-licence</w:t>
        </w:r>
      </w:hyperlink>
      <w:r w:rsidRPr="005F66CE">
        <w:rPr>
          <w:rFonts w:ascii="Arial" w:hAnsi="Arial"/>
        </w:rPr>
        <w:t xml:space="preserve"> (Accessed: 25 March 2026).</w:t>
      </w:r>
    </w:p>
    <w:p w14:paraId="14593605" w14:textId="5D794844" w:rsidR="009A730B" w:rsidRPr="005F66CE" w:rsidRDefault="009A730B" w:rsidP="009A730B">
      <w:pPr>
        <w:spacing w:after="80" w:line="264" w:lineRule="auto"/>
        <w:ind w:left="432" w:hanging="432"/>
      </w:pPr>
      <w:r w:rsidRPr="005F66CE">
        <w:rPr>
          <w:rFonts w:ascii="Arial" w:hAnsi="Arial"/>
        </w:rPr>
        <w:t xml:space="preserve">Hoang, G., Wilson-Evered, E. and </w:t>
      </w:r>
      <w:proofErr w:type="spellStart"/>
      <w:r w:rsidRPr="005F66CE">
        <w:rPr>
          <w:rFonts w:ascii="Arial" w:hAnsi="Arial"/>
        </w:rPr>
        <w:t>Lockstone</w:t>
      </w:r>
      <w:proofErr w:type="spellEnd"/>
      <w:r w:rsidRPr="005F66CE">
        <w:rPr>
          <w:rFonts w:ascii="Arial" w:hAnsi="Arial"/>
        </w:rPr>
        <w:t xml:space="preserve">-Binney, L. (2019) ‘Leading innovation among tourism small and medium enterprises: examining the mediating role of climate for innovation’, Leadership &amp; Organization Development Journal, 40(5), pp. 647-666. Available at: </w:t>
      </w:r>
      <w:hyperlink r:id="rId23" w:history="1">
        <w:r w:rsidRPr="005F66CE">
          <w:rPr>
            <w:rStyle w:val="Hyperlink"/>
            <w:color w:val="0563C1"/>
          </w:rPr>
          <w:t>https://doi.org/10.1108/LODJ-08-2018-0287</w:t>
        </w:r>
      </w:hyperlink>
      <w:r w:rsidR="00AE6F78" w:rsidRPr="005F66CE">
        <w:t xml:space="preserve"> (Accessed:22 March 2026).</w:t>
      </w:r>
    </w:p>
    <w:p w14:paraId="3D7A2AFE" w14:textId="66F22A1E" w:rsidR="009A730B" w:rsidRPr="005F66CE" w:rsidRDefault="009A730B" w:rsidP="009A730B">
      <w:pPr>
        <w:spacing w:after="80" w:line="264" w:lineRule="auto"/>
        <w:ind w:left="432" w:hanging="432"/>
      </w:pPr>
      <w:r w:rsidRPr="005F66CE">
        <w:rPr>
          <w:rFonts w:ascii="Arial" w:hAnsi="Arial"/>
        </w:rPr>
        <w:t xml:space="preserve">Isaksen, S.G. (2007) ‘The climate for transformation: Lessons for leaders’, Creativity and Innovation Management, 16(1), pp. 3-15. Available at: </w:t>
      </w:r>
      <w:hyperlink r:id="rId24" w:history="1">
        <w:r w:rsidRPr="005F66CE">
          <w:rPr>
            <w:rStyle w:val="Hyperlink"/>
            <w:color w:val="0563C1"/>
          </w:rPr>
          <w:t>https://doi.org/10.1111/j.1467-8691.2007.00415.x</w:t>
        </w:r>
      </w:hyperlink>
      <w:r w:rsidR="00AE6F78" w:rsidRPr="005F66CE">
        <w:t xml:space="preserve"> (Accessed 23 March 2026).</w:t>
      </w:r>
    </w:p>
    <w:p w14:paraId="03DC201F" w14:textId="18763BCC" w:rsidR="00465C55" w:rsidRPr="005F66CE" w:rsidRDefault="00465C55" w:rsidP="00465C55">
      <w:pPr>
        <w:spacing w:after="120"/>
      </w:pPr>
      <w:r w:rsidRPr="005F66CE">
        <w:rPr>
          <w:rFonts w:eastAsia="MS Mincho"/>
          <w:kern w:val="0"/>
          <w:lang w:val="en-US"/>
          <w14:ligatures w14:val="none"/>
        </w:rPr>
        <w:lastRenderedPageBreak/>
        <w:t>Karimi, P., Rezwana, J., Siddiqui, S., Maher, M.L.</w:t>
      </w:r>
      <w:r w:rsidR="0015150F" w:rsidRPr="005F66CE">
        <w:rPr>
          <w:rFonts w:eastAsia="MS Mincho"/>
          <w:kern w:val="0"/>
          <w:lang w:val="en-US"/>
          <w14:ligatures w14:val="none"/>
        </w:rPr>
        <w:t>,</w:t>
      </w:r>
      <w:r w:rsidRPr="005F66CE">
        <w:rPr>
          <w:rFonts w:eastAsia="MS Mincho"/>
          <w:kern w:val="0"/>
          <w:lang w:val="en-US"/>
          <w14:ligatures w14:val="none"/>
        </w:rPr>
        <w:t xml:space="preserve"> and </w:t>
      </w:r>
      <w:proofErr w:type="spellStart"/>
      <w:r w:rsidRPr="005F66CE">
        <w:rPr>
          <w:rFonts w:eastAsia="MS Mincho"/>
          <w:kern w:val="0"/>
          <w:lang w:val="en-US"/>
          <w14:ligatures w14:val="none"/>
        </w:rPr>
        <w:t>Dehbozorgi</w:t>
      </w:r>
      <w:proofErr w:type="spellEnd"/>
      <w:r w:rsidRPr="005F66CE">
        <w:rPr>
          <w:rFonts w:eastAsia="MS Mincho"/>
          <w:kern w:val="0"/>
          <w:lang w:val="en-US"/>
          <w14:ligatures w14:val="none"/>
        </w:rPr>
        <w:t xml:space="preserve">, N. (2020) ‘Creative sketching partner: An analysis of human-AI co-creativity’, in Proceedings of the 25th International Conference on Intelligent User Interfaces. New York: ACM, pp. 221–230. Available at: </w:t>
      </w:r>
      <w:hyperlink r:id="rId25" w:history="1">
        <w:r w:rsidRPr="005F66CE">
          <w:rPr>
            <w:rStyle w:val="Hyperlink"/>
            <w:rFonts w:eastAsia="MS Mincho"/>
            <w:color w:val="0563C1"/>
            <w:kern w:val="0"/>
            <w:lang w:val="en-US"/>
            <w14:ligatures w14:val="none"/>
          </w:rPr>
          <w:t>https://doi.org/10.1145/3377325.3377522</w:t>
        </w:r>
      </w:hyperlink>
      <w:r w:rsidR="00AE6F78" w:rsidRPr="005F66CE">
        <w:t xml:space="preserve"> (Accessed:27 March 2026).</w:t>
      </w:r>
    </w:p>
    <w:p w14:paraId="2C713FF1" w14:textId="5654A3C9" w:rsidR="00465C55" w:rsidRPr="005F66CE" w:rsidRDefault="00465C55" w:rsidP="00465C55">
      <w:pPr>
        <w:spacing w:after="120"/>
        <w:rPr>
          <w:rFonts w:eastAsia="MS Mincho"/>
          <w:kern w:val="0"/>
          <w:lang w:val="en-US"/>
          <w14:ligatures w14:val="none"/>
        </w:rPr>
      </w:pPr>
      <w:proofErr w:type="spellStart"/>
      <w:r w:rsidRPr="005F66CE">
        <w:rPr>
          <w:rFonts w:eastAsia="MS Mincho"/>
          <w:kern w:val="0"/>
          <w:lang w:val="en-US"/>
          <w14:ligatures w14:val="none"/>
        </w:rPr>
        <w:t>Kasneci</w:t>
      </w:r>
      <w:proofErr w:type="spellEnd"/>
      <w:r w:rsidRPr="005F66CE">
        <w:rPr>
          <w:rFonts w:eastAsia="MS Mincho"/>
          <w:kern w:val="0"/>
          <w:lang w:val="en-US"/>
          <w14:ligatures w14:val="none"/>
        </w:rPr>
        <w:t xml:space="preserve">, E., Sessler, K., </w:t>
      </w:r>
      <w:proofErr w:type="spellStart"/>
      <w:r w:rsidRPr="005F66CE">
        <w:rPr>
          <w:rFonts w:eastAsia="MS Mincho"/>
          <w:kern w:val="0"/>
          <w:lang w:val="en-US"/>
          <w14:ligatures w14:val="none"/>
        </w:rPr>
        <w:t>Küchemann</w:t>
      </w:r>
      <w:proofErr w:type="spellEnd"/>
      <w:r w:rsidRPr="005F66CE">
        <w:rPr>
          <w:rFonts w:eastAsia="MS Mincho"/>
          <w:kern w:val="0"/>
          <w:lang w:val="en-US"/>
          <w14:ligatures w14:val="none"/>
        </w:rPr>
        <w:t xml:space="preserve">, S., Bannert, M., Dementieva, D., Fischer, F., Gasser, U., Groh, G., Günnemann, S., </w:t>
      </w:r>
      <w:proofErr w:type="spellStart"/>
      <w:r w:rsidRPr="005F66CE">
        <w:rPr>
          <w:rFonts w:eastAsia="MS Mincho"/>
          <w:kern w:val="0"/>
          <w:lang w:val="en-US"/>
          <w14:ligatures w14:val="none"/>
        </w:rPr>
        <w:t>Hüllermeier</w:t>
      </w:r>
      <w:proofErr w:type="spellEnd"/>
      <w:r w:rsidRPr="005F66CE">
        <w:rPr>
          <w:rFonts w:eastAsia="MS Mincho"/>
          <w:kern w:val="0"/>
          <w:lang w:val="en-US"/>
          <w14:ligatures w14:val="none"/>
        </w:rPr>
        <w:t xml:space="preserve">, E., </w:t>
      </w:r>
      <w:proofErr w:type="spellStart"/>
      <w:r w:rsidRPr="005F66CE">
        <w:rPr>
          <w:rFonts w:eastAsia="MS Mincho"/>
          <w:kern w:val="0"/>
          <w:lang w:val="en-US"/>
          <w14:ligatures w14:val="none"/>
        </w:rPr>
        <w:t>Krusche</w:t>
      </w:r>
      <w:proofErr w:type="spellEnd"/>
      <w:r w:rsidRPr="005F66CE">
        <w:rPr>
          <w:rFonts w:eastAsia="MS Mincho"/>
          <w:kern w:val="0"/>
          <w:lang w:val="en-US"/>
          <w14:ligatures w14:val="none"/>
        </w:rPr>
        <w:t xml:space="preserve">, S., </w:t>
      </w:r>
      <w:proofErr w:type="spellStart"/>
      <w:r w:rsidRPr="005F66CE">
        <w:rPr>
          <w:rFonts w:eastAsia="MS Mincho"/>
          <w:kern w:val="0"/>
          <w:lang w:val="en-US"/>
          <w14:ligatures w14:val="none"/>
        </w:rPr>
        <w:t>Kutyniok</w:t>
      </w:r>
      <w:proofErr w:type="spellEnd"/>
      <w:r w:rsidRPr="005F66CE">
        <w:rPr>
          <w:rFonts w:eastAsia="MS Mincho"/>
          <w:kern w:val="0"/>
          <w:lang w:val="en-US"/>
          <w14:ligatures w14:val="none"/>
        </w:rPr>
        <w:t xml:space="preserve">, G., Michaeli, T., </w:t>
      </w:r>
      <w:proofErr w:type="spellStart"/>
      <w:r w:rsidRPr="005F66CE">
        <w:rPr>
          <w:rFonts w:eastAsia="MS Mincho"/>
          <w:kern w:val="0"/>
          <w:lang w:val="en-US"/>
          <w14:ligatures w14:val="none"/>
        </w:rPr>
        <w:t>Nerdel</w:t>
      </w:r>
      <w:proofErr w:type="spellEnd"/>
      <w:r w:rsidRPr="005F66CE">
        <w:rPr>
          <w:rFonts w:eastAsia="MS Mincho"/>
          <w:kern w:val="0"/>
          <w:lang w:val="en-US"/>
          <w14:ligatures w14:val="none"/>
        </w:rPr>
        <w:t xml:space="preserve">, C., Pfeiffer, F., Poquet, O., Sailer, M., Schmidt, A., Seidel, T., Stadler, M., and </w:t>
      </w:r>
      <w:proofErr w:type="spellStart"/>
      <w:r w:rsidRPr="005F66CE">
        <w:rPr>
          <w:rFonts w:eastAsia="MS Mincho"/>
          <w:kern w:val="0"/>
          <w:lang w:val="en-US"/>
          <w14:ligatures w14:val="none"/>
        </w:rPr>
        <w:t>Kasneci</w:t>
      </w:r>
      <w:proofErr w:type="spellEnd"/>
      <w:r w:rsidRPr="005F66CE">
        <w:rPr>
          <w:rFonts w:eastAsia="MS Mincho"/>
          <w:kern w:val="0"/>
          <w:lang w:val="en-US"/>
          <w14:ligatures w14:val="none"/>
        </w:rPr>
        <w:t xml:space="preserve">, G. (2023) ‘ChatGPT for good? On opportunities and challenges of large language models for education, Learning and Individual Differences, 103, 102274. Available at: </w:t>
      </w:r>
      <w:hyperlink r:id="rId26" w:history="1">
        <w:r w:rsidRPr="005F66CE">
          <w:rPr>
            <w:rStyle w:val="Hyperlink"/>
            <w:rFonts w:eastAsia="MS Mincho"/>
            <w:kern w:val="0"/>
            <w:lang w:val="en-US"/>
            <w14:ligatures w14:val="none"/>
          </w:rPr>
          <w:t>https://doi.org/10.1016/j.lindif.2023.102274</w:t>
        </w:r>
      </w:hyperlink>
      <w:r w:rsidR="00AE6F78" w:rsidRPr="005F66CE">
        <w:t xml:space="preserve"> (Accessed:20 March 2026).</w:t>
      </w:r>
    </w:p>
    <w:p w14:paraId="2D92DB59" w14:textId="77777777" w:rsidR="00465C55" w:rsidRPr="005F66CE" w:rsidRDefault="00465C55" w:rsidP="00465C55">
      <w:pPr>
        <w:spacing w:after="120"/>
        <w:rPr>
          <w:rFonts w:eastAsia="MS Mincho"/>
          <w:kern w:val="0"/>
          <w:lang w:val="en-US"/>
          <w14:ligatures w14:val="none"/>
        </w:rPr>
      </w:pPr>
    </w:p>
    <w:p w14:paraId="62C6E5CE" w14:textId="77777777" w:rsidR="00465C55" w:rsidRPr="005F66CE" w:rsidRDefault="00465C55" w:rsidP="009A730B">
      <w:pPr>
        <w:spacing w:after="80" w:line="264" w:lineRule="auto"/>
        <w:ind w:left="432" w:hanging="432"/>
      </w:pPr>
    </w:p>
    <w:p w14:paraId="12D02F90" w14:textId="73247042" w:rsidR="009A730B" w:rsidRPr="005F66CE" w:rsidRDefault="009A730B" w:rsidP="009A730B">
      <w:pPr>
        <w:spacing w:after="80" w:line="264" w:lineRule="auto"/>
        <w:ind w:left="432" w:hanging="432"/>
      </w:pPr>
      <w:r w:rsidRPr="005F66CE">
        <w:rPr>
          <w:rFonts w:ascii="Arial" w:hAnsi="Arial"/>
        </w:rPr>
        <w:t xml:space="preserve">Kim, J. and Shin, M. (2022) ‘What drives social enterprises to form sustainable values? The effects of normative identity and social performance, Sustainability, 14(17), article 10507. Available at: </w:t>
      </w:r>
      <w:hyperlink r:id="rId27" w:history="1">
        <w:r w:rsidRPr="005F66CE">
          <w:rPr>
            <w:rStyle w:val="Hyperlink"/>
            <w:color w:val="0563C1"/>
          </w:rPr>
          <w:t>https://doi.org/10.3390/su141710507</w:t>
        </w:r>
      </w:hyperlink>
      <w:r w:rsidR="00AE6F78" w:rsidRPr="005F66CE">
        <w:t xml:space="preserve"> (Accessed: 25 March 2026).</w:t>
      </w:r>
    </w:p>
    <w:p w14:paraId="57BD6042" w14:textId="49B2B07C" w:rsidR="009A730B" w:rsidRPr="005F66CE" w:rsidRDefault="009A730B" w:rsidP="009A730B">
      <w:pPr>
        <w:spacing w:after="80" w:line="264" w:lineRule="auto"/>
        <w:ind w:left="432" w:hanging="432"/>
      </w:pPr>
      <w:r w:rsidRPr="005F66CE">
        <w:rPr>
          <w:rFonts w:ascii="Arial" w:hAnsi="Arial"/>
        </w:rPr>
        <w:t xml:space="preserve">Kim, N. and Shim, C. (2018) ‘Social capital, knowledge sharing and innovation of small- and medium-sized enterprises in a tourism cluster’, International Journal of Contemporary Hospitality Management, 30(6), pp. 2417-2437. Available at: </w:t>
      </w:r>
      <w:hyperlink r:id="rId28" w:history="1">
        <w:r w:rsidRPr="005F66CE">
          <w:rPr>
            <w:rStyle w:val="Hyperlink"/>
            <w:color w:val="0563C1"/>
          </w:rPr>
          <w:t>https://doi.org/10.1108/IJCHM-07-2016-0392</w:t>
        </w:r>
      </w:hyperlink>
      <w:r w:rsidR="00AE6F78" w:rsidRPr="005F66CE">
        <w:t xml:space="preserve"> (Accessed: 25 March 2026).</w:t>
      </w:r>
    </w:p>
    <w:p w14:paraId="17229F9E" w14:textId="77777777" w:rsidR="009A730B" w:rsidRPr="005F66CE" w:rsidRDefault="009A730B" w:rsidP="009A730B">
      <w:pPr>
        <w:spacing w:after="80" w:line="264" w:lineRule="auto"/>
        <w:ind w:left="432" w:hanging="432"/>
      </w:pPr>
    </w:p>
    <w:p w14:paraId="2652297F" w14:textId="27D1D6CC" w:rsidR="009A730B" w:rsidRPr="005F66CE" w:rsidRDefault="009A730B" w:rsidP="009A730B">
      <w:pPr>
        <w:spacing w:after="80" w:line="264" w:lineRule="auto"/>
        <w:ind w:left="432" w:hanging="432"/>
      </w:pPr>
      <w:proofErr w:type="spellStart"/>
      <w:r w:rsidRPr="005F66CE">
        <w:rPr>
          <w:rFonts w:ascii="Arial" w:hAnsi="Arial"/>
        </w:rPr>
        <w:t>Lashitew</w:t>
      </w:r>
      <w:proofErr w:type="spellEnd"/>
      <w:r w:rsidRPr="005F66CE">
        <w:rPr>
          <w:rFonts w:ascii="Arial" w:hAnsi="Arial"/>
        </w:rPr>
        <w:t xml:space="preserve">, A.A., van </w:t>
      </w:r>
      <w:proofErr w:type="spellStart"/>
      <w:r w:rsidRPr="005F66CE">
        <w:rPr>
          <w:rFonts w:ascii="Arial" w:hAnsi="Arial"/>
        </w:rPr>
        <w:t>Tulder</w:t>
      </w:r>
      <w:proofErr w:type="spellEnd"/>
      <w:r w:rsidRPr="005F66CE">
        <w:rPr>
          <w:rFonts w:ascii="Arial" w:hAnsi="Arial"/>
        </w:rPr>
        <w:t xml:space="preserve">, R. and Muche, L. (2022) ‘Social value creation in institutional voids: A business model perspective’, Business &amp; Society, 61(8), pp. 1992-2037. Available at: </w:t>
      </w:r>
      <w:hyperlink r:id="rId29" w:history="1">
        <w:r w:rsidRPr="005F66CE">
          <w:rPr>
            <w:rStyle w:val="Hyperlink"/>
            <w:color w:val="0563C1"/>
          </w:rPr>
          <w:t>https://doi.org/10.1177/0007650320982283</w:t>
        </w:r>
      </w:hyperlink>
      <w:r w:rsidR="00AE6F78" w:rsidRPr="005F66CE">
        <w:t xml:space="preserve"> (Accessed: 28 March 2026).</w:t>
      </w:r>
    </w:p>
    <w:p w14:paraId="390EB059" w14:textId="3499ADC4" w:rsidR="009A730B" w:rsidRPr="005F66CE" w:rsidRDefault="009A730B" w:rsidP="009A730B">
      <w:pPr>
        <w:spacing w:after="80" w:line="264" w:lineRule="auto"/>
        <w:ind w:left="432" w:hanging="432"/>
      </w:pPr>
      <w:r w:rsidRPr="005F66CE">
        <w:rPr>
          <w:rFonts w:ascii="Arial" w:hAnsi="Arial"/>
        </w:rPr>
        <w:t xml:space="preserve">Lewin, K. (1947) ‘Frontiers in group dynamics: Concept, method and reality in social science; social equilibria and social change’, Human Relations, 1(1), pp. 5-41. Available at: </w:t>
      </w:r>
      <w:hyperlink r:id="rId30" w:history="1">
        <w:r w:rsidRPr="005F66CE">
          <w:rPr>
            <w:rStyle w:val="Hyperlink"/>
            <w:color w:val="0563C1"/>
          </w:rPr>
          <w:t>https://doi.org/10.1177/001872674700100103</w:t>
        </w:r>
      </w:hyperlink>
      <w:r w:rsidR="00AE6F78" w:rsidRPr="005F66CE">
        <w:t xml:space="preserve"> (Accessed: 19 March 2026).</w:t>
      </w:r>
    </w:p>
    <w:p w14:paraId="03901D8D" w14:textId="45C3A00A" w:rsidR="009A730B" w:rsidRPr="005F66CE" w:rsidRDefault="009A730B" w:rsidP="009A730B">
      <w:pPr>
        <w:spacing w:after="80" w:line="264" w:lineRule="auto"/>
        <w:ind w:left="432" w:hanging="432"/>
      </w:pPr>
      <w:r w:rsidRPr="005F66CE">
        <w:rPr>
          <w:rFonts w:ascii="Arial" w:hAnsi="Arial"/>
        </w:rPr>
        <w:t>Manners-Bell, J. and Lyon, K. (2022)</w:t>
      </w:r>
      <w:r w:rsidR="0015150F" w:rsidRPr="005F66CE">
        <w:rPr>
          <w:rFonts w:ascii="Arial" w:hAnsi="Arial"/>
        </w:rPr>
        <w:t>.</w:t>
      </w:r>
      <w:r w:rsidRPr="005F66CE">
        <w:rPr>
          <w:rFonts w:ascii="Arial" w:hAnsi="Arial"/>
        </w:rPr>
        <w:t xml:space="preserve"> Logistics and Supply Chain Innovation: A Practical Guide to Disruptive Technologies and New Business Models. 2nd </w:t>
      </w:r>
      <w:proofErr w:type="spellStart"/>
      <w:r w:rsidRPr="005F66CE">
        <w:rPr>
          <w:rFonts w:ascii="Arial" w:hAnsi="Arial"/>
        </w:rPr>
        <w:t>edn</w:t>
      </w:r>
      <w:proofErr w:type="spellEnd"/>
      <w:r w:rsidRPr="005F66CE">
        <w:rPr>
          <w:rFonts w:ascii="Arial" w:hAnsi="Arial"/>
        </w:rPr>
        <w:t>. London: Kogan Page.</w:t>
      </w:r>
    </w:p>
    <w:p w14:paraId="4ACA6E2F" w14:textId="32D131E9" w:rsidR="009A730B" w:rsidRPr="005F66CE" w:rsidRDefault="009A730B" w:rsidP="009A730B">
      <w:pPr>
        <w:spacing w:after="80" w:line="264" w:lineRule="auto"/>
        <w:ind w:left="432" w:hanging="432"/>
      </w:pPr>
      <w:r w:rsidRPr="005F66CE">
        <w:rPr>
          <w:rFonts w:ascii="Arial" w:hAnsi="Arial"/>
        </w:rPr>
        <w:t xml:space="preserve">Martins, E.C. and Terblanche, F. (2003) ‘Building organisational culture that stimulates creativity and innovation’, European Journal of Innovation Management, 6(1), pp. 64-74. Available at: </w:t>
      </w:r>
      <w:hyperlink r:id="rId31" w:history="1">
        <w:r w:rsidRPr="005F66CE">
          <w:rPr>
            <w:rStyle w:val="Hyperlink"/>
            <w:color w:val="0563C1"/>
          </w:rPr>
          <w:t>https://doi.org/10.1108/14601060310456337</w:t>
        </w:r>
      </w:hyperlink>
      <w:r w:rsidR="00AE6F78" w:rsidRPr="005F66CE">
        <w:t xml:space="preserve"> (Accessed:20 March 2026).</w:t>
      </w:r>
    </w:p>
    <w:p w14:paraId="52F1D13F" w14:textId="539B1388" w:rsidR="009A730B" w:rsidRPr="005F66CE" w:rsidRDefault="009A730B" w:rsidP="009A730B">
      <w:pPr>
        <w:spacing w:after="80" w:line="264" w:lineRule="auto"/>
        <w:ind w:left="432" w:hanging="432"/>
      </w:pPr>
      <w:r w:rsidRPr="005F66CE">
        <w:rPr>
          <w:rFonts w:ascii="Arial" w:hAnsi="Arial"/>
        </w:rPr>
        <w:t xml:space="preserve">Nieves, J. and Diaz-Meneses, G. (2018) ‘Knowledge sources and innovation in the hotel industry: Empirical analysis on Gran Canaria Island, a mature mass-tourism destination’, International Journal of Contemporary Hospitality </w:t>
      </w:r>
      <w:r w:rsidRPr="005F66CE">
        <w:rPr>
          <w:rFonts w:ascii="Arial" w:hAnsi="Arial"/>
        </w:rPr>
        <w:lastRenderedPageBreak/>
        <w:t xml:space="preserve">Management, 30(8), pp. 2537-2561. Available at: </w:t>
      </w:r>
      <w:hyperlink r:id="rId32" w:history="1">
        <w:r w:rsidRPr="005F66CE">
          <w:rPr>
            <w:rStyle w:val="Hyperlink"/>
            <w:color w:val="0563C1"/>
          </w:rPr>
          <w:t>https://doi.org/10.1108/IJCHM-07-2016-0341</w:t>
        </w:r>
      </w:hyperlink>
      <w:r w:rsidR="0017269F" w:rsidRPr="005F66CE">
        <w:t xml:space="preserve"> (Accessed:21 March 2026).</w:t>
      </w:r>
    </w:p>
    <w:p w14:paraId="304B3963" w14:textId="7FA60904" w:rsidR="00465C55" w:rsidRPr="005F66CE" w:rsidRDefault="00465C55" w:rsidP="00465C55">
      <w:pPr>
        <w:spacing w:after="120"/>
        <w:rPr>
          <w:rFonts w:eastAsia="MS Mincho"/>
          <w:kern w:val="0"/>
          <w:lang w:val="en-US"/>
          <w14:ligatures w14:val="none"/>
        </w:rPr>
      </w:pPr>
      <w:proofErr w:type="spellStart"/>
      <w:r w:rsidRPr="005F66CE">
        <w:rPr>
          <w:rFonts w:eastAsia="MS Mincho"/>
          <w:kern w:val="0"/>
          <w:lang w:val="en-US"/>
          <w14:ligatures w14:val="none"/>
        </w:rPr>
        <w:t>Ratten</w:t>
      </w:r>
      <w:proofErr w:type="spellEnd"/>
      <w:r w:rsidRPr="005F66CE">
        <w:rPr>
          <w:rFonts w:eastAsia="MS Mincho"/>
          <w:kern w:val="0"/>
          <w:lang w:val="en-US"/>
          <w14:ligatures w14:val="none"/>
        </w:rPr>
        <w:t>, V. and Jones, P. (</w:t>
      </w:r>
      <w:r w:rsidR="0015150F" w:rsidRPr="005F66CE">
        <w:rPr>
          <w:rFonts w:eastAsia="MS Mincho"/>
          <w:kern w:val="0"/>
          <w:lang w:val="en-US"/>
          <w14:ligatures w14:val="none"/>
        </w:rPr>
        <w:t xml:space="preserve">2023) </w:t>
      </w:r>
      <w:r w:rsidRPr="005F66CE">
        <w:rPr>
          <w:rFonts w:eastAsia="MS Mincho"/>
          <w:kern w:val="0"/>
          <w:lang w:val="en-US"/>
          <w14:ligatures w14:val="none"/>
        </w:rPr>
        <w:t xml:space="preserve">Generative artificial intelligence (ChatGPT): Implications for management educators, The International Journal of Management Education, 21(3), 100857. Available at: </w:t>
      </w:r>
      <w:hyperlink r:id="rId33" w:history="1">
        <w:r w:rsidRPr="005F66CE">
          <w:rPr>
            <w:rStyle w:val="Hyperlink"/>
            <w:rFonts w:eastAsia="MS Mincho"/>
            <w:kern w:val="0"/>
            <w:lang w:val="en-US"/>
            <w14:ligatures w14:val="none"/>
          </w:rPr>
          <w:t>https://doi.org/10.1016/j.ijme.2023.100857</w:t>
        </w:r>
      </w:hyperlink>
      <w:r w:rsidR="0017269F" w:rsidRPr="005F66CE">
        <w:t xml:space="preserve"> (Accessed:24 March 2026).</w:t>
      </w:r>
    </w:p>
    <w:p w14:paraId="483B80E9" w14:textId="29C37679" w:rsidR="00465C55" w:rsidRPr="005F66CE" w:rsidRDefault="00465C55" w:rsidP="00465C55">
      <w:pPr>
        <w:spacing w:after="120"/>
        <w:ind w:left="360" w:hanging="360"/>
        <w:rPr>
          <w:rFonts w:eastAsia="MS Mincho"/>
          <w:kern w:val="0"/>
          <w:lang w:val="en-US"/>
          <w14:ligatures w14:val="none"/>
        </w:rPr>
      </w:pPr>
      <w:r w:rsidRPr="005F66CE">
        <w:rPr>
          <w:rFonts w:eastAsia="MS Mincho"/>
          <w:kern w:val="0"/>
          <w:lang w:val="en-US"/>
          <w14:ligatures w14:val="none"/>
        </w:rPr>
        <w:t xml:space="preserve">Runco, M.A. and Jaeger, G.J. (2012) ‘The standard definition of creativity’, Creativity Research Journal, 24(1), pp. 92–96. Available at: </w:t>
      </w:r>
      <w:hyperlink r:id="rId34" w:history="1">
        <w:r w:rsidRPr="005F66CE">
          <w:rPr>
            <w:rStyle w:val="Hyperlink"/>
            <w:rFonts w:eastAsia="MS Mincho"/>
            <w:color w:val="0563C1"/>
            <w:kern w:val="0"/>
            <w:lang w:val="en-US"/>
            <w14:ligatures w14:val="none"/>
          </w:rPr>
          <w:t>https://doi.org/10.1080/10400419.2012.650092</w:t>
        </w:r>
      </w:hyperlink>
      <w:r w:rsidR="0017269F" w:rsidRPr="005F66CE">
        <w:t xml:space="preserve"> (Accessed: 24 March 2026).</w:t>
      </w:r>
    </w:p>
    <w:p w14:paraId="2029876F" w14:textId="77777777" w:rsidR="00465C55" w:rsidRPr="005F66CE" w:rsidRDefault="00465C55" w:rsidP="00465C55">
      <w:pPr>
        <w:spacing w:after="120"/>
        <w:rPr>
          <w:rFonts w:eastAsia="MS Mincho"/>
          <w:kern w:val="0"/>
          <w:lang w:val="en-US"/>
          <w14:ligatures w14:val="none"/>
        </w:rPr>
      </w:pPr>
    </w:p>
    <w:p w14:paraId="40CD1FEC" w14:textId="77777777" w:rsidR="00465C55" w:rsidRPr="005F66CE" w:rsidRDefault="00465C55" w:rsidP="009A730B">
      <w:pPr>
        <w:spacing w:after="80" w:line="264" w:lineRule="auto"/>
        <w:ind w:left="432" w:hanging="432"/>
      </w:pPr>
    </w:p>
    <w:p w14:paraId="21F5455D" w14:textId="77777777" w:rsidR="009A730B" w:rsidRPr="005F66CE" w:rsidRDefault="009A730B" w:rsidP="009A730B">
      <w:pPr>
        <w:spacing w:after="80" w:line="264" w:lineRule="auto"/>
        <w:ind w:left="432" w:hanging="432"/>
      </w:pPr>
      <w:r w:rsidRPr="005F66CE">
        <w:rPr>
          <w:rFonts w:ascii="Arial" w:hAnsi="Arial"/>
        </w:rPr>
        <w:t>Osterwalder, A. and Pigneur, Y. (2010) Business Model Generation. Hoboken, NJ: John Wiley &amp; Sons.</w:t>
      </w:r>
    </w:p>
    <w:p w14:paraId="5972D4B4" w14:textId="121A2A3F" w:rsidR="009A730B" w:rsidRPr="005F66CE" w:rsidRDefault="009A730B" w:rsidP="009A730B">
      <w:pPr>
        <w:spacing w:after="80" w:line="264" w:lineRule="auto"/>
        <w:ind w:left="432" w:hanging="432"/>
      </w:pPr>
      <w:r w:rsidRPr="005F66CE">
        <w:rPr>
          <w:rFonts w:ascii="Arial" w:hAnsi="Arial"/>
        </w:rPr>
        <w:t xml:space="preserve">Park, J.-H. and Seo, R. (2024) ‘A contingent value of bricolage strategy on SMEs’ organizational resilience: lessons from the COVID-19 pandemic’, Humanities and Social Sciences Communications, 11(1), pp. 1-13. Available at: </w:t>
      </w:r>
      <w:hyperlink r:id="rId35" w:history="1">
        <w:r w:rsidRPr="005F66CE">
          <w:rPr>
            <w:rStyle w:val="Hyperlink"/>
            <w:color w:val="0563C1"/>
          </w:rPr>
          <w:t>https://doi.org/10.1057/s41599-024-02771-6</w:t>
        </w:r>
      </w:hyperlink>
      <w:r w:rsidR="0017269F" w:rsidRPr="005F66CE">
        <w:t xml:space="preserve"> (Accessed:24 March 2026).</w:t>
      </w:r>
    </w:p>
    <w:p w14:paraId="2556E804" w14:textId="749C5B3A" w:rsidR="009A730B" w:rsidRPr="005F66CE" w:rsidRDefault="009A730B" w:rsidP="009A730B">
      <w:pPr>
        <w:spacing w:after="80" w:line="264" w:lineRule="auto"/>
        <w:ind w:left="432" w:hanging="432"/>
      </w:pPr>
      <w:r w:rsidRPr="005F66CE">
        <w:rPr>
          <w:rFonts w:ascii="Arial" w:hAnsi="Arial"/>
        </w:rPr>
        <w:t>Storm Coffee Supplies (n.d.) Leasing &amp; Rental Packages for Coffee Machines, Grinders</w:t>
      </w:r>
      <w:r w:rsidR="0017269F" w:rsidRPr="005F66CE">
        <w:rPr>
          <w:rFonts w:ascii="Arial" w:hAnsi="Arial"/>
        </w:rPr>
        <w:t>,</w:t>
      </w:r>
      <w:r w:rsidRPr="005F66CE">
        <w:rPr>
          <w:rFonts w:ascii="Arial" w:hAnsi="Arial"/>
        </w:rPr>
        <w:t xml:space="preserve"> and Maintenance Contracts. Available at: </w:t>
      </w:r>
      <w:hyperlink r:id="rId36" w:history="1">
        <w:r w:rsidRPr="005F66CE">
          <w:rPr>
            <w:rStyle w:val="Hyperlink"/>
            <w:color w:val="0563C1"/>
          </w:rPr>
          <w:t>https://stormcoffeesupplies.co.uk/pages/leasing-rental-packages-for-coffee-machines-grinders-and-maintenance-contracts</w:t>
        </w:r>
      </w:hyperlink>
      <w:r w:rsidRPr="005F66CE">
        <w:rPr>
          <w:rFonts w:ascii="Arial" w:hAnsi="Arial"/>
        </w:rPr>
        <w:t xml:space="preserve"> (Accessed: 25 March 2026).</w:t>
      </w:r>
      <w:r w:rsidR="0017269F" w:rsidRPr="005F66CE">
        <w:rPr>
          <w:rFonts w:ascii="Arial" w:hAnsi="Arial"/>
        </w:rPr>
        <w:t xml:space="preserve"> (Accessed:25 March 2026).</w:t>
      </w:r>
    </w:p>
    <w:p w14:paraId="120FA724" w14:textId="3575B172" w:rsidR="009A730B" w:rsidRPr="005F66CE" w:rsidRDefault="009A730B" w:rsidP="009A730B">
      <w:pPr>
        <w:spacing w:after="80" w:line="264" w:lineRule="auto"/>
        <w:ind w:left="432" w:hanging="432"/>
      </w:pPr>
      <w:r w:rsidRPr="005F66CE">
        <w:rPr>
          <w:rFonts w:ascii="Arial" w:hAnsi="Arial"/>
        </w:rPr>
        <w:t xml:space="preserve">Teece, D.J. (2018) ‘Business models and dynamic capabilities’, Long Range Planning, 51, pp. 40-49. Available at: </w:t>
      </w:r>
      <w:hyperlink r:id="rId37" w:history="1">
        <w:r w:rsidRPr="005F66CE">
          <w:rPr>
            <w:rStyle w:val="Hyperlink"/>
            <w:color w:val="0563C1"/>
          </w:rPr>
          <w:t>https://doi.org/10.1016/j.lrp.2017.06.007</w:t>
        </w:r>
      </w:hyperlink>
      <w:r w:rsidR="0017269F" w:rsidRPr="005F66CE">
        <w:t xml:space="preserve"> (Accessed:26 March 2026).</w:t>
      </w:r>
    </w:p>
    <w:p w14:paraId="7D8BC0B4" w14:textId="6BB89DEA" w:rsidR="009A730B" w:rsidRPr="005F66CE" w:rsidRDefault="009A730B" w:rsidP="009A730B">
      <w:pPr>
        <w:spacing w:after="80" w:line="264" w:lineRule="auto"/>
        <w:ind w:left="432" w:hanging="432"/>
      </w:pPr>
      <w:r w:rsidRPr="005F66CE">
        <w:rPr>
          <w:rFonts w:ascii="Arial" w:hAnsi="Arial"/>
        </w:rPr>
        <w:t xml:space="preserve">Tejada, P. and Moreno, P. (2013) ‘Patterns of innovation in tourism “Small and Medium-size Enterprises”’, The Service Industries Journal, 33(7-8), pp. 749-758. Available at: </w:t>
      </w:r>
      <w:hyperlink r:id="rId38" w:history="1">
        <w:r w:rsidRPr="005F66CE">
          <w:rPr>
            <w:rStyle w:val="Hyperlink"/>
            <w:color w:val="0563C1"/>
          </w:rPr>
          <w:t>https://doi.org/10.1080/02642069.2013.740469</w:t>
        </w:r>
      </w:hyperlink>
      <w:r w:rsidR="0017269F" w:rsidRPr="005F66CE">
        <w:t xml:space="preserve"> (Accessed:26 March 2026).</w:t>
      </w:r>
    </w:p>
    <w:p w14:paraId="28AEE61F" w14:textId="5B754B30" w:rsidR="00465C55" w:rsidRPr="005F66CE" w:rsidRDefault="00465C55" w:rsidP="00465C55">
      <w:pPr>
        <w:spacing w:after="120"/>
        <w:rPr>
          <w:rFonts w:eastAsia="MS Mincho"/>
          <w:kern w:val="0"/>
          <w:lang w:val="en-US"/>
          <w14:ligatures w14:val="none"/>
        </w:rPr>
      </w:pPr>
      <w:r w:rsidRPr="005F66CE">
        <w:rPr>
          <w:rFonts w:eastAsia="MS Mincho"/>
          <w:kern w:val="0"/>
          <w:lang w:val="en-US"/>
          <w14:ligatures w14:val="none"/>
        </w:rPr>
        <w:t>Thomas, A., Duggal, H.K., Khatri, P.</w:t>
      </w:r>
      <w:r w:rsidR="0015150F" w:rsidRPr="005F66CE">
        <w:rPr>
          <w:rFonts w:eastAsia="MS Mincho"/>
          <w:kern w:val="0"/>
          <w:lang w:val="en-US"/>
          <w14:ligatures w14:val="none"/>
        </w:rPr>
        <w:t>,</w:t>
      </w:r>
      <w:r w:rsidRPr="005F66CE">
        <w:rPr>
          <w:rFonts w:eastAsia="MS Mincho"/>
          <w:kern w:val="0"/>
          <w:lang w:val="en-US"/>
          <w14:ligatures w14:val="none"/>
        </w:rPr>
        <w:t xml:space="preserve"> and Corvello, V. (</w:t>
      </w:r>
      <w:r w:rsidR="0015150F" w:rsidRPr="005F66CE">
        <w:rPr>
          <w:rFonts w:eastAsia="MS Mincho"/>
          <w:kern w:val="0"/>
          <w:lang w:val="en-US"/>
          <w14:ligatures w14:val="none"/>
        </w:rPr>
        <w:t xml:space="preserve">2024) </w:t>
      </w:r>
      <w:r w:rsidRPr="005F66CE">
        <w:rPr>
          <w:rFonts w:eastAsia="MS Mincho"/>
          <w:kern w:val="0"/>
          <w:lang w:val="en-US"/>
          <w14:ligatures w14:val="none"/>
        </w:rPr>
        <w:t xml:space="preserve">ChatGPT appropriation: A catalyst for creative performance, innovation orientation, and agile leadership, Technology in Society, 78, 102619. Available at: </w:t>
      </w:r>
      <w:hyperlink r:id="rId39" w:history="1">
        <w:r w:rsidRPr="005F66CE">
          <w:rPr>
            <w:rStyle w:val="Hyperlink"/>
            <w:rFonts w:eastAsia="MS Mincho"/>
            <w:color w:val="0563C1"/>
            <w:kern w:val="0"/>
            <w:lang w:val="en-US"/>
            <w14:ligatures w14:val="none"/>
          </w:rPr>
          <w:t>https://doi.org/10.1016/j.techsoc.2024.102619</w:t>
        </w:r>
      </w:hyperlink>
      <w:r w:rsidR="0017269F" w:rsidRPr="005F66CE">
        <w:t xml:space="preserve"> (Accessed: 26 March 2026).</w:t>
      </w:r>
    </w:p>
    <w:p w14:paraId="61E6A788" w14:textId="77777777" w:rsidR="00465C55" w:rsidRPr="005F66CE" w:rsidRDefault="00465C55" w:rsidP="009A730B">
      <w:pPr>
        <w:spacing w:after="80" w:line="264" w:lineRule="auto"/>
        <w:ind w:left="432" w:hanging="432"/>
      </w:pPr>
    </w:p>
    <w:p w14:paraId="756CB52B" w14:textId="19691D16" w:rsidR="009A730B" w:rsidRPr="005F66CE" w:rsidRDefault="009A730B" w:rsidP="009A730B">
      <w:pPr>
        <w:spacing w:after="80" w:line="264" w:lineRule="auto"/>
        <w:ind w:left="432" w:hanging="432"/>
        <w:rPr>
          <w:rFonts w:ascii="Arial" w:hAnsi="Arial"/>
        </w:rPr>
      </w:pPr>
      <w:r w:rsidRPr="005F66CE">
        <w:rPr>
          <w:rFonts w:ascii="Arial" w:hAnsi="Arial"/>
        </w:rPr>
        <w:t>Tidd, J. and Bessant, J. (2018)</w:t>
      </w:r>
      <w:r w:rsidR="0015150F" w:rsidRPr="005F66CE">
        <w:rPr>
          <w:rFonts w:ascii="Arial" w:hAnsi="Arial"/>
        </w:rPr>
        <w:t>.</w:t>
      </w:r>
      <w:r w:rsidRPr="005F66CE">
        <w:rPr>
          <w:rFonts w:ascii="Arial" w:hAnsi="Arial"/>
        </w:rPr>
        <w:t xml:space="preserve"> Managing Innovation: Integrating Technological, Market and Organizational Change. 6th </w:t>
      </w:r>
      <w:proofErr w:type="spellStart"/>
      <w:r w:rsidRPr="005F66CE">
        <w:rPr>
          <w:rFonts w:ascii="Arial" w:hAnsi="Arial"/>
        </w:rPr>
        <w:t>edn</w:t>
      </w:r>
      <w:proofErr w:type="spellEnd"/>
      <w:r w:rsidRPr="005F66CE">
        <w:rPr>
          <w:rFonts w:ascii="Arial" w:hAnsi="Arial"/>
        </w:rPr>
        <w:t>. Hoboken, NJ: Wiley.</w:t>
      </w:r>
    </w:p>
    <w:p w14:paraId="224539BC" w14:textId="0638642E" w:rsidR="00465C55" w:rsidRPr="005F66CE" w:rsidRDefault="00465C55" w:rsidP="00465C55">
      <w:pPr>
        <w:spacing w:after="120"/>
        <w:ind w:left="360" w:hanging="360"/>
        <w:rPr>
          <w:rFonts w:eastAsia="MS Mincho"/>
          <w:kern w:val="0"/>
          <w:lang w:val="en-US"/>
          <w14:ligatures w14:val="none"/>
        </w:rPr>
      </w:pPr>
      <w:r w:rsidRPr="005F66CE">
        <w:rPr>
          <w:rFonts w:eastAsia="MS Mincho"/>
          <w:kern w:val="0"/>
          <w:lang w:val="en-US"/>
          <w14:ligatures w14:val="none"/>
        </w:rPr>
        <w:t xml:space="preserve">Toma, R.B. and Yáñez-Pérez, I. (2024) ‘Effects of ChatGPT use on undergraduate students’ creativity: A threat to creative thinking?’, Discover Artificial Intelligence, 4, </w:t>
      </w:r>
      <w:r w:rsidRPr="005F66CE">
        <w:rPr>
          <w:rFonts w:eastAsia="MS Mincho"/>
          <w:kern w:val="0"/>
          <w:lang w:val="en-US"/>
          <w14:ligatures w14:val="none"/>
        </w:rPr>
        <w:lastRenderedPageBreak/>
        <w:t xml:space="preserve">74. Available at: </w:t>
      </w:r>
      <w:hyperlink r:id="rId40" w:history="1">
        <w:r w:rsidRPr="005F66CE">
          <w:rPr>
            <w:rStyle w:val="Hyperlink"/>
            <w:rFonts w:eastAsia="MS Mincho"/>
            <w:color w:val="0563C1"/>
            <w:kern w:val="0"/>
            <w:lang w:val="en-US"/>
            <w14:ligatures w14:val="none"/>
          </w:rPr>
          <w:t>https://doi.org/10.1007/s44163-024-00172-x</w:t>
        </w:r>
      </w:hyperlink>
      <w:r w:rsidR="0017269F" w:rsidRPr="005F66CE">
        <w:t xml:space="preserve"> (Accessed: 27 March 2026).</w:t>
      </w:r>
    </w:p>
    <w:p w14:paraId="622DF722" w14:textId="77777777" w:rsidR="00465C55" w:rsidRPr="005F66CE" w:rsidRDefault="00465C55" w:rsidP="009A730B">
      <w:pPr>
        <w:spacing w:after="80" w:line="264" w:lineRule="auto"/>
        <w:ind w:left="432" w:hanging="432"/>
      </w:pPr>
    </w:p>
    <w:p w14:paraId="666F3585" w14:textId="682AAD61" w:rsidR="009A730B" w:rsidRPr="005F66CE" w:rsidRDefault="009A730B" w:rsidP="009A730B">
      <w:pPr>
        <w:spacing w:after="80" w:line="264" w:lineRule="auto"/>
        <w:ind w:left="432" w:hanging="432"/>
      </w:pPr>
      <w:r w:rsidRPr="005F66CE">
        <w:rPr>
          <w:rFonts w:ascii="Arial" w:hAnsi="Arial"/>
        </w:rPr>
        <w:t xml:space="preserve">Tomasella, B., Ali, A. and Gill, D. (2024) ‘Hospitality that cares: a qualitative investigation into small foodservice businesses’ social responsibility’, Current Issues in Tourism, 27(12), pp. 1853-1869. Available at: </w:t>
      </w:r>
      <w:hyperlink r:id="rId41" w:history="1">
        <w:r w:rsidRPr="005F66CE">
          <w:rPr>
            <w:rStyle w:val="Hyperlink"/>
            <w:color w:val="0563C1"/>
          </w:rPr>
          <w:t>https://doi.org/10.1080/13683500.2023.2214849</w:t>
        </w:r>
      </w:hyperlink>
      <w:r w:rsidR="0017269F" w:rsidRPr="005F66CE">
        <w:t xml:space="preserve"> (Accessed: 22 March 2026).</w:t>
      </w:r>
    </w:p>
    <w:p w14:paraId="536515BE" w14:textId="77777777" w:rsidR="009A730B" w:rsidRPr="005F66CE" w:rsidRDefault="009A730B" w:rsidP="009A730B">
      <w:pPr>
        <w:spacing w:after="80" w:line="264" w:lineRule="auto"/>
        <w:ind w:left="432" w:hanging="432"/>
      </w:pPr>
      <w:r w:rsidRPr="005F66CE">
        <w:rPr>
          <w:rFonts w:ascii="Arial" w:hAnsi="Arial"/>
        </w:rPr>
        <w:t xml:space="preserve">Trott, P. (2016). Innovation Management and New Product Development. 6th </w:t>
      </w:r>
      <w:proofErr w:type="spellStart"/>
      <w:r w:rsidRPr="005F66CE">
        <w:rPr>
          <w:rFonts w:ascii="Arial" w:hAnsi="Arial"/>
        </w:rPr>
        <w:t>edn</w:t>
      </w:r>
      <w:proofErr w:type="spellEnd"/>
      <w:r w:rsidRPr="005F66CE">
        <w:rPr>
          <w:rFonts w:ascii="Arial" w:hAnsi="Arial"/>
        </w:rPr>
        <w:t>. Harlow: Pearson.</w:t>
      </w:r>
    </w:p>
    <w:p w14:paraId="67FFFF79" w14:textId="77777777" w:rsidR="009A730B" w:rsidRPr="005F66CE" w:rsidRDefault="009A730B" w:rsidP="009A730B">
      <w:pPr>
        <w:spacing w:after="80" w:line="264" w:lineRule="auto"/>
        <w:ind w:left="432" w:hanging="432"/>
        <w:rPr>
          <w:rFonts w:ascii="Arial" w:hAnsi="Arial"/>
        </w:rPr>
      </w:pPr>
      <w:r w:rsidRPr="005F66CE">
        <w:rPr>
          <w:rFonts w:ascii="Arial" w:hAnsi="Arial"/>
        </w:rPr>
        <w:t>Turner, E. (2020). Be Less Zombie: How Great Companies Create Dynamic Innovation, Fearless Leadership, and Passionate People. Chichester: Wiley.</w:t>
      </w:r>
    </w:p>
    <w:p w14:paraId="73FDC577" w14:textId="77777777" w:rsidR="0015150F" w:rsidRPr="005F66CE" w:rsidRDefault="0015150F" w:rsidP="0015150F">
      <w:pPr>
        <w:spacing w:after="120"/>
        <w:rPr>
          <w:rFonts w:eastAsia="MS Mincho"/>
          <w:kern w:val="0"/>
          <w:lang w:val="en-US"/>
          <w14:ligatures w14:val="none"/>
        </w:rPr>
      </w:pPr>
      <w:r w:rsidRPr="005F66CE">
        <w:rPr>
          <w:rFonts w:eastAsia="MS Mincho"/>
          <w:kern w:val="0"/>
          <w:lang w:val="en-US"/>
          <w14:ligatures w14:val="none"/>
        </w:rPr>
        <w:t xml:space="preserve">UNESCO (2022) Recommendation on the Ethics of Artificial Intelligence. Paris: UNESCO. Available at: </w:t>
      </w:r>
      <w:hyperlink r:id="rId42" w:history="1">
        <w:r w:rsidRPr="005F66CE">
          <w:rPr>
            <w:rStyle w:val="Hyperlink"/>
            <w:rFonts w:eastAsia="MS Mincho"/>
            <w:color w:val="0563C1"/>
            <w:kern w:val="0"/>
            <w:lang w:val="en-US"/>
            <w14:ligatures w14:val="none"/>
          </w:rPr>
          <w:t>https://unesdoc.unesco.org/ark:/48223/pf0000380455</w:t>
        </w:r>
      </w:hyperlink>
      <w:r w:rsidRPr="005F66CE">
        <w:rPr>
          <w:rFonts w:eastAsia="MS Mincho"/>
          <w:kern w:val="0"/>
          <w:lang w:val="en-US"/>
          <w14:ligatures w14:val="none"/>
        </w:rPr>
        <w:t xml:space="preserve"> (Accessed: 28 March 2026).</w:t>
      </w:r>
    </w:p>
    <w:p w14:paraId="698D6887" w14:textId="77777777" w:rsidR="0015150F" w:rsidRPr="005F66CE" w:rsidRDefault="0015150F" w:rsidP="0015150F">
      <w:pPr>
        <w:spacing w:after="120"/>
        <w:ind w:left="360" w:hanging="360"/>
        <w:rPr>
          <w:rFonts w:eastAsia="MS Mincho"/>
          <w:kern w:val="0"/>
          <w:lang w:val="en-US"/>
          <w14:ligatures w14:val="none"/>
        </w:rPr>
      </w:pPr>
      <w:r w:rsidRPr="005F66CE">
        <w:rPr>
          <w:rFonts w:eastAsia="MS Mincho"/>
          <w:kern w:val="0"/>
          <w:lang w:val="en-US"/>
          <w14:ligatures w14:val="none"/>
        </w:rPr>
        <w:t xml:space="preserve">UNESCO (2023) Guidance for generative AI in education and research. Paris: UNESCO. Available at: </w:t>
      </w:r>
      <w:hyperlink r:id="rId43" w:history="1">
        <w:r w:rsidRPr="005F66CE">
          <w:rPr>
            <w:rStyle w:val="Hyperlink"/>
            <w:rFonts w:eastAsia="MS Mincho"/>
            <w:color w:val="0563C1"/>
            <w:kern w:val="0"/>
            <w:lang w:val="en-US"/>
            <w14:ligatures w14:val="none"/>
          </w:rPr>
          <w:t>https://unesdoc.unesco.org/ark:/48223/pf0000386693</w:t>
        </w:r>
      </w:hyperlink>
      <w:r w:rsidRPr="005F66CE">
        <w:rPr>
          <w:rFonts w:eastAsia="MS Mincho"/>
          <w:kern w:val="0"/>
          <w:lang w:val="en-US"/>
          <w14:ligatures w14:val="none"/>
        </w:rPr>
        <w:t xml:space="preserve"> (Accessed: 28 March 2026).</w:t>
      </w:r>
    </w:p>
    <w:p w14:paraId="025E4A63" w14:textId="77777777" w:rsidR="0015150F" w:rsidRPr="005F66CE" w:rsidRDefault="0015150F" w:rsidP="009A730B">
      <w:pPr>
        <w:spacing w:after="80" w:line="264" w:lineRule="auto"/>
        <w:ind w:left="432" w:hanging="432"/>
        <w:rPr>
          <w:rFonts w:ascii="Arial" w:hAnsi="Arial"/>
        </w:rPr>
      </w:pPr>
    </w:p>
    <w:p w14:paraId="0E5E8DDC" w14:textId="1C017CBD" w:rsidR="0015150F" w:rsidRPr="005F66CE" w:rsidRDefault="0015150F" w:rsidP="0015150F">
      <w:pPr>
        <w:spacing w:after="120"/>
        <w:ind w:left="360" w:hanging="360"/>
        <w:rPr>
          <w:rFonts w:eastAsia="MS Mincho"/>
          <w:kern w:val="0"/>
          <w:lang w:val="en-US"/>
          <w14:ligatures w14:val="none"/>
        </w:rPr>
      </w:pPr>
      <w:proofErr w:type="spellStart"/>
      <w:r w:rsidRPr="005F66CE">
        <w:rPr>
          <w:rFonts w:eastAsia="MS Mincho"/>
          <w:kern w:val="0"/>
          <w:lang w:val="en-US"/>
          <w14:ligatures w14:val="none"/>
        </w:rPr>
        <w:t>Wingström</w:t>
      </w:r>
      <w:proofErr w:type="spellEnd"/>
      <w:r w:rsidRPr="005F66CE">
        <w:rPr>
          <w:rFonts w:eastAsia="MS Mincho"/>
          <w:kern w:val="0"/>
          <w:lang w:val="en-US"/>
          <w14:ligatures w14:val="none"/>
        </w:rPr>
        <w:t xml:space="preserve">, R., Hautala, J. and Lundman, R. (2022) ‘Redefining creativity in the era of AI? Perspectives of computer scientists and new media artists, Creativity Research Journal, 36, pp. 177–193. Available at: </w:t>
      </w:r>
      <w:hyperlink r:id="rId44" w:history="1">
        <w:r w:rsidRPr="005F66CE">
          <w:rPr>
            <w:rStyle w:val="Hyperlink"/>
            <w:rFonts w:eastAsia="MS Mincho"/>
            <w:color w:val="0563C1"/>
            <w:kern w:val="0"/>
            <w:lang w:val="en-US"/>
            <w14:ligatures w14:val="none"/>
          </w:rPr>
          <w:t>https://doi.org/10.1080/10400419.2022.2107850</w:t>
        </w:r>
      </w:hyperlink>
      <w:r w:rsidR="0017269F" w:rsidRPr="005F66CE">
        <w:t xml:space="preserve"> (Accessed: 27 March 2026).</w:t>
      </w:r>
    </w:p>
    <w:p w14:paraId="62F8C2E9" w14:textId="77777777" w:rsidR="009A730B" w:rsidRPr="005F66CE" w:rsidRDefault="009A730B" w:rsidP="009A730B">
      <w:pPr>
        <w:spacing w:after="80" w:line="264" w:lineRule="auto"/>
        <w:ind w:left="432" w:hanging="432"/>
        <w:rPr>
          <w:rFonts w:ascii="Arial" w:hAnsi="Arial"/>
        </w:rPr>
      </w:pPr>
    </w:p>
    <w:p w14:paraId="7C5A4B71" w14:textId="77777777" w:rsidR="009A730B" w:rsidRPr="005F66CE" w:rsidRDefault="009A730B" w:rsidP="009A730B">
      <w:pPr>
        <w:spacing w:after="80" w:line="264" w:lineRule="auto"/>
        <w:ind w:left="432" w:hanging="432"/>
        <w:rPr>
          <w:rFonts w:ascii="Arial" w:hAnsi="Arial"/>
        </w:rPr>
      </w:pPr>
    </w:p>
    <w:p w14:paraId="2F0D3659" w14:textId="77777777" w:rsidR="009A730B" w:rsidRPr="005F66CE" w:rsidRDefault="009A730B" w:rsidP="009A730B">
      <w:pPr>
        <w:spacing w:after="80" w:line="264" w:lineRule="auto"/>
        <w:ind w:left="432" w:hanging="432"/>
        <w:rPr>
          <w:rFonts w:ascii="Arial" w:hAnsi="Arial"/>
        </w:rPr>
      </w:pPr>
    </w:p>
    <w:p w14:paraId="28EAB765" w14:textId="77777777" w:rsidR="009A730B" w:rsidRDefault="009A730B" w:rsidP="009A730B">
      <w:pPr>
        <w:spacing w:after="80" w:line="264" w:lineRule="auto"/>
        <w:ind w:left="432" w:hanging="432"/>
        <w:rPr>
          <w:rFonts w:ascii="Arial" w:hAnsi="Arial"/>
          <w:sz w:val="20"/>
        </w:rPr>
      </w:pPr>
    </w:p>
    <w:p w14:paraId="4F8A66F8" w14:textId="77777777" w:rsidR="009A730B" w:rsidRDefault="009A730B" w:rsidP="009A730B">
      <w:pPr>
        <w:spacing w:after="80" w:line="264" w:lineRule="auto"/>
        <w:ind w:left="432" w:hanging="432"/>
        <w:rPr>
          <w:rFonts w:ascii="Arial" w:hAnsi="Arial"/>
          <w:sz w:val="20"/>
        </w:rPr>
      </w:pPr>
    </w:p>
    <w:p w14:paraId="6B779882" w14:textId="77777777" w:rsidR="009A730B" w:rsidRDefault="009A730B" w:rsidP="009A730B">
      <w:pPr>
        <w:spacing w:after="80" w:line="264" w:lineRule="auto"/>
      </w:pPr>
    </w:p>
    <w:p w14:paraId="5090D3BA" w14:textId="77777777" w:rsidR="005F66CE" w:rsidRDefault="00AA3777" w:rsidP="00AA3777">
      <w:pPr>
        <w:pStyle w:val="Heading1"/>
      </w:pPr>
      <w:r>
        <w:t xml:space="preserve">                                        </w:t>
      </w:r>
    </w:p>
    <w:p w14:paraId="2083DAAE" w14:textId="77777777" w:rsidR="005F66CE" w:rsidRDefault="005F66CE" w:rsidP="00AA3777">
      <w:pPr>
        <w:pStyle w:val="Heading1"/>
      </w:pPr>
    </w:p>
    <w:p w14:paraId="3F9D83A9" w14:textId="77777777" w:rsidR="005F66CE" w:rsidRDefault="005F66CE" w:rsidP="00AA3777">
      <w:pPr>
        <w:pStyle w:val="Heading1"/>
      </w:pPr>
    </w:p>
    <w:p w14:paraId="22C461B8" w14:textId="77777777" w:rsidR="005F66CE" w:rsidRDefault="005F66CE" w:rsidP="005F66CE"/>
    <w:p w14:paraId="1AE5C736" w14:textId="77777777" w:rsidR="005F66CE" w:rsidRDefault="005F66CE" w:rsidP="005F66CE"/>
    <w:p w14:paraId="30FAAC82" w14:textId="294D7090" w:rsidR="005F66CE" w:rsidRDefault="005F66CE" w:rsidP="005F66CE">
      <w:pPr>
        <w:pStyle w:val="Heading1"/>
      </w:pPr>
      <w:r>
        <w:lastRenderedPageBreak/>
        <w:t xml:space="preserve">                                                </w:t>
      </w:r>
      <w:bookmarkStart w:id="9" w:name="_Toc225779559"/>
      <w:r>
        <w:t>Appendix</w:t>
      </w:r>
      <w:bookmarkEnd w:id="9"/>
    </w:p>
    <w:p w14:paraId="0367F940" w14:textId="788A38F3" w:rsidR="0085517D" w:rsidRPr="0085517D" w:rsidRDefault="0085517D" w:rsidP="0085517D">
      <w:r>
        <w:rPr>
          <w:noProof/>
        </w:rPr>
        <w:drawing>
          <wp:inline distT="0" distB="0" distL="0" distR="0" wp14:anchorId="26D88FE7" wp14:editId="05333EFC">
            <wp:extent cx="5731510" cy="2760980"/>
            <wp:effectExtent l="0" t="0" r="2540" b="1270"/>
            <wp:docPr id="836474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474265" name="Picture 836474265"/>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760980"/>
                    </a:xfrm>
                    <a:prstGeom prst="rect">
                      <a:avLst/>
                    </a:prstGeom>
                  </pic:spPr>
                </pic:pic>
              </a:graphicData>
            </a:graphic>
          </wp:inline>
        </w:drawing>
      </w:r>
      <w:r>
        <w:rPr>
          <w:noProof/>
        </w:rPr>
        <w:drawing>
          <wp:inline distT="0" distB="0" distL="0" distR="0" wp14:anchorId="1CFD78B0" wp14:editId="6E1C68AF">
            <wp:extent cx="5731510" cy="3138170"/>
            <wp:effectExtent l="0" t="0" r="2540" b="5080"/>
            <wp:docPr id="18345542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554261" name="Picture 1834554261"/>
                    <pic:cNvPicPr/>
                  </pic:nvPicPr>
                  <pic:blipFill>
                    <a:blip r:embed="rId46">
                      <a:extLst>
                        <a:ext uri="{28A0092B-C50C-407E-A947-70E740481C1C}">
                          <a14:useLocalDpi xmlns:a14="http://schemas.microsoft.com/office/drawing/2010/main" val="0"/>
                        </a:ext>
                      </a:extLst>
                    </a:blip>
                    <a:stretch>
                      <a:fillRect/>
                    </a:stretch>
                  </pic:blipFill>
                  <pic:spPr>
                    <a:xfrm>
                      <a:off x="0" y="0"/>
                      <a:ext cx="5731510" cy="3138170"/>
                    </a:xfrm>
                    <a:prstGeom prst="rect">
                      <a:avLst/>
                    </a:prstGeom>
                  </pic:spPr>
                </pic:pic>
              </a:graphicData>
            </a:graphic>
          </wp:inline>
        </w:drawing>
      </w:r>
      <w:r>
        <w:rPr>
          <w:noProof/>
        </w:rPr>
        <w:lastRenderedPageBreak/>
        <w:drawing>
          <wp:inline distT="0" distB="0" distL="0" distR="0" wp14:anchorId="2366FD8E" wp14:editId="4E9750D1">
            <wp:extent cx="5731510" cy="3177540"/>
            <wp:effectExtent l="0" t="0" r="2540" b="3810"/>
            <wp:docPr id="2729977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997767" name="Picture 272997767"/>
                    <pic:cNvPicPr/>
                  </pic:nvPicPr>
                  <pic:blipFill>
                    <a:blip r:embed="rId47">
                      <a:extLst>
                        <a:ext uri="{28A0092B-C50C-407E-A947-70E740481C1C}">
                          <a14:useLocalDpi xmlns:a14="http://schemas.microsoft.com/office/drawing/2010/main" val="0"/>
                        </a:ext>
                      </a:extLst>
                    </a:blip>
                    <a:stretch>
                      <a:fillRect/>
                    </a:stretch>
                  </pic:blipFill>
                  <pic:spPr>
                    <a:xfrm>
                      <a:off x="0" y="0"/>
                      <a:ext cx="5731510" cy="3177540"/>
                    </a:xfrm>
                    <a:prstGeom prst="rect">
                      <a:avLst/>
                    </a:prstGeom>
                  </pic:spPr>
                </pic:pic>
              </a:graphicData>
            </a:graphic>
          </wp:inline>
        </w:drawing>
      </w:r>
      <w:r>
        <w:rPr>
          <w:noProof/>
        </w:rPr>
        <w:drawing>
          <wp:inline distT="0" distB="0" distL="0" distR="0" wp14:anchorId="3D8612A8" wp14:editId="250AEDA4">
            <wp:extent cx="5731510" cy="3135630"/>
            <wp:effectExtent l="0" t="0" r="2540" b="7620"/>
            <wp:docPr id="21130197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019799" name="Picture 2113019799"/>
                    <pic:cNvPicPr/>
                  </pic:nvPicPr>
                  <pic:blipFill>
                    <a:blip r:embed="rId48">
                      <a:extLst>
                        <a:ext uri="{28A0092B-C50C-407E-A947-70E740481C1C}">
                          <a14:useLocalDpi xmlns:a14="http://schemas.microsoft.com/office/drawing/2010/main" val="0"/>
                        </a:ext>
                      </a:extLst>
                    </a:blip>
                    <a:stretch>
                      <a:fillRect/>
                    </a:stretch>
                  </pic:blipFill>
                  <pic:spPr>
                    <a:xfrm>
                      <a:off x="0" y="0"/>
                      <a:ext cx="5731510" cy="3135630"/>
                    </a:xfrm>
                    <a:prstGeom prst="rect">
                      <a:avLst/>
                    </a:prstGeom>
                  </pic:spPr>
                </pic:pic>
              </a:graphicData>
            </a:graphic>
          </wp:inline>
        </w:drawing>
      </w:r>
      <w:r>
        <w:rPr>
          <w:noProof/>
        </w:rPr>
        <w:lastRenderedPageBreak/>
        <w:drawing>
          <wp:inline distT="0" distB="0" distL="0" distR="0" wp14:anchorId="41740C04" wp14:editId="7E87B304">
            <wp:extent cx="5731510" cy="3215005"/>
            <wp:effectExtent l="0" t="0" r="2540" b="4445"/>
            <wp:docPr id="1387213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21395" name="Picture 138721395"/>
                    <pic:cNvPicPr/>
                  </pic:nvPicPr>
                  <pic:blipFill>
                    <a:blip r:embed="rId49">
                      <a:extLst>
                        <a:ext uri="{28A0092B-C50C-407E-A947-70E740481C1C}">
                          <a14:useLocalDpi xmlns:a14="http://schemas.microsoft.com/office/drawing/2010/main" val="0"/>
                        </a:ext>
                      </a:extLst>
                    </a:blip>
                    <a:stretch>
                      <a:fillRect/>
                    </a:stretch>
                  </pic:blipFill>
                  <pic:spPr>
                    <a:xfrm>
                      <a:off x="0" y="0"/>
                      <a:ext cx="5731510" cy="3215005"/>
                    </a:xfrm>
                    <a:prstGeom prst="rect">
                      <a:avLst/>
                    </a:prstGeom>
                  </pic:spPr>
                </pic:pic>
              </a:graphicData>
            </a:graphic>
          </wp:inline>
        </w:drawing>
      </w:r>
      <w:r>
        <w:rPr>
          <w:noProof/>
        </w:rPr>
        <w:drawing>
          <wp:inline distT="0" distB="0" distL="0" distR="0" wp14:anchorId="57D059F3" wp14:editId="06B61345">
            <wp:extent cx="5731510" cy="2985135"/>
            <wp:effectExtent l="0" t="0" r="2540" b="5715"/>
            <wp:docPr id="15607803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780351" name="Picture 1560780351"/>
                    <pic:cNvPicPr/>
                  </pic:nvPicPr>
                  <pic:blipFill>
                    <a:blip r:embed="rId50">
                      <a:extLst>
                        <a:ext uri="{28A0092B-C50C-407E-A947-70E740481C1C}">
                          <a14:useLocalDpi xmlns:a14="http://schemas.microsoft.com/office/drawing/2010/main" val="0"/>
                        </a:ext>
                      </a:extLst>
                    </a:blip>
                    <a:stretch>
                      <a:fillRect/>
                    </a:stretch>
                  </pic:blipFill>
                  <pic:spPr>
                    <a:xfrm>
                      <a:off x="0" y="0"/>
                      <a:ext cx="5731510" cy="2985135"/>
                    </a:xfrm>
                    <a:prstGeom prst="rect">
                      <a:avLst/>
                    </a:prstGeom>
                  </pic:spPr>
                </pic:pic>
              </a:graphicData>
            </a:graphic>
          </wp:inline>
        </w:drawing>
      </w:r>
      <w:r>
        <w:rPr>
          <w:noProof/>
        </w:rPr>
        <w:lastRenderedPageBreak/>
        <w:drawing>
          <wp:inline distT="0" distB="0" distL="0" distR="0" wp14:anchorId="14F4953A" wp14:editId="3C5CCEA4">
            <wp:extent cx="5731510" cy="3575050"/>
            <wp:effectExtent l="0" t="0" r="2540" b="6350"/>
            <wp:docPr id="2587460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746055" name="Picture 258746055"/>
                    <pic:cNvPicPr/>
                  </pic:nvPicPr>
                  <pic:blipFill>
                    <a:blip r:embed="rId51">
                      <a:extLst>
                        <a:ext uri="{28A0092B-C50C-407E-A947-70E740481C1C}">
                          <a14:useLocalDpi xmlns:a14="http://schemas.microsoft.com/office/drawing/2010/main" val="0"/>
                        </a:ext>
                      </a:extLst>
                    </a:blip>
                    <a:stretch>
                      <a:fillRect/>
                    </a:stretch>
                  </pic:blipFill>
                  <pic:spPr>
                    <a:xfrm>
                      <a:off x="0" y="0"/>
                      <a:ext cx="5731510" cy="3575050"/>
                    </a:xfrm>
                    <a:prstGeom prst="rect">
                      <a:avLst/>
                    </a:prstGeom>
                  </pic:spPr>
                </pic:pic>
              </a:graphicData>
            </a:graphic>
          </wp:inline>
        </w:drawing>
      </w:r>
      <w:r>
        <w:rPr>
          <w:noProof/>
        </w:rPr>
        <w:drawing>
          <wp:inline distT="0" distB="0" distL="0" distR="0" wp14:anchorId="5382098E" wp14:editId="2227826A">
            <wp:extent cx="5731510" cy="3736975"/>
            <wp:effectExtent l="0" t="0" r="2540" b="0"/>
            <wp:docPr id="144400777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007773" name="Picture 1444007773"/>
                    <pic:cNvPicPr/>
                  </pic:nvPicPr>
                  <pic:blipFill>
                    <a:blip r:embed="rId52">
                      <a:extLst>
                        <a:ext uri="{28A0092B-C50C-407E-A947-70E740481C1C}">
                          <a14:useLocalDpi xmlns:a14="http://schemas.microsoft.com/office/drawing/2010/main" val="0"/>
                        </a:ext>
                      </a:extLst>
                    </a:blip>
                    <a:stretch>
                      <a:fillRect/>
                    </a:stretch>
                  </pic:blipFill>
                  <pic:spPr>
                    <a:xfrm>
                      <a:off x="0" y="0"/>
                      <a:ext cx="5731510" cy="3736975"/>
                    </a:xfrm>
                    <a:prstGeom prst="rect">
                      <a:avLst/>
                    </a:prstGeom>
                  </pic:spPr>
                </pic:pic>
              </a:graphicData>
            </a:graphic>
          </wp:inline>
        </w:drawing>
      </w:r>
      <w:r>
        <w:rPr>
          <w:noProof/>
        </w:rPr>
        <w:lastRenderedPageBreak/>
        <w:drawing>
          <wp:inline distT="0" distB="0" distL="0" distR="0" wp14:anchorId="16FA212A" wp14:editId="2F1BCC6A">
            <wp:extent cx="5731510" cy="3388360"/>
            <wp:effectExtent l="0" t="0" r="2540" b="2540"/>
            <wp:docPr id="24617369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173690" name="Picture 246173690"/>
                    <pic:cNvPicPr/>
                  </pic:nvPicPr>
                  <pic:blipFill>
                    <a:blip r:embed="rId53">
                      <a:extLst>
                        <a:ext uri="{28A0092B-C50C-407E-A947-70E740481C1C}">
                          <a14:useLocalDpi xmlns:a14="http://schemas.microsoft.com/office/drawing/2010/main" val="0"/>
                        </a:ext>
                      </a:extLst>
                    </a:blip>
                    <a:stretch>
                      <a:fillRect/>
                    </a:stretch>
                  </pic:blipFill>
                  <pic:spPr>
                    <a:xfrm>
                      <a:off x="0" y="0"/>
                      <a:ext cx="5731510" cy="3388360"/>
                    </a:xfrm>
                    <a:prstGeom prst="rect">
                      <a:avLst/>
                    </a:prstGeom>
                  </pic:spPr>
                </pic:pic>
              </a:graphicData>
            </a:graphic>
          </wp:inline>
        </w:drawing>
      </w:r>
      <w:r>
        <w:rPr>
          <w:noProof/>
        </w:rPr>
        <w:drawing>
          <wp:inline distT="0" distB="0" distL="0" distR="0" wp14:anchorId="5DFD50F3" wp14:editId="6E43871D">
            <wp:extent cx="5731510" cy="2823845"/>
            <wp:effectExtent l="0" t="0" r="2540" b="0"/>
            <wp:docPr id="134387508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875086" name="Picture 1343875086"/>
                    <pic:cNvPicPr/>
                  </pic:nvPicPr>
                  <pic:blipFill>
                    <a:blip r:embed="rId54">
                      <a:extLst>
                        <a:ext uri="{28A0092B-C50C-407E-A947-70E740481C1C}">
                          <a14:useLocalDpi xmlns:a14="http://schemas.microsoft.com/office/drawing/2010/main" val="0"/>
                        </a:ext>
                      </a:extLst>
                    </a:blip>
                    <a:stretch>
                      <a:fillRect/>
                    </a:stretch>
                  </pic:blipFill>
                  <pic:spPr>
                    <a:xfrm>
                      <a:off x="0" y="0"/>
                      <a:ext cx="5731510" cy="2823845"/>
                    </a:xfrm>
                    <a:prstGeom prst="rect">
                      <a:avLst/>
                    </a:prstGeom>
                  </pic:spPr>
                </pic:pic>
              </a:graphicData>
            </a:graphic>
          </wp:inline>
        </w:drawing>
      </w:r>
      <w:r>
        <w:rPr>
          <w:noProof/>
        </w:rPr>
        <w:lastRenderedPageBreak/>
        <w:drawing>
          <wp:inline distT="0" distB="0" distL="0" distR="0" wp14:anchorId="3B1000BB" wp14:editId="299DC256">
            <wp:extent cx="5731510" cy="3133090"/>
            <wp:effectExtent l="0" t="0" r="2540" b="0"/>
            <wp:docPr id="13838959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895925" name="Picture 1383895925"/>
                    <pic:cNvPicPr/>
                  </pic:nvPicPr>
                  <pic:blipFill>
                    <a:blip r:embed="rId55">
                      <a:extLst>
                        <a:ext uri="{28A0092B-C50C-407E-A947-70E740481C1C}">
                          <a14:useLocalDpi xmlns:a14="http://schemas.microsoft.com/office/drawing/2010/main" val="0"/>
                        </a:ext>
                      </a:extLst>
                    </a:blip>
                    <a:stretch>
                      <a:fillRect/>
                    </a:stretch>
                  </pic:blipFill>
                  <pic:spPr>
                    <a:xfrm>
                      <a:off x="0" y="0"/>
                      <a:ext cx="5731510" cy="3133090"/>
                    </a:xfrm>
                    <a:prstGeom prst="rect">
                      <a:avLst/>
                    </a:prstGeom>
                  </pic:spPr>
                </pic:pic>
              </a:graphicData>
            </a:graphic>
          </wp:inline>
        </w:drawing>
      </w:r>
      <w:r>
        <w:rPr>
          <w:noProof/>
        </w:rPr>
        <w:drawing>
          <wp:inline distT="0" distB="0" distL="0" distR="0" wp14:anchorId="73DCD3EA" wp14:editId="28D10F54">
            <wp:extent cx="5731510" cy="3109595"/>
            <wp:effectExtent l="0" t="0" r="2540" b="0"/>
            <wp:docPr id="114239905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399054" name="Picture 1142399054"/>
                    <pic:cNvPicPr/>
                  </pic:nvPicPr>
                  <pic:blipFill>
                    <a:blip r:embed="rId56">
                      <a:extLst>
                        <a:ext uri="{28A0092B-C50C-407E-A947-70E740481C1C}">
                          <a14:useLocalDpi xmlns:a14="http://schemas.microsoft.com/office/drawing/2010/main" val="0"/>
                        </a:ext>
                      </a:extLst>
                    </a:blip>
                    <a:stretch>
                      <a:fillRect/>
                    </a:stretch>
                  </pic:blipFill>
                  <pic:spPr>
                    <a:xfrm>
                      <a:off x="0" y="0"/>
                      <a:ext cx="5731510" cy="3109595"/>
                    </a:xfrm>
                    <a:prstGeom prst="rect">
                      <a:avLst/>
                    </a:prstGeom>
                  </pic:spPr>
                </pic:pic>
              </a:graphicData>
            </a:graphic>
          </wp:inline>
        </w:drawing>
      </w:r>
      <w:r>
        <w:rPr>
          <w:noProof/>
        </w:rPr>
        <w:lastRenderedPageBreak/>
        <w:drawing>
          <wp:inline distT="0" distB="0" distL="0" distR="0" wp14:anchorId="5B9067E1" wp14:editId="4C69EBAC">
            <wp:extent cx="5731510" cy="3098800"/>
            <wp:effectExtent l="0" t="0" r="2540" b="6350"/>
            <wp:docPr id="184918333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183332" name="Picture 1849183332"/>
                    <pic:cNvPicPr/>
                  </pic:nvPicPr>
                  <pic:blipFill>
                    <a:blip r:embed="rId57">
                      <a:extLst>
                        <a:ext uri="{28A0092B-C50C-407E-A947-70E740481C1C}">
                          <a14:useLocalDpi xmlns:a14="http://schemas.microsoft.com/office/drawing/2010/main" val="0"/>
                        </a:ext>
                      </a:extLst>
                    </a:blip>
                    <a:stretch>
                      <a:fillRect/>
                    </a:stretch>
                  </pic:blipFill>
                  <pic:spPr>
                    <a:xfrm>
                      <a:off x="0" y="0"/>
                      <a:ext cx="5731510" cy="3098800"/>
                    </a:xfrm>
                    <a:prstGeom prst="rect">
                      <a:avLst/>
                    </a:prstGeom>
                  </pic:spPr>
                </pic:pic>
              </a:graphicData>
            </a:graphic>
          </wp:inline>
        </w:drawing>
      </w:r>
      <w:r>
        <w:rPr>
          <w:noProof/>
        </w:rPr>
        <w:drawing>
          <wp:inline distT="0" distB="0" distL="0" distR="0" wp14:anchorId="69B7C912" wp14:editId="3E0FEACA">
            <wp:extent cx="5731510" cy="1298575"/>
            <wp:effectExtent l="0" t="0" r="2540" b="0"/>
            <wp:docPr id="74734455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344553" name="Picture 747344553"/>
                    <pic:cNvPicPr/>
                  </pic:nvPicPr>
                  <pic:blipFill>
                    <a:blip r:embed="rId58">
                      <a:extLst>
                        <a:ext uri="{28A0092B-C50C-407E-A947-70E740481C1C}">
                          <a14:useLocalDpi xmlns:a14="http://schemas.microsoft.com/office/drawing/2010/main" val="0"/>
                        </a:ext>
                      </a:extLst>
                    </a:blip>
                    <a:stretch>
                      <a:fillRect/>
                    </a:stretch>
                  </pic:blipFill>
                  <pic:spPr>
                    <a:xfrm>
                      <a:off x="0" y="0"/>
                      <a:ext cx="5731510" cy="1298575"/>
                    </a:xfrm>
                    <a:prstGeom prst="rect">
                      <a:avLst/>
                    </a:prstGeom>
                  </pic:spPr>
                </pic:pic>
              </a:graphicData>
            </a:graphic>
          </wp:inline>
        </w:drawing>
      </w:r>
      <w:r>
        <w:rPr>
          <w:noProof/>
        </w:rPr>
        <w:lastRenderedPageBreak/>
        <w:drawing>
          <wp:inline distT="0" distB="0" distL="0" distR="0" wp14:anchorId="0B6B420B" wp14:editId="4BDD2525">
            <wp:extent cx="5731510" cy="2554605"/>
            <wp:effectExtent l="0" t="0" r="2540" b="0"/>
            <wp:docPr id="202349658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496589" name="Picture 2023496589"/>
                    <pic:cNvPicPr/>
                  </pic:nvPicPr>
                  <pic:blipFill>
                    <a:blip r:embed="rId59">
                      <a:extLst>
                        <a:ext uri="{28A0092B-C50C-407E-A947-70E740481C1C}">
                          <a14:useLocalDpi xmlns:a14="http://schemas.microsoft.com/office/drawing/2010/main" val="0"/>
                        </a:ext>
                      </a:extLst>
                    </a:blip>
                    <a:stretch>
                      <a:fillRect/>
                    </a:stretch>
                  </pic:blipFill>
                  <pic:spPr>
                    <a:xfrm>
                      <a:off x="0" y="0"/>
                      <a:ext cx="5731510" cy="2554605"/>
                    </a:xfrm>
                    <a:prstGeom prst="rect">
                      <a:avLst/>
                    </a:prstGeom>
                  </pic:spPr>
                </pic:pic>
              </a:graphicData>
            </a:graphic>
          </wp:inline>
        </w:drawing>
      </w:r>
      <w:r>
        <w:rPr>
          <w:noProof/>
        </w:rPr>
        <w:drawing>
          <wp:inline distT="0" distB="0" distL="0" distR="0" wp14:anchorId="622B2985" wp14:editId="509B53C5">
            <wp:extent cx="5731510" cy="2614295"/>
            <wp:effectExtent l="0" t="0" r="2540" b="0"/>
            <wp:docPr id="108668994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689940" name="Picture 1086689940"/>
                    <pic:cNvPicPr/>
                  </pic:nvPicPr>
                  <pic:blipFill>
                    <a:blip r:embed="rId60">
                      <a:extLst>
                        <a:ext uri="{28A0092B-C50C-407E-A947-70E740481C1C}">
                          <a14:useLocalDpi xmlns:a14="http://schemas.microsoft.com/office/drawing/2010/main" val="0"/>
                        </a:ext>
                      </a:extLst>
                    </a:blip>
                    <a:stretch>
                      <a:fillRect/>
                    </a:stretch>
                  </pic:blipFill>
                  <pic:spPr>
                    <a:xfrm>
                      <a:off x="0" y="0"/>
                      <a:ext cx="5731510" cy="2614295"/>
                    </a:xfrm>
                    <a:prstGeom prst="rect">
                      <a:avLst/>
                    </a:prstGeom>
                  </pic:spPr>
                </pic:pic>
              </a:graphicData>
            </a:graphic>
          </wp:inline>
        </w:drawing>
      </w:r>
    </w:p>
    <w:p w14:paraId="46C61DD8" w14:textId="77777777" w:rsidR="005F66CE" w:rsidRPr="005F66CE" w:rsidRDefault="005F66CE" w:rsidP="005F66CE"/>
    <w:p w14:paraId="66229874" w14:textId="28EAA906" w:rsidR="009A730B" w:rsidRDefault="00AA3777" w:rsidP="00AA3777">
      <w:pPr>
        <w:pStyle w:val="Heading1"/>
      </w:pPr>
      <w:r>
        <w:t xml:space="preserve"> </w:t>
      </w:r>
    </w:p>
    <w:sectPr w:rsidR="009A730B">
      <w:head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2D6C6B" w14:textId="77777777" w:rsidR="00ED6033" w:rsidRDefault="00ED6033" w:rsidP="004466C7">
      <w:pPr>
        <w:spacing w:after="0" w:line="240" w:lineRule="auto"/>
      </w:pPr>
      <w:r>
        <w:separator/>
      </w:r>
    </w:p>
  </w:endnote>
  <w:endnote w:type="continuationSeparator" w:id="0">
    <w:p w14:paraId="651F17B5" w14:textId="77777777" w:rsidR="00ED6033" w:rsidRDefault="00ED6033" w:rsidP="004466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936902" w14:textId="77777777" w:rsidR="00ED6033" w:rsidRDefault="00ED6033" w:rsidP="004466C7">
      <w:pPr>
        <w:spacing w:after="0" w:line="240" w:lineRule="auto"/>
      </w:pPr>
      <w:r>
        <w:separator/>
      </w:r>
    </w:p>
  </w:footnote>
  <w:footnote w:type="continuationSeparator" w:id="0">
    <w:p w14:paraId="77C16BFE" w14:textId="77777777" w:rsidR="00ED6033" w:rsidRDefault="00ED6033" w:rsidP="004466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3CFB73" w14:textId="374A180A" w:rsidR="0070769A" w:rsidRDefault="0070769A">
    <w:pPr>
      <w:pStyle w:val="Header"/>
    </w:pPr>
    <w:r>
      <w:rPr>
        <w:noProof/>
      </w:rPr>
      <w:drawing>
        <wp:inline distT="0" distB="0" distL="0" distR="0" wp14:anchorId="491F5FEB" wp14:editId="1C64F61F">
          <wp:extent cx="716648" cy="320040"/>
          <wp:effectExtent l="0" t="0" r="7620" b="3810"/>
          <wp:docPr id="209915550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18892" cy="321042"/>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E740A"/>
    <w:multiLevelType w:val="hybridMultilevel"/>
    <w:tmpl w:val="1B107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212FAC"/>
    <w:multiLevelType w:val="hybridMultilevel"/>
    <w:tmpl w:val="8BCCB230"/>
    <w:lvl w:ilvl="0" w:tplc="A18E6524">
      <w:start w:val="1"/>
      <w:numFmt w:val="decimal"/>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5F6A08"/>
    <w:multiLevelType w:val="hybridMultilevel"/>
    <w:tmpl w:val="6596A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3429701">
    <w:abstractNumId w:val="0"/>
  </w:num>
  <w:num w:numId="2" w16cid:durableId="691954009">
    <w:abstractNumId w:val="1"/>
  </w:num>
  <w:num w:numId="3" w16cid:durableId="637284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E19"/>
    <w:rsid w:val="00033006"/>
    <w:rsid w:val="0010230C"/>
    <w:rsid w:val="00113AD1"/>
    <w:rsid w:val="0015150F"/>
    <w:rsid w:val="0017269F"/>
    <w:rsid w:val="001B7A6B"/>
    <w:rsid w:val="002540DF"/>
    <w:rsid w:val="002A7C7C"/>
    <w:rsid w:val="002E131F"/>
    <w:rsid w:val="00312373"/>
    <w:rsid w:val="00335B88"/>
    <w:rsid w:val="00341045"/>
    <w:rsid w:val="003C460D"/>
    <w:rsid w:val="003F2A40"/>
    <w:rsid w:val="004466C7"/>
    <w:rsid w:val="00465C55"/>
    <w:rsid w:val="0047748B"/>
    <w:rsid w:val="00522150"/>
    <w:rsid w:val="005568DB"/>
    <w:rsid w:val="00566110"/>
    <w:rsid w:val="005770B3"/>
    <w:rsid w:val="00585060"/>
    <w:rsid w:val="005861C0"/>
    <w:rsid w:val="00593135"/>
    <w:rsid w:val="00595A0F"/>
    <w:rsid w:val="005A7F28"/>
    <w:rsid w:val="005F66CE"/>
    <w:rsid w:val="00617350"/>
    <w:rsid w:val="00625F50"/>
    <w:rsid w:val="00626FE4"/>
    <w:rsid w:val="0064460A"/>
    <w:rsid w:val="00670211"/>
    <w:rsid w:val="006920BB"/>
    <w:rsid w:val="006B710A"/>
    <w:rsid w:val="0070769A"/>
    <w:rsid w:val="0072135B"/>
    <w:rsid w:val="007226B4"/>
    <w:rsid w:val="00754662"/>
    <w:rsid w:val="00775752"/>
    <w:rsid w:val="007A0869"/>
    <w:rsid w:val="007D23B2"/>
    <w:rsid w:val="007E33BC"/>
    <w:rsid w:val="00801FD2"/>
    <w:rsid w:val="0082731B"/>
    <w:rsid w:val="0085517D"/>
    <w:rsid w:val="00877931"/>
    <w:rsid w:val="008878CA"/>
    <w:rsid w:val="008A7355"/>
    <w:rsid w:val="008D7339"/>
    <w:rsid w:val="00911F6B"/>
    <w:rsid w:val="00912ED8"/>
    <w:rsid w:val="00951E82"/>
    <w:rsid w:val="009751B1"/>
    <w:rsid w:val="009A730B"/>
    <w:rsid w:val="009B3B05"/>
    <w:rsid w:val="009D465A"/>
    <w:rsid w:val="00A2198E"/>
    <w:rsid w:val="00A231AE"/>
    <w:rsid w:val="00A475BB"/>
    <w:rsid w:val="00AA3777"/>
    <w:rsid w:val="00AC09A4"/>
    <w:rsid w:val="00AE6F78"/>
    <w:rsid w:val="00AF4E19"/>
    <w:rsid w:val="00B21FAE"/>
    <w:rsid w:val="00B37069"/>
    <w:rsid w:val="00B55372"/>
    <w:rsid w:val="00B759DF"/>
    <w:rsid w:val="00B94281"/>
    <w:rsid w:val="00B9659A"/>
    <w:rsid w:val="00BD02A9"/>
    <w:rsid w:val="00C10AB7"/>
    <w:rsid w:val="00C3490D"/>
    <w:rsid w:val="00C92BA0"/>
    <w:rsid w:val="00CA6FC7"/>
    <w:rsid w:val="00CB47C4"/>
    <w:rsid w:val="00CF18CB"/>
    <w:rsid w:val="00D37115"/>
    <w:rsid w:val="00D67A32"/>
    <w:rsid w:val="00D739A4"/>
    <w:rsid w:val="00DA279B"/>
    <w:rsid w:val="00DD05DF"/>
    <w:rsid w:val="00DF200A"/>
    <w:rsid w:val="00E66BAA"/>
    <w:rsid w:val="00EA3719"/>
    <w:rsid w:val="00EA6C32"/>
    <w:rsid w:val="00ED6033"/>
    <w:rsid w:val="00ED67DD"/>
    <w:rsid w:val="00EE326E"/>
    <w:rsid w:val="00F90B33"/>
    <w:rsid w:val="00FB7742"/>
    <w:rsid w:val="00FE0AB2"/>
    <w:rsid w:val="00FF78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79BB60"/>
  <w15:chartTrackingRefBased/>
  <w15:docId w15:val="{14ED2BBB-51E5-4622-BAC7-A0A34B5D5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5BB"/>
    <w:pPr>
      <w:spacing w:line="276" w:lineRule="auto"/>
    </w:pPr>
    <w:rPr>
      <w:rFonts w:ascii="Aptos" w:eastAsia="Aptos" w:hAnsi="Aptos" w:cs="Times New Roman"/>
    </w:rPr>
  </w:style>
  <w:style w:type="paragraph" w:styleId="Heading1">
    <w:name w:val="heading 1"/>
    <w:basedOn w:val="Normal"/>
    <w:next w:val="Normal"/>
    <w:link w:val="Heading1Char"/>
    <w:uiPriority w:val="9"/>
    <w:qFormat/>
    <w:rsid w:val="00AF4E19"/>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4E19"/>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4E19"/>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4E19"/>
    <w:pPr>
      <w:keepNext/>
      <w:keepLines/>
      <w:spacing w:before="80" w:after="40" w:line="278" w:lineRule="auto"/>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F4E19"/>
    <w:pPr>
      <w:keepNext/>
      <w:keepLines/>
      <w:spacing w:before="80" w:after="40" w:line="278" w:lineRule="auto"/>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F4E19"/>
    <w:pPr>
      <w:keepNext/>
      <w:keepLines/>
      <w:spacing w:before="40" w:after="0" w:line="278"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F4E19"/>
    <w:pPr>
      <w:keepNext/>
      <w:keepLines/>
      <w:spacing w:before="40" w:after="0" w:line="278"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F4E19"/>
    <w:pPr>
      <w:keepNext/>
      <w:keepLines/>
      <w:spacing w:after="0" w:line="278"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F4E19"/>
    <w:pPr>
      <w:keepNext/>
      <w:keepLines/>
      <w:spacing w:after="0" w:line="278"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4E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4E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4E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4E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4E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4E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4E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4E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4E19"/>
    <w:rPr>
      <w:rFonts w:eastAsiaTheme="majorEastAsia" w:cstheme="majorBidi"/>
      <w:color w:val="272727" w:themeColor="text1" w:themeTint="D8"/>
    </w:rPr>
  </w:style>
  <w:style w:type="paragraph" w:styleId="Title">
    <w:name w:val="Title"/>
    <w:basedOn w:val="Normal"/>
    <w:next w:val="Normal"/>
    <w:link w:val="TitleChar"/>
    <w:uiPriority w:val="10"/>
    <w:qFormat/>
    <w:rsid w:val="00AF4E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4E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4E19"/>
    <w:pPr>
      <w:numPr>
        <w:ilvl w:val="1"/>
      </w:numPr>
      <w:spacing w:line="278"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4E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4E19"/>
    <w:pPr>
      <w:spacing w:before="160" w:line="278" w:lineRule="auto"/>
      <w:jc w:val="center"/>
    </w:pPr>
    <w:rPr>
      <w:rFonts w:asciiTheme="minorHAnsi" w:eastAsia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AF4E19"/>
    <w:rPr>
      <w:i/>
      <w:iCs/>
      <w:color w:val="404040" w:themeColor="text1" w:themeTint="BF"/>
    </w:rPr>
  </w:style>
  <w:style w:type="paragraph" w:styleId="ListParagraph">
    <w:name w:val="List Paragraph"/>
    <w:basedOn w:val="Normal"/>
    <w:uiPriority w:val="34"/>
    <w:qFormat/>
    <w:rsid w:val="00AF4E19"/>
    <w:pPr>
      <w:spacing w:line="278" w:lineRule="auto"/>
      <w:ind w:left="720"/>
      <w:contextualSpacing/>
    </w:pPr>
    <w:rPr>
      <w:rFonts w:asciiTheme="minorHAnsi" w:eastAsiaTheme="minorHAnsi" w:hAnsiTheme="minorHAnsi" w:cstheme="minorBidi"/>
    </w:rPr>
  </w:style>
  <w:style w:type="character" w:styleId="IntenseEmphasis">
    <w:name w:val="Intense Emphasis"/>
    <w:basedOn w:val="DefaultParagraphFont"/>
    <w:uiPriority w:val="21"/>
    <w:qFormat/>
    <w:rsid w:val="00AF4E19"/>
    <w:rPr>
      <w:i/>
      <w:iCs/>
      <w:color w:val="0F4761" w:themeColor="accent1" w:themeShade="BF"/>
    </w:rPr>
  </w:style>
  <w:style w:type="paragraph" w:styleId="IntenseQuote">
    <w:name w:val="Intense Quote"/>
    <w:basedOn w:val="Normal"/>
    <w:next w:val="Normal"/>
    <w:link w:val="IntenseQuoteChar"/>
    <w:uiPriority w:val="30"/>
    <w:qFormat/>
    <w:rsid w:val="00AF4E1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rPr>
  </w:style>
  <w:style w:type="character" w:customStyle="1" w:styleId="IntenseQuoteChar">
    <w:name w:val="Intense Quote Char"/>
    <w:basedOn w:val="DefaultParagraphFont"/>
    <w:link w:val="IntenseQuote"/>
    <w:uiPriority w:val="30"/>
    <w:rsid w:val="00AF4E19"/>
    <w:rPr>
      <w:i/>
      <w:iCs/>
      <w:color w:val="0F4761" w:themeColor="accent1" w:themeShade="BF"/>
    </w:rPr>
  </w:style>
  <w:style w:type="character" w:styleId="IntenseReference">
    <w:name w:val="Intense Reference"/>
    <w:basedOn w:val="DefaultParagraphFont"/>
    <w:uiPriority w:val="32"/>
    <w:qFormat/>
    <w:rsid w:val="00AF4E19"/>
    <w:rPr>
      <w:b/>
      <w:bCs/>
      <w:smallCaps/>
      <w:color w:val="0F4761" w:themeColor="accent1" w:themeShade="BF"/>
      <w:spacing w:val="5"/>
    </w:rPr>
  </w:style>
  <w:style w:type="paragraph" w:styleId="TOCHeading">
    <w:name w:val="TOC Heading"/>
    <w:basedOn w:val="Heading1"/>
    <w:next w:val="Normal"/>
    <w:uiPriority w:val="39"/>
    <w:unhideWhenUsed/>
    <w:qFormat/>
    <w:rsid w:val="0064460A"/>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9A730B"/>
    <w:rPr>
      <w:color w:val="0000FF"/>
      <w:u w:val="single"/>
    </w:rPr>
  </w:style>
  <w:style w:type="character" w:styleId="UnresolvedMention">
    <w:name w:val="Unresolved Mention"/>
    <w:basedOn w:val="DefaultParagraphFont"/>
    <w:uiPriority w:val="99"/>
    <w:semiHidden/>
    <w:unhideWhenUsed/>
    <w:rsid w:val="00465C55"/>
    <w:rPr>
      <w:color w:val="605E5C"/>
      <w:shd w:val="clear" w:color="auto" w:fill="E1DFDD"/>
    </w:rPr>
  </w:style>
  <w:style w:type="paragraph" w:styleId="TOC1">
    <w:name w:val="toc 1"/>
    <w:basedOn w:val="Normal"/>
    <w:next w:val="Normal"/>
    <w:autoRedefine/>
    <w:uiPriority w:val="39"/>
    <w:unhideWhenUsed/>
    <w:rsid w:val="0017269F"/>
    <w:pPr>
      <w:spacing w:after="100"/>
    </w:pPr>
  </w:style>
  <w:style w:type="paragraph" w:styleId="Header">
    <w:name w:val="header"/>
    <w:basedOn w:val="Normal"/>
    <w:link w:val="HeaderChar"/>
    <w:uiPriority w:val="99"/>
    <w:unhideWhenUsed/>
    <w:rsid w:val="004466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66C7"/>
    <w:rPr>
      <w:rFonts w:ascii="Aptos" w:eastAsia="Aptos" w:hAnsi="Aptos" w:cs="Times New Roman"/>
    </w:rPr>
  </w:style>
  <w:style w:type="paragraph" w:styleId="Footer">
    <w:name w:val="footer"/>
    <w:basedOn w:val="Normal"/>
    <w:link w:val="FooterChar"/>
    <w:uiPriority w:val="99"/>
    <w:unhideWhenUsed/>
    <w:rsid w:val="004466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66C7"/>
    <w:rPr>
      <w:rFonts w:ascii="Aptos" w:eastAsia="Aptos" w:hAnsi="Apto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pitalcoffee.co.uk/pages/free-loan-coffee-machines" TargetMode="External"/><Relationship Id="rId18" Type="http://schemas.openxmlformats.org/officeDocument/2006/relationships/hyperlink" Target="https://doi.org/10.1126/sciadv.adn5290" TargetMode="External"/><Relationship Id="rId26" Type="http://schemas.openxmlformats.org/officeDocument/2006/relationships/hyperlink" Target="https://doi.org/10.1016/j.lindif.2023.102274" TargetMode="External"/><Relationship Id="rId39" Type="http://schemas.openxmlformats.org/officeDocument/2006/relationships/hyperlink" Target="https://doi.org/10.1016/j.techsoc.2024.102619" TargetMode="External"/><Relationship Id="rId21" Type="http://schemas.openxmlformats.org/officeDocument/2006/relationships/hyperlink" Target="https://doi.org/10.1177/0149206316675927" TargetMode="External"/><Relationship Id="rId34" Type="http://schemas.openxmlformats.org/officeDocument/2006/relationships/hyperlink" Target="https://doi.org/10.1080/10400419.2012.650092" TargetMode="External"/><Relationship Id="rId42" Type="http://schemas.openxmlformats.org/officeDocument/2006/relationships/hyperlink" Target="https://unesdoc.unesco.org/ark:/48223/pf0000380455" TargetMode="External"/><Relationship Id="rId47" Type="http://schemas.openxmlformats.org/officeDocument/2006/relationships/image" Target="media/image4.png"/><Relationship Id="rId50" Type="http://schemas.openxmlformats.org/officeDocument/2006/relationships/image" Target="media/image7.png"/><Relationship Id="rId55" Type="http://schemas.openxmlformats.org/officeDocument/2006/relationships/image" Target="media/image12.png"/><Relationship Id="rId63"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80/02642060903576084" TargetMode="External"/><Relationship Id="rId29" Type="http://schemas.openxmlformats.org/officeDocument/2006/relationships/hyperlink" Target="https://doi.org/10.1177/0007650320982283" TargetMode="External"/><Relationship Id="rId11" Type="http://schemas.openxmlformats.org/officeDocument/2006/relationships/hyperlink" Target="https://doi.org/10.3389/feduc.2024.1463208" TargetMode="External"/><Relationship Id="rId24" Type="http://schemas.openxmlformats.org/officeDocument/2006/relationships/hyperlink" Target="https://doi.org/10.1111/j.1467-8691.2007.00415.x" TargetMode="External"/><Relationship Id="rId32" Type="http://schemas.openxmlformats.org/officeDocument/2006/relationships/hyperlink" Target="https://doi.org/10.1108/IJCHM-07-2016-0341" TargetMode="External"/><Relationship Id="rId37" Type="http://schemas.openxmlformats.org/officeDocument/2006/relationships/hyperlink" Target="https://doi.org/10.1016/j.lrp.2017.06.007" TargetMode="External"/><Relationship Id="rId40" Type="http://schemas.openxmlformats.org/officeDocument/2006/relationships/hyperlink" Target="https://doi.org/10.1007/s44163-024-00172-x" TargetMode="External"/><Relationship Id="rId45" Type="http://schemas.openxmlformats.org/officeDocument/2006/relationships/image" Target="media/image2.png"/><Relationship Id="rId53" Type="http://schemas.openxmlformats.org/officeDocument/2006/relationships/image" Target="media/image10.png"/><Relationship Id="rId58" Type="http://schemas.openxmlformats.org/officeDocument/2006/relationships/image" Target="media/image15.png"/><Relationship Id="rId5" Type="http://schemas.openxmlformats.org/officeDocument/2006/relationships/footnotes" Target="footnotes.xml"/><Relationship Id="rId61" Type="http://schemas.openxmlformats.org/officeDocument/2006/relationships/header" Target="header1.xml"/><Relationship Id="rId19" Type="http://schemas.openxmlformats.org/officeDocument/2006/relationships/hyperlink" Target="https://doi.org/10.1108/BFJ-11-2022-0982" TargetMode="External"/><Relationship Id="rId14" Type="http://schemas.openxmlformats.org/officeDocument/2006/relationships/hyperlink" Target="https://www.carbontrust.com/our-work-and-impact/guides-reports-and-tools/implementing-energy-efficiency-for-a-start-up" TargetMode="External"/><Relationship Id="rId22" Type="http://schemas.openxmlformats.org/officeDocument/2006/relationships/hyperlink" Target="https://www.gov.uk/find-licences/premises-licence" TargetMode="External"/><Relationship Id="rId27" Type="http://schemas.openxmlformats.org/officeDocument/2006/relationships/hyperlink" Target="https://doi.org/10.3390/su141710507" TargetMode="External"/><Relationship Id="rId30" Type="http://schemas.openxmlformats.org/officeDocument/2006/relationships/hyperlink" Target="https://doi.org/10.1177/001872674700100103" TargetMode="External"/><Relationship Id="rId35" Type="http://schemas.openxmlformats.org/officeDocument/2006/relationships/hyperlink" Target="https://doi.org/10.1057/s41599-024-02771-6" TargetMode="External"/><Relationship Id="rId43" Type="http://schemas.openxmlformats.org/officeDocument/2006/relationships/hyperlink" Target="https://unesdoc.unesco.org/ark:/48223/pf0000386693" TargetMode="External"/><Relationship Id="rId48" Type="http://schemas.openxmlformats.org/officeDocument/2006/relationships/image" Target="media/image5.png"/><Relationship Id="rId56" Type="http://schemas.openxmlformats.org/officeDocument/2006/relationships/image" Target="media/image13.png"/><Relationship Id="rId8" Type="http://schemas.openxmlformats.org/officeDocument/2006/relationships/hyperlink" Target="https://doi.org/10.1080/13683500.2014.934211" TargetMode="External"/><Relationship Id="rId51" Type="http://schemas.openxmlformats.org/officeDocument/2006/relationships/image" Target="media/image8.png"/><Relationship Id="rId3" Type="http://schemas.openxmlformats.org/officeDocument/2006/relationships/settings" Target="settings.xml"/><Relationship Id="rId12" Type="http://schemas.openxmlformats.org/officeDocument/2006/relationships/hyperlink" Target="https://doi.org/10.1145/3442188.3445922" TargetMode="External"/><Relationship Id="rId17" Type="http://schemas.openxmlformats.org/officeDocument/2006/relationships/hyperlink" Target="https://doi.org/10.1108/14601060810911156" TargetMode="External"/><Relationship Id="rId25" Type="http://schemas.openxmlformats.org/officeDocument/2006/relationships/hyperlink" Target="https://doi.org/10.1145/3377325.3377522" TargetMode="External"/><Relationship Id="rId33" Type="http://schemas.openxmlformats.org/officeDocument/2006/relationships/hyperlink" Target="https://doi.org/10.1016/j.ijme.2023.100857" TargetMode="External"/><Relationship Id="rId38" Type="http://schemas.openxmlformats.org/officeDocument/2006/relationships/hyperlink" Target="https://doi.org/10.1080/02642069.2013.740469" TargetMode="External"/><Relationship Id="rId46" Type="http://schemas.openxmlformats.org/officeDocument/2006/relationships/image" Target="media/image3.png"/><Relationship Id="rId59" Type="http://schemas.openxmlformats.org/officeDocument/2006/relationships/image" Target="media/image16.png"/><Relationship Id="rId20" Type="http://schemas.openxmlformats.org/officeDocument/2006/relationships/hyperlink" Target="https://doi.org/10.1016/j.ijinfomgt.2023.102642" TargetMode="External"/><Relationship Id="rId41" Type="http://schemas.openxmlformats.org/officeDocument/2006/relationships/hyperlink" Target="https://doi.org/10.1080/13683500.2023.2214849" TargetMode="External"/><Relationship Id="rId54" Type="http://schemas.openxmlformats.org/officeDocument/2006/relationships/image" Target="media/image11.png"/><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2196/53164" TargetMode="External"/><Relationship Id="rId23" Type="http://schemas.openxmlformats.org/officeDocument/2006/relationships/hyperlink" Target="https://doi.org/10.1108/LODJ-08-2018-0287" TargetMode="External"/><Relationship Id="rId28" Type="http://schemas.openxmlformats.org/officeDocument/2006/relationships/hyperlink" Target="https://doi.org/10.1108/IJCHM-07-2016-0392" TargetMode="External"/><Relationship Id="rId36" Type="http://schemas.openxmlformats.org/officeDocument/2006/relationships/hyperlink" Target="https://stormcoffeesupplies.co.uk/pages/leasing-rental-packages-for-coffee-machines-grinders-and-maintenance-contracts" TargetMode="External"/><Relationship Id="rId49" Type="http://schemas.openxmlformats.org/officeDocument/2006/relationships/image" Target="media/image6.png"/><Relationship Id="rId57" Type="http://schemas.openxmlformats.org/officeDocument/2006/relationships/image" Target="media/image14.png"/><Relationship Id="rId10" Type="http://schemas.openxmlformats.org/officeDocument/2006/relationships/hyperlink" Target="https://doi.org/10.1177/0149206314527128" TargetMode="External"/><Relationship Id="rId31" Type="http://schemas.openxmlformats.org/officeDocument/2006/relationships/hyperlink" Target="https://doi.org/10.1108/14601060310456337" TargetMode="External"/><Relationship Id="rId44" Type="http://schemas.openxmlformats.org/officeDocument/2006/relationships/hyperlink" Target="https://doi.org/10.1080/10400419.2022.2107850" TargetMode="External"/><Relationship Id="rId52" Type="http://schemas.openxmlformats.org/officeDocument/2006/relationships/image" Target="media/image9.png"/><Relationship Id="rId60" Type="http://schemas.openxmlformats.org/officeDocument/2006/relationships/image" Target="media/image17.png"/><Relationship Id="rId4" Type="http://schemas.openxmlformats.org/officeDocument/2006/relationships/webSettings" Target="webSettings.xml"/><Relationship Id="rId9" Type="http://schemas.openxmlformats.org/officeDocument/2006/relationships/hyperlink" Target="https://doi.org/10.1016/j.riob.2016.10.001"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TotalTime>
  <Pages>1</Pages>
  <Words>5794</Words>
  <Characters>33032</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Constantin Tanasa</cp:lastModifiedBy>
  <cp:revision>5</cp:revision>
  <dcterms:created xsi:type="dcterms:W3CDTF">2026-03-30T15:29:00Z</dcterms:created>
  <dcterms:modified xsi:type="dcterms:W3CDTF">2026-03-31T17:34:00Z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ab68f6fb-bfdf-4e5e-a130-1bf9c35a43d7</vt:lpwstr>
  </property>
</Properties>
</file>