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CE6E2" w14:textId="25E8509C" w:rsidR="005D2DE2" w:rsidRPr="00320B6B" w:rsidRDefault="005D2DE2" w:rsidP="005D2DE2">
      <w:pPr>
        <w:spacing w:line="480" w:lineRule="auto"/>
        <w:jc w:val="both"/>
        <w:rPr>
          <w:rFonts w:ascii="Calibri" w:hAnsi="Calibri" w:cs="Calibri"/>
        </w:rPr>
      </w:pPr>
      <w:r>
        <w:rPr>
          <w:rFonts w:ascii="Calibri" w:hAnsi="Calibri" w:cs="Calibri"/>
        </w:rPr>
        <w:t>Reaction to t</w:t>
      </w:r>
      <w:r w:rsidR="004403C6" w:rsidRPr="00320B6B">
        <w:rPr>
          <w:rFonts w:ascii="Calibri" w:hAnsi="Calibri" w:cs="Calibri"/>
        </w:rPr>
        <w:t>he Bezel of the Wisdom of Exaltation Exists in the Essence of Moses.</w:t>
      </w:r>
      <w:r>
        <w:rPr>
          <w:rFonts w:ascii="Calibri" w:hAnsi="Calibri" w:cs="Calibri"/>
        </w:rPr>
        <w:t xml:space="preserve"> </w:t>
      </w:r>
      <w:r w:rsidRPr="005D2DE2">
        <w:rPr>
          <w:rFonts w:ascii="Calibri" w:hAnsi="Calibri" w:cs="Calibri"/>
        </w:rPr>
        <w:t>Routledge (2015)</w:t>
      </w:r>
    </w:p>
    <w:p w14:paraId="5DED3D01" w14:textId="5C595A43" w:rsidR="004403C6" w:rsidRPr="00320B6B" w:rsidRDefault="004403C6" w:rsidP="00A0254D">
      <w:pPr>
        <w:pStyle w:val="Heading1"/>
        <w:rPr>
          <w:rFonts w:ascii="Calibri" w:hAnsi="Calibri" w:cs="Calibri"/>
          <w:sz w:val="24"/>
          <w:szCs w:val="24"/>
        </w:rPr>
      </w:pPr>
      <w:r w:rsidRPr="00320B6B">
        <w:rPr>
          <w:rFonts w:ascii="Calibri" w:hAnsi="Calibri" w:cs="Calibri"/>
          <w:sz w:val="24"/>
          <w:szCs w:val="24"/>
        </w:rPr>
        <w:t>Introduction</w:t>
      </w:r>
    </w:p>
    <w:p w14:paraId="1F5C8D91" w14:textId="7438EFED" w:rsidR="00470F4E" w:rsidRPr="00320B6B" w:rsidRDefault="004403C6" w:rsidP="00470F4E">
      <w:pPr>
        <w:spacing w:line="480" w:lineRule="auto"/>
        <w:jc w:val="both"/>
        <w:rPr>
          <w:rFonts w:ascii="Calibri" w:hAnsi="Calibri" w:cs="Calibri"/>
        </w:rPr>
      </w:pPr>
      <w:r w:rsidRPr="00320B6B">
        <w:rPr>
          <w:rFonts w:ascii="Calibri" w:hAnsi="Calibri" w:cs="Calibri"/>
        </w:rPr>
        <w:t xml:space="preserve">Quran 10:90 </w:t>
      </w:r>
      <w:r w:rsidR="00C623BA" w:rsidRPr="00320B6B">
        <w:rPr>
          <w:rFonts w:ascii="Calibri" w:hAnsi="Calibri" w:cs="Calibri"/>
        </w:rPr>
        <w:t>recalls Pharaoh’s final words</w:t>
      </w:r>
      <w:r w:rsidRPr="00320B6B">
        <w:rPr>
          <w:rFonts w:ascii="Calibri" w:hAnsi="Calibri" w:cs="Calibri"/>
        </w:rPr>
        <w:t xml:space="preserve"> before drowning:</w:t>
      </w:r>
      <w:r w:rsidR="00470F4E" w:rsidRPr="00320B6B">
        <w:rPr>
          <w:rFonts w:ascii="Calibri" w:hAnsi="Calibri" w:cs="Calibri"/>
        </w:rPr>
        <w:t xml:space="preserve"> “I believe that there is no God but Him in whom the Children of Israel believe, and I am of those who submit to God” (translation by Ernst, 2018, p.106). This verse has been the centre of discussion amongst Muslim scholars over the centuries, more so the topic regarding the faith of Pharaoh and its implication.</w:t>
      </w:r>
    </w:p>
    <w:p w14:paraId="4438E9F6" w14:textId="7024EC70" w:rsidR="00612D37" w:rsidRPr="00320B6B" w:rsidRDefault="0039485D" w:rsidP="00612D37">
      <w:pPr>
        <w:spacing w:line="480" w:lineRule="auto"/>
        <w:jc w:val="both"/>
        <w:rPr>
          <w:rFonts w:ascii="Calibri" w:hAnsi="Calibri" w:cs="Calibri"/>
          <w:color w:val="000000"/>
        </w:rPr>
      </w:pPr>
      <w:r w:rsidRPr="00320B6B">
        <w:rPr>
          <w:rFonts w:ascii="Calibri" w:hAnsi="Calibri" w:cs="Calibri"/>
        </w:rPr>
        <w:t>Quranic e</w:t>
      </w:r>
      <w:r w:rsidR="000274F7" w:rsidRPr="00320B6B">
        <w:rPr>
          <w:rFonts w:ascii="Calibri" w:hAnsi="Calibri" w:cs="Calibri"/>
        </w:rPr>
        <w:t xml:space="preserve">xegetists have generally assumed that Pharaoh was doomed to hell </w:t>
      </w:r>
      <w:r w:rsidR="00112BA1" w:rsidRPr="00320B6B">
        <w:rPr>
          <w:rFonts w:ascii="Calibri" w:hAnsi="Calibri" w:cs="Calibri"/>
        </w:rPr>
        <w:t>(</w:t>
      </w:r>
      <w:r w:rsidR="007D4E2C" w:rsidRPr="00320B6B">
        <w:rPr>
          <w:rFonts w:ascii="Calibri" w:hAnsi="Calibri" w:cs="Calibri"/>
        </w:rPr>
        <w:t>ibid,</w:t>
      </w:r>
      <w:r w:rsidR="00112BA1" w:rsidRPr="00320B6B">
        <w:rPr>
          <w:rFonts w:ascii="Calibri" w:hAnsi="Calibri" w:cs="Calibri"/>
        </w:rPr>
        <w:t xml:space="preserve"> p.106)</w:t>
      </w:r>
      <w:r w:rsidR="000274F7" w:rsidRPr="00320B6B">
        <w:rPr>
          <w:rFonts w:ascii="Calibri" w:hAnsi="Calibri" w:cs="Calibri"/>
        </w:rPr>
        <w:t>.</w:t>
      </w:r>
      <w:r w:rsidR="00612D37" w:rsidRPr="00320B6B">
        <w:rPr>
          <w:rFonts w:ascii="Calibri" w:hAnsi="Calibri" w:cs="Calibri"/>
        </w:rPr>
        <w:t xml:space="preserve"> </w:t>
      </w:r>
      <w:r w:rsidR="004C64CA" w:rsidRPr="00320B6B">
        <w:rPr>
          <w:rFonts w:ascii="Calibri" w:hAnsi="Calibri" w:cs="Calibri"/>
        </w:rPr>
        <w:t>Likewise</w:t>
      </w:r>
      <w:r w:rsidRPr="00320B6B">
        <w:rPr>
          <w:rFonts w:ascii="Calibri" w:hAnsi="Calibri" w:cs="Calibri"/>
        </w:rPr>
        <w:t>, m</w:t>
      </w:r>
      <w:r w:rsidR="00300A26" w:rsidRPr="00320B6B">
        <w:rPr>
          <w:rFonts w:ascii="Calibri" w:hAnsi="Calibri" w:cs="Calibri"/>
        </w:rPr>
        <w:t>ost Sufis from the earliest period were also in agreement with this assumption</w:t>
      </w:r>
      <w:r w:rsidR="00112BA1" w:rsidRPr="00320B6B">
        <w:rPr>
          <w:rFonts w:ascii="Calibri" w:hAnsi="Calibri" w:cs="Calibri"/>
        </w:rPr>
        <w:t xml:space="preserve"> </w:t>
      </w:r>
      <w:r w:rsidR="002F1134">
        <w:rPr>
          <w:rFonts w:ascii="Calibri" w:hAnsi="Calibri" w:cs="Calibri"/>
        </w:rPr>
        <w:t xml:space="preserve">with unease </w:t>
      </w:r>
      <w:r w:rsidR="00112BA1" w:rsidRPr="00320B6B">
        <w:rPr>
          <w:rFonts w:ascii="Calibri" w:hAnsi="Calibri" w:cs="Calibri"/>
        </w:rPr>
        <w:t>(Ormsby, 2004, p.13)</w:t>
      </w:r>
      <w:r w:rsidR="00300A26" w:rsidRPr="00320B6B">
        <w:rPr>
          <w:rFonts w:ascii="Calibri" w:hAnsi="Calibri" w:cs="Calibri"/>
          <w:color w:val="000000"/>
        </w:rPr>
        <w:t xml:space="preserve">. </w:t>
      </w:r>
      <w:r w:rsidR="006C2F60" w:rsidRPr="00320B6B">
        <w:rPr>
          <w:rFonts w:ascii="Calibri" w:hAnsi="Calibri" w:cs="Calibri"/>
        </w:rPr>
        <w:t xml:space="preserve">However, </w:t>
      </w:r>
      <w:r w:rsidR="00300A26" w:rsidRPr="00320B6B">
        <w:rPr>
          <w:rFonts w:ascii="Calibri" w:hAnsi="Calibri" w:cs="Calibri"/>
        </w:rPr>
        <w:t>this understanding shifted amongst</w:t>
      </w:r>
      <w:r w:rsidR="00D17566" w:rsidRPr="00320B6B">
        <w:rPr>
          <w:rFonts w:ascii="Calibri" w:hAnsi="Calibri" w:cs="Calibri"/>
        </w:rPr>
        <w:t xml:space="preserve"> some</w:t>
      </w:r>
      <w:r w:rsidR="00300A26" w:rsidRPr="00320B6B">
        <w:rPr>
          <w:rFonts w:ascii="Calibri" w:hAnsi="Calibri" w:cs="Calibri"/>
        </w:rPr>
        <w:t xml:space="preserve"> Sufi circles after the analysis of Ibn al-Arabi (d.1240)</w:t>
      </w:r>
      <w:r w:rsidR="00D25E15" w:rsidRPr="00320B6B">
        <w:rPr>
          <w:rFonts w:ascii="Calibri" w:hAnsi="Calibri" w:cs="Calibri"/>
        </w:rPr>
        <w:t xml:space="preserve"> (</w:t>
      </w:r>
      <w:r w:rsidR="00300A26" w:rsidRPr="00320B6B">
        <w:rPr>
          <w:rFonts w:ascii="Calibri" w:hAnsi="Calibri" w:cs="Calibri"/>
        </w:rPr>
        <w:t>Ernst</w:t>
      </w:r>
      <w:r w:rsidR="00D25E15" w:rsidRPr="00320B6B">
        <w:rPr>
          <w:rFonts w:ascii="Calibri" w:hAnsi="Calibri" w:cs="Calibri"/>
        </w:rPr>
        <w:t>,</w:t>
      </w:r>
      <w:r w:rsidR="00300A26" w:rsidRPr="00320B6B">
        <w:rPr>
          <w:rFonts w:ascii="Calibri" w:hAnsi="Calibri" w:cs="Calibri"/>
        </w:rPr>
        <w:t xml:space="preserve"> 2018,</w:t>
      </w:r>
      <w:r w:rsidR="00D25E15" w:rsidRPr="00320B6B">
        <w:rPr>
          <w:rFonts w:ascii="Calibri" w:hAnsi="Calibri" w:cs="Calibri"/>
        </w:rPr>
        <w:t xml:space="preserve"> p.107)</w:t>
      </w:r>
      <w:r w:rsidR="00300A26" w:rsidRPr="00320B6B">
        <w:rPr>
          <w:rFonts w:ascii="Calibri" w:hAnsi="Calibri" w:cs="Calibri"/>
        </w:rPr>
        <w:t>.</w:t>
      </w:r>
      <w:r w:rsidR="00470F4E" w:rsidRPr="00320B6B">
        <w:rPr>
          <w:rFonts w:ascii="Calibri" w:hAnsi="Calibri" w:cs="Calibri"/>
        </w:rPr>
        <w:t xml:space="preserve"> </w:t>
      </w:r>
      <w:r w:rsidR="00612D37" w:rsidRPr="00320B6B">
        <w:rPr>
          <w:rFonts w:ascii="Calibri" w:hAnsi="Calibri" w:cs="Calibri"/>
        </w:rPr>
        <w:t xml:space="preserve">Combining two verses of the Quran, 26:5 and 10:98, Ibn al-Arabi assumes that the declaration of faith, </w:t>
      </w:r>
      <w:r w:rsidR="002F1134">
        <w:rPr>
          <w:rFonts w:ascii="Calibri" w:hAnsi="Calibri" w:cs="Calibri"/>
        </w:rPr>
        <w:t xml:space="preserve">even </w:t>
      </w:r>
      <w:r w:rsidR="00612D37" w:rsidRPr="00320B6B">
        <w:rPr>
          <w:rFonts w:ascii="Calibri" w:hAnsi="Calibri" w:cs="Calibri"/>
        </w:rPr>
        <w:t xml:space="preserve">after </w:t>
      </w:r>
      <w:r w:rsidR="002F1134">
        <w:rPr>
          <w:rFonts w:ascii="Calibri" w:hAnsi="Calibri" w:cs="Calibri"/>
        </w:rPr>
        <w:t xml:space="preserve">having </w:t>
      </w:r>
      <w:r w:rsidR="00612D37" w:rsidRPr="00320B6B">
        <w:rPr>
          <w:rFonts w:ascii="Calibri" w:hAnsi="Calibri" w:cs="Calibri"/>
        </w:rPr>
        <w:t>see</w:t>
      </w:r>
      <w:r w:rsidR="002F1134">
        <w:rPr>
          <w:rFonts w:ascii="Calibri" w:hAnsi="Calibri" w:cs="Calibri"/>
        </w:rPr>
        <w:t>n</w:t>
      </w:r>
      <w:r w:rsidR="00612D37" w:rsidRPr="00320B6B">
        <w:rPr>
          <w:rFonts w:ascii="Calibri" w:hAnsi="Calibri" w:cs="Calibri"/>
        </w:rPr>
        <w:t xml:space="preserve"> the punishment of God whilst being uncertain of death, will be valid resulting in salvation from the punishment of the afterlife (al-Arabi, 2015, p.168)</w:t>
      </w:r>
      <w:r w:rsidR="00612D37" w:rsidRPr="00320B6B">
        <w:rPr>
          <w:rFonts w:ascii="Calibri" w:hAnsi="Calibri" w:cs="Calibri"/>
          <w:color w:val="000000"/>
        </w:rPr>
        <w:t xml:space="preserve">. In line with this, Ibn al-Arabi holds the view that one such person who has achieved this salvation is Pharaoh, who had professed </w:t>
      </w:r>
      <w:r w:rsidR="002F1134">
        <w:rPr>
          <w:rFonts w:ascii="Calibri" w:hAnsi="Calibri" w:cs="Calibri"/>
          <w:color w:val="000000"/>
        </w:rPr>
        <w:t xml:space="preserve">his </w:t>
      </w:r>
      <w:r w:rsidR="00612D37" w:rsidRPr="00320B6B">
        <w:rPr>
          <w:rFonts w:ascii="Calibri" w:hAnsi="Calibri" w:cs="Calibri"/>
          <w:color w:val="000000"/>
        </w:rPr>
        <w:t xml:space="preserve">faith before he was certain of his death (ibid). According to Ernst (2018, p.108), this </w:t>
      </w:r>
      <w:r w:rsidR="002F1134">
        <w:rPr>
          <w:rFonts w:ascii="Calibri" w:hAnsi="Calibri" w:cs="Calibri"/>
          <w:color w:val="000000"/>
        </w:rPr>
        <w:t>issue</w:t>
      </w:r>
      <w:r w:rsidR="00612D37" w:rsidRPr="00320B6B">
        <w:rPr>
          <w:rFonts w:ascii="Calibri" w:hAnsi="Calibri" w:cs="Calibri"/>
          <w:color w:val="000000"/>
        </w:rPr>
        <w:t xml:space="preserve"> is very much rooted in the topic of Quranic hermeneutics.</w:t>
      </w:r>
    </w:p>
    <w:p w14:paraId="14651B74" w14:textId="7B61CB24" w:rsidR="00470F4E" w:rsidRPr="00320B6B" w:rsidRDefault="00612D37" w:rsidP="00A0254D">
      <w:pPr>
        <w:spacing w:line="480" w:lineRule="auto"/>
        <w:jc w:val="both"/>
        <w:rPr>
          <w:rFonts w:ascii="Calibri" w:hAnsi="Calibri" w:cs="Calibri"/>
        </w:rPr>
      </w:pPr>
      <w:r w:rsidRPr="00320B6B">
        <w:rPr>
          <w:rFonts w:ascii="Calibri" w:hAnsi="Calibri" w:cs="Calibri"/>
          <w:color w:val="000000"/>
        </w:rPr>
        <w:t xml:space="preserve"> </w:t>
      </w:r>
      <w:r w:rsidR="00470F4E" w:rsidRPr="00320B6B">
        <w:rPr>
          <w:rFonts w:ascii="Calibri" w:hAnsi="Calibri" w:cs="Calibri"/>
        </w:rPr>
        <w:t xml:space="preserve">In this reaction paper, I will be evaluating Ibn Arabi’s </w:t>
      </w:r>
      <w:r w:rsidRPr="00320B6B">
        <w:rPr>
          <w:rFonts w:ascii="Calibri" w:hAnsi="Calibri" w:cs="Calibri"/>
        </w:rPr>
        <w:t xml:space="preserve">analysis of Pharaoh’s faith considering </w:t>
      </w:r>
      <w:r w:rsidR="009365C0">
        <w:rPr>
          <w:rFonts w:ascii="Calibri" w:hAnsi="Calibri" w:cs="Calibri"/>
        </w:rPr>
        <w:t>the Sufi hermeneutical approach</w:t>
      </w:r>
      <w:r w:rsidR="00470F4E" w:rsidRPr="00320B6B">
        <w:rPr>
          <w:rFonts w:ascii="Calibri" w:hAnsi="Calibri" w:cs="Calibri"/>
        </w:rPr>
        <w:t>.</w:t>
      </w:r>
    </w:p>
    <w:p w14:paraId="2197B6AE" w14:textId="348CB0BD" w:rsidR="000274F7" w:rsidRPr="00320B6B" w:rsidRDefault="00470F4E" w:rsidP="00A0254D">
      <w:pPr>
        <w:pStyle w:val="Heading1"/>
        <w:rPr>
          <w:rFonts w:ascii="Calibri" w:hAnsi="Calibri" w:cs="Calibri"/>
          <w:sz w:val="24"/>
          <w:szCs w:val="24"/>
        </w:rPr>
      </w:pPr>
      <w:r w:rsidRPr="00320B6B">
        <w:rPr>
          <w:rFonts w:ascii="Calibri" w:hAnsi="Calibri" w:cs="Calibri"/>
          <w:sz w:val="24"/>
          <w:szCs w:val="24"/>
        </w:rPr>
        <w:t>Analysis</w:t>
      </w:r>
    </w:p>
    <w:p w14:paraId="6E66EAB5" w14:textId="73DA2E16" w:rsidR="00732607" w:rsidRDefault="00732607" w:rsidP="00732607">
      <w:pPr>
        <w:spacing w:line="480" w:lineRule="auto"/>
        <w:rPr>
          <w:rFonts w:ascii="Calibri" w:hAnsi="Calibri" w:cs="Calibri"/>
          <w:color w:val="000000"/>
        </w:rPr>
      </w:pPr>
      <w:r w:rsidRPr="00320B6B">
        <w:rPr>
          <w:rFonts w:ascii="Calibri" w:hAnsi="Calibri" w:cs="Calibri"/>
          <w:color w:val="000000"/>
        </w:rPr>
        <w:t xml:space="preserve">Much like traditional Quranic exegesis, Sufi hermeneutics </w:t>
      </w:r>
      <w:r w:rsidR="00690585">
        <w:rPr>
          <w:rFonts w:ascii="Calibri" w:hAnsi="Calibri" w:cs="Calibri"/>
          <w:color w:val="000000"/>
        </w:rPr>
        <w:t>is</w:t>
      </w:r>
      <w:r w:rsidRPr="00320B6B">
        <w:rPr>
          <w:rFonts w:ascii="Calibri" w:hAnsi="Calibri" w:cs="Calibri"/>
          <w:color w:val="000000"/>
        </w:rPr>
        <w:t xml:space="preserve"> rooted in the Quran and the Hadith literature (</w:t>
      </w:r>
      <w:proofErr w:type="spellStart"/>
      <w:r w:rsidRPr="00320B6B">
        <w:rPr>
          <w:rFonts w:ascii="Calibri" w:hAnsi="Calibri" w:cs="Calibri"/>
          <w:color w:val="000000"/>
        </w:rPr>
        <w:t>Taleb</w:t>
      </w:r>
      <w:proofErr w:type="spellEnd"/>
      <w:r w:rsidRPr="00320B6B">
        <w:rPr>
          <w:rFonts w:ascii="Calibri" w:hAnsi="Calibri" w:cs="Calibri"/>
          <w:color w:val="000000"/>
        </w:rPr>
        <w:t xml:space="preserve">, 2022, p.293). A central concept in Sufi hermeneutics is the infinite “scope and depth” of the Quranic meanings based on Q18:109 and Q31:27 (ibid). </w:t>
      </w:r>
      <w:r>
        <w:rPr>
          <w:rFonts w:ascii="Calibri" w:hAnsi="Calibri" w:cs="Calibri"/>
          <w:color w:val="000000"/>
        </w:rPr>
        <w:t>A</w:t>
      </w:r>
      <w:r w:rsidRPr="00320B6B">
        <w:rPr>
          <w:rFonts w:ascii="Calibri" w:hAnsi="Calibri" w:cs="Calibri"/>
          <w:color w:val="000000"/>
        </w:rPr>
        <w:t xml:space="preserve">ccording </w:t>
      </w:r>
      <w:r w:rsidRPr="00320B6B">
        <w:rPr>
          <w:rFonts w:ascii="Calibri" w:hAnsi="Calibri" w:cs="Calibri"/>
          <w:color w:val="000000"/>
        </w:rPr>
        <w:lastRenderedPageBreak/>
        <w:t xml:space="preserve">to Ibn al-Arabi, this includes divinely inspired esoteric meanings not </w:t>
      </w:r>
      <w:r w:rsidR="00690585">
        <w:rPr>
          <w:rFonts w:ascii="Calibri" w:hAnsi="Calibri" w:cs="Calibri"/>
          <w:color w:val="000000"/>
        </w:rPr>
        <w:t>explicitly</w:t>
      </w:r>
      <w:r w:rsidRPr="00320B6B">
        <w:rPr>
          <w:rFonts w:ascii="Calibri" w:hAnsi="Calibri" w:cs="Calibri"/>
          <w:color w:val="000000"/>
        </w:rPr>
        <w:t xml:space="preserve"> mentioned in the Quran, unveiled to select spiritual individuals </w:t>
      </w:r>
      <w:r w:rsidR="00F07983">
        <w:rPr>
          <w:rFonts w:ascii="Calibri" w:hAnsi="Calibri" w:cs="Calibri"/>
          <w:color w:val="000000"/>
        </w:rPr>
        <w:t>embedded</w:t>
      </w:r>
      <w:r w:rsidRPr="00320B6B">
        <w:rPr>
          <w:rFonts w:ascii="Calibri" w:hAnsi="Calibri" w:cs="Calibri"/>
          <w:color w:val="000000"/>
        </w:rPr>
        <w:t xml:space="preserve"> </w:t>
      </w:r>
      <w:r w:rsidR="00F07983">
        <w:rPr>
          <w:rFonts w:ascii="Calibri" w:hAnsi="Calibri" w:cs="Calibri"/>
          <w:color w:val="000000"/>
        </w:rPr>
        <w:t xml:space="preserve">in </w:t>
      </w:r>
      <w:r w:rsidRPr="00320B6B">
        <w:rPr>
          <w:rFonts w:ascii="Calibri" w:hAnsi="Calibri" w:cs="Calibri"/>
          <w:color w:val="000000"/>
        </w:rPr>
        <w:t>the literal words of the Quran (ibid, pp.295-296). The unveiled esoteric meanings are believed to be directly from God as opposed to the exoteric meanings of the Quran which is available to anyone with a proficient understanding of Arabic (ibid, p.296).</w:t>
      </w:r>
    </w:p>
    <w:p w14:paraId="2842BB8D" w14:textId="77777777" w:rsidR="00732607" w:rsidRPr="00320B6B" w:rsidRDefault="00732607" w:rsidP="00732607">
      <w:pPr>
        <w:spacing w:line="480" w:lineRule="auto"/>
        <w:rPr>
          <w:rFonts w:ascii="Calibri" w:hAnsi="Calibri" w:cs="Calibri"/>
          <w:color w:val="000000"/>
        </w:rPr>
      </w:pPr>
    </w:p>
    <w:p w14:paraId="17C957CA" w14:textId="0E0354A6" w:rsidR="00612D37" w:rsidRPr="00320B6B" w:rsidRDefault="00612D37" w:rsidP="00612D37">
      <w:pPr>
        <w:spacing w:line="480" w:lineRule="auto"/>
        <w:rPr>
          <w:rFonts w:ascii="Calibri" w:hAnsi="Calibri" w:cs="Calibri"/>
          <w:color w:val="000000"/>
        </w:rPr>
      </w:pPr>
      <w:r w:rsidRPr="00320B6B">
        <w:rPr>
          <w:rFonts w:ascii="Calibri" w:hAnsi="Calibri" w:cs="Calibri"/>
          <w:color w:val="000000"/>
        </w:rPr>
        <w:t xml:space="preserve">It is in the </w:t>
      </w:r>
      <w:proofErr w:type="spellStart"/>
      <w:r w:rsidRPr="00320B6B">
        <w:rPr>
          <w:rFonts w:ascii="Calibri" w:hAnsi="Calibri" w:cs="Calibri"/>
          <w:i/>
          <w:iCs/>
          <w:color w:val="000000"/>
        </w:rPr>
        <w:t>Fusus</w:t>
      </w:r>
      <w:proofErr w:type="spellEnd"/>
      <w:r w:rsidRPr="00320B6B">
        <w:rPr>
          <w:rFonts w:ascii="Calibri" w:hAnsi="Calibri" w:cs="Calibri"/>
          <w:i/>
          <w:iCs/>
          <w:color w:val="000000"/>
        </w:rPr>
        <w:t xml:space="preserve"> al-</w:t>
      </w:r>
      <w:proofErr w:type="spellStart"/>
      <w:r w:rsidRPr="00320B6B">
        <w:rPr>
          <w:rFonts w:ascii="Calibri" w:hAnsi="Calibri" w:cs="Calibri"/>
          <w:i/>
          <w:iCs/>
          <w:color w:val="000000"/>
        </w:rPr>
        <w:t>Hikam</w:t>
      </w:r>
      <w:proofErr w:type="spellEnd"/>
      <w:r w:rsidRPr="00320B6B">
        <w:rPr>
          <w:rFonts w:ascii="Calibri" w:hAnsi="Calibri" w:cs="Calibri"/>
          <w:i/>
          <w:iCs/>
          <w:color w:val="000000"/>
        </w:rPr>
        <w:t xml:space="preserve"> </w:t>
      </w:r>
      <w:r w:rsidRPr="00320B6B">
        <w:rPr>
          <w:rFonts w:ascii="Calibri" w:hAnsi="Calibri" w:cs="Calibri"/>
          <w:color w:val="000000"/>
        </w:rPr>
        <w:t xml:space="preserve">where Ibn al-Arabi explicitly </w:t>
      </w:r>
      <w:r w:rsidR="00732607">
        <w:rPr>
          <w:rFonts w:ascii="Calibri" w:hAnsi="Calibri" w:cs="Calibri"/>
          <w:color w:val="000000"/>
        </w:rPr>
        <w:t>mentions</w:t>
      </w:r>
      <w:r w:rsidRPr="00320B6B">
        <w:rPr>
          <w:rFonts w:ascii="Calibri" w:hAnsi="Calibri" w:cs="Calibri"/>
          <w:color w:val="000000"/>
        </w:rPr>
        <w:t xml:space="preserve"> the faith of Pharaoh (al-Arabi, 2015, (p.168) The </w:t>
      </w:r>
      <w:proofErr w:type="spellStart"/>
      <w:r w:rsidRPr="00320B6B">
        <w:rPr>
          <w:rFonts w:ascii="Calibri" w:hAnsi="Calibri" w:cs="Calibri"/>
          <w:i/>
          <w:iCs/>
          <w:color w:val="000000"/>
        </w:rPr>
        <w:t>Fusus</w:t>
      </w:r>
      <w:proofErr w:type="spellEnd"/>
      <w:r w:rsidRPr="00320B6B">
        <w:rPr>
          <w:rFonts w:ascii="Calibri" w:hAnsi="Calibri" w:cs="Calibri"/>
          <w:i/>
          <w:iCs/>
          <w:color w:val="000000"/>
        </w:rPr>
        <w:t xml:space="preserve"> </w:t>
      </w:r>
      <w:r w:rsidRPr="00320B6B">
        <w:rPr>
          <w:rFonts w:ascii="Calibri" w:hAnsi="Calibri" w:cs="Calibri"/>
          <w:color w:val="000000"/>
        </w:rPr>
        <w:t xml:space="preserve">was penned in the later years of </w:t>
      </w:r>
      <w:r w:rsidR="00732607">
        <w:rPr>
          <w:rFonts w:ascii="Calibri" w:hAnsi="Calibri" w:cs="Calibri"/>
          <w:color w:val="000000"/>
        </w:rPr>
        <w:t xml:space="preserve">Ibn al-Arabi’s life, </w:t>
      </w:r>
      <w:r w:rsidRPr="00320B6B">
        <w:rPr>
          <w:rFonts w:ascii="Calibri" w:hAnsi="Calibri" w:cs="Calibri"/>
          <w:color w:val="000000"/>
        </w:rPr>
        <w:t>in the</w:t>
      </w:r>
      <w:r w:rsidR="00732607">
        <w:rPr>
          <w:rFonts w:ascii="Calibri" w:hAnsi="Calibri" w:cs="Calibri"/>
          <w:color w:val="000000"/>
        </w:rPr>
        <w:t xml:space="preserve"> year</w:t>
      </w:r>
      <w:r w:rsidRPr="00320B6B">
        <w:rPr>
          <w:rFonts w:ascii="Calibri" w:hAnsi="Calibri" w:cs="Calibri"/>
          <w:color w:val="000000"/>
        </w:rPr>
        <w:t xml:space="preserve"> 1229, </w:t>
      </w:r>
      <w:r w:rsidR="00732607">
        <w:rPr>
          <w:rFonts w:ascii="Calibri" w:hAnsi="Calibri" w:cs="Calibri"/>
          <w:color w:val="000000"/>
        </w:rPr>
        <w:t>emanating</w:t>
      </w:r>
      <w:r w:rsidRPr="00320B6B">
        <w:rPr>
          <w:rFonts w:ascii="Calibri" w:hAnsi="Calibri" w:cs="Calibri"/>
          <w:color w:val="000000"/>
        </w:rPr>
        <w:t xml:space="preserve"> from a vision of the Prophet (Qureshi,2021, p.96). It is believed that the Prophet </w:t>
      </w:r>
      <w:r w:rsidR="00732607">
        <w:rPr>
          <w:rFonts w:ascii="Calibri" w:hAnsi="Calibri" w:cs="Calibri"/>
          <w:color w:val="000000"/>
        </w:rPr>
        <w:t xml:space="preserve">Muhammad </w:t>
      </w:r>
      <w:r w:rsidRPr="00320B6B">
        <w:rPr>
          <w:rFonts w:ascii="Calibri" w:hAnsi="Calibri" w:cs="Calibri"/>
          <w:color w:val="000000"/>
        </w:rPr>
        <w:t>had handed Ibn al-Arabi th</w:t>
      </w:r>
      <w:r w:rsidR="00732607">
        <w:rPr>
          <w:rFonts w:ascii="Calibri" w:hAnsi="Calibri" w:cs="Calibri"/>
          <w:color w:val="000000"/>
        </w:rPr>
        <w:t xml:space="preserve">e </w:t>
      </w:r>
      <w:proofErr w:type="spellStart"/>
      <w:r w:rsidR="00732607">
        <w:rPr>
          <w:rFonts w:ascii="Calibri" w:hAnsi="Calibri" w:cs="Calibri"/>
          <w:i/>
          <w:iCs/>
          <w:color w:val="000000"/>
        </w:rPr>
        <w:t>Fusus</w:t>
      </w:r>
      <w:proofErr w:type="spellEnd"/>
      <w:r w:rsidR="00732607">
        <w:rPr>
          <w:rFonts w:ascii="Calibri" w:hAnsi="Calibri" w:cs="Calibri"/>
          <w:color w:val="000000"/>
        </w:rPr>
        <w:t xml:space="preserve">, </w:t>
      </w:r>
      <w:r w:rsidRPr="00320B6B">
        <w:rPr>
          <w:rFonts w:ascii="Calibri" w:hAnsi="Calibri" w:cs="Calibri"/>
          <w:color w:val="000000"/>
        </w:rPr>
        <w:t>to spread its teaching amongst the people (ibid)</w:t>
      </w:r>
      <w:r w:rsidR="00233DA3">
        <w:rPr>
          <w:rFonts w:ascii="Calibri" w:hAnsi="Calibri" w:cs="Calibri"/>
          <w:color w:val="000000"/>
        </w:rPr>
        <w:t>.</w:t>
      </w:r>
      <w:r w:rsidRPr="00320B6B">
        <w:rPr>
          <w:rFonts w:ascii="Calibri" w:hAnsi="Calibri" w:cs="Calibri"/>
          <w:color w:val="000000"/>
        </w:rPr>
        <w:t xml:space="preserve"> </w:t>
      </w:r>
      <w:r w:rsidR="00233DA3">
        <w:rPr>
          <w:rFonts w:ascii="Calibri" w:hAnsi="Calibri" w:cs="Calibri"/>
          <w:color w:val="000000"/>
        </w:rPr>
        <w:t xml:space="preserve">For this reason, the </w:t>
      </w:r>
      <w:proofErr w:type="spellStart"/>
      <w:r w:rsidR="00233DA3">
        <w:rPr>
          <w:rFonts w:ascii="Calibri" w:hAnsi="Calibri" w:cs="Calibri"/>
          <w:i/>
          <w:iCs/>
          <w:color w:val="000000"/>
        </w:rPr>
        <w:t>Fusus</w:t>
      </w:r>
      <w:proofErr w:type="spellEnd"/>
      <w:r w:rsidR="00233DA3">
        <w:rPr>
          <w:rFonts w:ascii="Calibri" w:hAnsi="Calibri" w:cs="Calibri"/>
          <w:i/>
          <w:iCs/>
          <w:color w:val="000000"/>
        </w:rPr>
        <w:t xml:space="preserve"> </w:t>
      </w:r>
      <w:r w:rsidR="00233DA3">
        <w:rPr>
          <w:rFonts w:ascii="Calibri" w:hAnsi="Calibri" w:cs="Calibri"/>
          <w:color w:val="000000"/>
        </w:rPr>
        <w:t>is believed to be divinely inspired</w:t>
      </w:r>
      <w:r w:rsidRPr="00320B6B">
        <w:rPr>
          <w:rFonts w:ascii="Calibri" w:hAnsi="Calibri" w:cs="Calibri"/>
          <w:color w:val="000000"/>
        </w:rPr>
        <w:t xml:space="preserve">. The application of Ibn al-Arabi’s hermeneutical methodology of Islamic texts is very much evident in the </w:t>
      </w:r>
      <w:proofErr w:type="spellStart"/>
      <w:r w:rsidRPr="00320B6B">
        <w:rPr>
          <w:rFonts w:ascii="Calibri" w:hAnsi="Calibri" w:cs="Calibri"/>
          <w:i/>
          <w:iCs/>
          <w:color w:val="000000"/>
        </w:rPr>
        <w:t>Fusus</w:t>
      </w:r>
      <w:proofErr w:type="spellEnd"/>
      <w:r w:rsidRPr="00320B6B">
        <w:rPr>
          <w:rFonts w:ascii="Calibri" w:hAnsi="Calibri" w:cs="Calibri"/>
          <w:color w:val="000000"/>
        </w:rPr>
        <w:t xml:space="preserve"> (ibid). </w:t>
      </w:r>
    </w:p>
    <w:p w14:paraId="7C3A0B25" w14:textId="77777777" w:rsidR="00612D37" w:rsidRPr="00320B6B" w:rsidRDefault="00612D37" w:rsidP="00612D37">
      <w:pPr>
        <w:spacing w:line="480" w:lineRule="auto"/>
        <w:rPr>
          <w:rFonts w:ascii="Calibri" w:hAnsi="Calibri" w:cs="Calibri"/>
          <w:color w:val="000000"/>
        </w:rPr>
      </w:pPr>
    </w:p>
    <w:p w14:paraId="45431B63" w14:textId="3879CEED" w:rsidR="00612D37" w:rsidRPr="00320B6B" w:rsidRDefault="00612D37" w:rsidP="00612D37">
      <w:pPr>
        <w:spacing w:line="480" w:lineRule="auto"/>
        <w:jc w:val="both"/>
        <w:rPr>
          <w:rFonts w:ascii="Calibri" w:hAnsi="Calibri" w:cs="Calibri"/>
          <w:color w:val="000000"/>
        </w:rPr>
      </w:pPr>
      <w:r w:rsidRPr="00320B6B">
        <w:rPr>
          <w:rFonts w:ascii="Calibri" w:hAnsi="Calibri" w:cs="Calibri"/>
          <w:color w:val="000000"/>
        </w:rPr>
        <w:t>Nonetheless, th</w:t>
      </w:r>
      <w:r w:rsidR="00233DA3">
        <w:rPr>
          <w:rFonts w:ascii="Calibri" w:hAnsi="Calibri" w:cs="Calibri"/>
          <w:color w:val="000000"/>
        </w:rPr>
        <w:t>e</w:t>
      </w:r>
      <w:r w:rsidRPr="00320B6B">
        <w:rPr>
          <w:rFonts w:ascii="Calibri" w:hAnsi="Calibri" w:cs="Calibri"/>
          <w:color w:val="000000"/>
        </w:rPr>
        <w:t xml:space="preserve"> topic</w:t>
      </w:r>
      <w:r w:rsidR="00233DA3">
        <w:rPr>
          <w:rFonts w:ascii="Calibri" w:hAnsi="Calibri" w:cs="Calibri"/>
          <w:color w:val="000000"/>
        </w:rPr>
        <w:t xml:space="preserve"> of Pharaoh’s faith</w:t>
      </w:r>
      <w:r w:rsidRPr="00320B6B">
        <w:rPr>
          <w:rFonts w:ascii="Calibri" w:hAnsi="Calibri" w:cs="Calibri"/>
          <w:color w:val="000000"/>
        </w:rPr>
        <w:t xml:space="preserve"> has attracted many followers and critics to write in favour and against this issue (Ormsby, 2004, p.27-28). For example, </w:t>
      </w:r>
      <w:r w:rsidR="00FA127E" w:rsidRPr="00320B6B">
        <w:rPr>
          <w:rFonts w:ascii="Calibri" w:hAnsi="Calibri" w:cs="Calibri"/>
          <w:color w:val="000000"/>
        </w:rPr>
        <w:t>Abd al-Razzaq</w:t>
      </w:r>
      <w:r w:rsidR="000629EB" w:rsidRPr="00320B6B">
        <w:rPr>
          <w:rFonts w:ascii="Calibri" w:hAnsi="Calibri" w:cs="Calibri"/>
          <w:color w:val="000000"/>
        </w:rPr>
        <w:t xml:space="preserve"> al-</w:t>
      </w:r>
      <w:proofErr w:type="spellStart"/>
      <w:r w:rsidR="000629EB" w:rsidRPr="00320B6B">
        <w:rPr>
          <w:rFonts w:ascii="Calibri" w:hAnsi="Calibri" w:cs="Calibri"/>
          <w:color w:val="000000"/>
        </w:rPr>
        <w:t>Kashani</w:t>
      </w:r>
      <w:proofErr w:type="spellEnd"/>
      <w:r w:rsidR="000629EB" w:rsidRPr="00320B6B">
        <w:rPr>
          <w:rFonts w:ascii="Calibri" w:hAnsi="Calibri" w:cs="Calibri"/>
          <w:color w:val="000000"/>
        </w:rPr>
        <w:t xml:space="preserve"> (d.1330)</w:t>
      </w:r>
      <w:r w:rsidRPr="00320B6B">
        <w:rPr>
          <w:rFonts w:ascii="Calibri" w:hAnsi="Calibri" w:cs="Calibri"/>
          <w:color w:val="000000"/>
        </w:rPr>
        <w:t xml:space="preserve"> has championed </w:t>
      </w:r>
      <w:r w:rsidR="00690585">
        <w:rPr>
          <w:rFonts w:ascii="Calibri" w:hAnsi="Calibri" w:cs="Calibri"/>
          <w:color w:val="000000"/>
        </w:rPr>
        <w:t>the</w:t>
      </w:r>
      <w:r w:rsidRPr="00320B6B">
        <w:rPr>
          <w:rFonts w:ascii="Calibri" w:hAnsi="Calibri" w:cs="Calibri"/>
          <w:color w:val="000000"/>
        </w:rPr>
        <w:t xml:space="preserve"> stance of Ibn al-Arabi</w:t>
      </w:r>
      <w:r w:rsidR="000629EB" w:rsidRPr="00320B6B">
        <w:rPr>
          <w:rFonts w:ascii="Calibri" w:hAnsi="Calibri" w:cs="Calibri"/>
          <w:color w:val="000000"/>
        </w:rPr>
        <w:t xml:space="preserve"> (</w:t>
      </w:r>
      <w:r w:rsidRPr="00320B6B">
        <w:rPr>
          <w:rFonts w:ascii="Calibri" w:hAnsi="Calibri" w:cs="Calibri"/>
          <w:color w:val="000000"/>
        </w:rPr>
        <w:t>ibid</w:t>
      </w:r>
      <w:r w:rsidR="000629EB" w:rsidRPr="00320B6B">
        <w:rPr>
          <w:rFonts w:ascii="Calibri" w:hAnsi="Calibri" w:cs="Calibri"/>
          <w:color w:val="000000"/>
        </w:rPr>
        <w:t xml:space="preserve">). </w:t>
      </w:r>
      <w:r w:rsidR="007A5596">
        <w:rPr>
          <w:rFonts w:ascii="Calibri" w:hAnsi="Calibri" w:cs="Calibri"/>
          <w:color w:val="000000"/>
        </w:rPr>
        <w:t>According to al-</w:t>
      </w:r>
      <w:proofErr w:type="spellStart"/>
      <w:r w:rsidR="007A5596">
        <w:rPr>
          <w:rFonts w:ascii="Calibri" w:hAnsi="Calibri" w:cs="Calibri"/>
          <w:color w:val="000000"/>
        </w:rPr>
        <w:t>Kashani</w:t>
      </w:r>
      <w:proofErr w:type="spellEnd"/>
      <w:r w:rsidR="00455DDF" w:rsidRPr="00320B6B">
        <w:rPr>
          <w:rFonts w:ascii="Calibri" w:hAnsi="Calibri" w:cs="Calibri"/>
          <w:color w:val="000000"/>
        </w:rPr>
        <w:t xml:space="preserve"> Pharaoh’s declaration simply saved him from “doctrinal defilement” (ibid</w:t>
      </w:r>
      <w:r w:rsidR="003E254A" w:rsidRPr="00320B6B">
        <w:rPr>
          <w:rFonts w:ascii="Calibri" w:hAnsi="Calibri" w:cs="Calibri"/>
          <w:color w:val="000000"/>
        </w:rPr>
        <w:t>, p.16</w:t>
      </w:r>
      <w:r w:rsidR="00455DDF" w:rsidRPr="00320B6B">
        <w:rPr>
          <w:rFonts w:ascii="Calibri" w:hAnsi="Calibri" w:cs="Calibri"/>
          <w:color w:val="000000"/>
        </w:rPr>
        <w:t>)</w:t>
      </w:r>
      <w:r w:rsidR="00306C5A" w:rsidRPr="00320B6B">
        <w:rPr>
          <w:rFonts w:ascii="Calibri" w:hAnsi="Calibri" w:cs="Calibri"/>
          <w:color w:val="000000"/>
        </w:rPr>
        <w:t xml:space="preserve"> and did not pardon him </w:t>
      </w:r>
      <w:r w:rsidR="00CF7EBF" w:rsidRPr="00320B6B">
        <w:rPr>
          <w:rFonts w:ascii="Calibri" w:hAnsi="Calibri" w:cs="Calibri"/>
          <w:color w:val="000000"/>
        </w:rPr>
        <w:t>for</w:t>
      </w:r>
      <w:r w:rsidR="00306C5A" w:rsidRPr="00320B6B">
        <w:rPr>
          <w:rFonts w:ascii="Calibri" w:hAnsi="Calibri" w:cs="Calibri"/>
          <w:color w:val="000000"/>
        </w:rPr>
        <w:t xml:space="preserve"> his sins</w:t>
      </w:r>
      <w:r w:rsidRPr="00320B6B">
        <w:rPr>
          <w:rFonts w:ascii="Calibri" w:hAnsi="Calibri" w:cs="Calibri"/>
          <w:color w:val="000000"/>
        </w:rPr>
        <w:t>,</w:t>
      </w:r>
      <w:r w:rsidR="00E370B7" w:rsidRPr="00320B6B">
        <w:rPr>
          <w:rFonts w:ascii="Calibri" w:hAnsi="Calibri" w:cs="Calibri"/>
          <w:color w:val="000000"/>
        </w:rPr>
        <w:t xml:space="preserve"> as advocated by Ibn al-Arabi</w:t>
      </w:r>
      <w:r w:rsidR="00306C5A" w:rsidRPr="00320B6B">
        <w:rPr>
          <w:rFonts w:ascii="Calibri" w:hAnsi="Calibri" w:cs="Calibri"/>
          <w:color w:val="000000"/>
        </w:rPr>
        <w:t xml:space="preserve">. Consequently, Pharaoh will be subjected to hell in the next life, </w:t>
      </w:r>
      <w:r w:rsidR="00E370B7" w:rsidRPr="00320B6B">
        <w:rPr>
          <w:rFonts w:ascii="Calibri" w:hAnsi="Calibri" w:cs="Calibri"/>
          <w:color w:val="000000"/>
        </w:rPr>
        <w:t>though</w:t>
      </w:r>
      <w:r w:rsidR="00306C5A" w:rsidRPr="00320B6B">
        <w:rPr>
          <w:rFonts w:ascii="Calibri" w:hAnsi="Calibri" w:cs="Calibri"/>
          <w:color w:val="000000"/>
        </w:rPr>
        <w:t xml:space="preserve"> his valid declaration of faith has saved him from eternal damnation in hell (ibid).</w:t>
      </w:r>
      <w:r w:rsidR="00E370B7" w:rsidRPr="00320B6B">
        <w:rPr>
          <w:rFonts w:ascii="Calibri" w:hAnsi="Calibri" w:cs="Calibri"/>
          <w:color w:val="000000"/>
        </w:rPr>
        <w:t xml:space="preserve"> </w:t>
      </w:r>
      <w:r w:rsidRPr="00320B6B">
        <w:rPr>
          <w:rFonts w:ascii="Calibri" w:hAnsi="Calibri" w:cs="Calibri"/>
          <w:color w:val="000000"/>
        </w:rPr>
        <w:t>This explanation of al-</w:t>
      </w:r>
      <w:proofErr w:type="spellStart"/>
      <w:r w:rsidRPr="00320B6B">
        <w:rPr>
          <w:rFonts w:ascii="Calibri" w:hAnsi="Calibri" w:cs="Calibri"/>
          <w:color w:val="000000"/>
        </w:rPr>
        <w:t>Kashani</w:t>
      </w:r>
      <w:proofErr w:type="spellEnd"/>
      <w:r w:rsidRPr="00320B6B">
        <w:rPr>
          <w:rFonts w:ascii="Calibri" w:hAnsi="Calibri" w:cs="Calibri"/>
          <w:color w:val="000000"/>
        </w:rPr>
        <w:t xml:space="preserve"> </w:t>
      </w:r>
      <w:r w:rsidR="007A5596">
        <w:rPr>
          <w:rFonts w:ascii="Calibri" w:hAnsi="Calibri" w:cs="Calibri"/>
          <w:color w:val="000000"/>
        </w:rPr>
        <w:t>appears to be</w:t>
      </w:r>
      <w:r w:rsidRPr="00320B6B">
        <w:rPr>
          <w:rFonts w:ascii="Calibri" w:hAnsi="Calibri" w:cs="Calibri"/>
          <w:color w:val="000000"/>
        </w:rPr>
        <w:t xml:space="preserve"> problematic as it is well known within the Islamic traditions that the profession of faith causes all previous sins to be pardoned. The declaration of faith for a new convert goes hand in hand with all previous sins being pardoned.</w:t>
      </w:r>
    </w:p>
    <w:p w14:paraId="4C940447" w14:textId="77777777" w:rsidR="00612D37" w:rsidRPr="00320B6B" w:rsidRDefault="00612D37" w:rsidP="00612D37">
      <w:pPr>
        <w:spacing w:line="480" w:lineRule="auto"/>
        <w:jc w:val="both"/>
        <w:rPr>
          <w:rFonts w:ascii="Calibri" w:hAnsi="Calibri" w:cs="Calibri"/>
          <w:color w:val="000000"/>
        </w:rPr>
      </w:pPr>
    </w:p>
    <w:p w14:paraId="294A9143" w14:textId="337D81F9" w:rsidR="009A0B10" w:rsidRPr="00320B6B" w:rsidRDefault="00612D37" w:rsidP="00612D37">
      <w:pPr>
        <w:spacing w:line="480" w:lineRule="auto"/>
        <w:jc w:val="both"/>
        <w:rPr>
          <w:rFonts w:ascii="Calibri" w:hAnsi="Calibri" w:cs="Calibri"/>
          <w:color w:val="000000"/>
        </w:rPr>
      </w:pPr>
      <w:r w:rsidRPr="00320B6B">
        <w:rPr>
          <w:rFonts w:ascii="Calibri" w:hAnsi="Calibri" w:cs="Calibri"/>
          <w:color w:val="000000"/>
        </w:rPr>
        <w:lastRenderedPageBreak/>
        <w:t xml:space="preserve">A critic of </w:t>
      </w:r>
      <w:r w:rsidR="007A5596">
        <w:rPr>
          <w:rFonts w:ascii="Calibri" w:hAnsi="Calibri" w:cs="Calibri"/>
          <w:color w:val="000000"/>
        </w:rPr>
        <w:t xml:space="preserve">Ibn al-Arabi’s </w:t>
      </w:r>
      <w:r w:rsidR="00690585">
        <w:rPr>
          <w:rFonts w:ascii="Calibri" w:hAnsi="Calibri" w:cs="Calibri"/>
          <w:color w:val="000000"/>
        </w:rPr>
        <w:t>view</w:t>
      </w:r>
      <w:r w:rsidRPr="00320B6B">
        <w:rPr>
          <w:rFonts w:ascii="Calibri" w:hAnsi="Calibri" w:cs="Calibri"/>
          <w:color w:val="000000"/>
        </w:rPr>
        <w:t xml:space="preserve"> </w:t>
      </w:r>
      <w:r w:rsidR="007A5596">
        <w:rPr>
          <w:rFonts w:ascii="Calibri" w:hAnsi="Calibri" w:cs="Calibri"/>
          <w:color w:val="000000"/>
        </w:rPr>
        <w:t>is</w:t>
      </w:r>
      <w:r w:rsidRPr="00320B6B">
        <w:rPr>
          <w:rFonts w:ascii="Calibri" w:hAnsi="Calibri" w:cs="Calibri"/>
          <w:color w:val="000000"/>
        </w:rPr>
        <w:t xml:space="preserve"> Ali al-Qari al-</w:t>
      </w:r>
      <w:proofErr w:type="spellStart"/>
      <w:r w:rsidRPr="00320B6B">
        <w:rPr>
          <w:rFonts w:ascii="Calibri" w:hAnsi="Calibri" w:cs="Calibri"/>
          <w:color w:val="000000"/>
        </w:rPr>
        <w:t>Harawi</w:t>
      </w:r>
      <w:proofErr w:type="spellEnd"/>
      <w:r w:rsidRPr="00320B6B">
        <w:rPr>
          <w:rFonts w:ascii="Calibri" w:hAnsi="Calibri" w:cs="Calibri"/>
          <w:color w:val="000000"/>
        </w:rPr>
        <w:t xml:space="preserve"> (d.1605), a conservative Sufi jurist, who has dedicated an entire treatise to refuting the faith of </w:t>
      </w:r>
      <w:r w:rsidR="006D1935" w:rsidRPr="00320B6B">
        <w:rPr>
          <w:rFonts w:ascii="Calibri" w:hAnsi="Calibri" w:cs="Calibri"/>
          <w:color w:val="000000"/>
        </w:rPr>
        <w:t>Pharaoh</w:t>
      </w:r>
      <w:r w:rsidRPr="00320B6B">
        <w:rPr>
          <w:rFonts w:ascii="Calibri" w:hAnsi="Calibri" w:cs="Calibri"/>
          <w:color w:val="000000"/>
        </w:rPr>
        <w:t xml:space="preserve"> (</w:t>
      </w:r>
      <w:r w:rsidR="006D1935" w:rsidRPr="00320B6B">
        <w:rPr>
          <w:rFonts w:ascii="Calibri" w:hAnsi="Calibri" w:cs="Calibri"/>
          <w:color w:val="000000"/>
        </w:rPr>
        <w:t xml:space="preserve">Ernst, 2018, p.108). </w:t>
      </w:r>
      <w:r w:rsidR="009A0B10" w:rsidRPr="00320B6B">
        <w:rPr>
          <w:rFonts w:ascii="Calibri" w:hAnsi="Calibri" w:cs="Calibri"/>
          <w:color w:val="000000"/>
        </w:rPr>
        <w:t>To</w:t>
      </w:r>
      <w:r w:rsidR="006D1935" w:rsidRPr="00320B6B">
        <w:rPr>
          <w:rFonts w:ascii="Calibri" w:hAnsi="Calibri" w:cs="Calibri"/>
          <w:color w:val="000000"/>
        </w:rPr>
        <w:t xml:space="preserve"> silence al-</w:t>
      </w:r>
      <w:proofErr w:type="spellStart"/>
      <w:r w:rsidR="006D1935" w:rsidRPr="00320B6B">
        <w:rPr>
          <w:rFonts w:ascii="Calibri" w:hAnsi="Calibri" w:cs="Calibri"/>
          <w:color w:val="000000"/>
        </w:rPr>
        <w:t>Daww</w:t>
      </w:r>
      <w:r w:rsidR="00E92184" w:rsidRPr="00320B6B">
        <w:rPr>
          <w:rFonts w:ascii="Calibri" w:hAnsi="Calibri" w:cs="Calibri"/>
          <w:color w:val="000000"/>
        </w:rPr>
        <w:t>ani</w:t>
      </w:r>
      <w:proofErr w:type="spellEnd"/>
      <w:r w:rsidR="00E92184" w:rsidRPr="00320B6B">
        <w:rPr>
          <w:rFonts w:ascii="Calibri" w:hAnsi="Calibri" w:cs="Calibri"/>
          <w:color w:val="000000"/>
        </w:rPr>
        <w:t xml:space="preserve"> (d.1501), a</w:t>
      </w:r>
      <w:r w:rsidR="009A0B10" w:rsidRPr="00320B6B">
        <w:rPr>
          <w:rFonts w:ascii="Calibri" w:hAnsi="Calibri" w:cs="Calibri"/>
          <w:color w:val="000000"/>
        </w:rPr>
        <w:t>n avid defender of Ibn al-Arabi, al-</w:t>
      </w:r>
      <w:proofErr w:type="spellStart"/>
      <w:r w:rsidR="009A0B10" w:rsidRPr="00320B6B">
        <w:rPr>
          <w:rFonts w:ascii="Calibri" w:hAnsi="Calibri" w:cs="Calibri"/>
          <w:color w:val="000000"/>
        </w:rPr>
        <w:t>Harawi</w:t>
      </w:r>
      <w:proofErr w:type="spellEnd"/>
      <w:r w:rsidR="009A0B10" w:rsidRPr="00320B6B">
        <w:rPr>
          <w:rFonts w:ascii="Calibri" w:hAnsi="Calibri" w:cs="Calibri"/>
          <w:color w:val="000000"/>
        </w:rPr>
        <w:t xml:space="preserve"> makes a scholarly observation by citing Ibn al-Arabi’s earlier work, the </w:t>
      </w:r>
      <w:r w:rsidR="009A0B10" w:rsidRPr="00320B6B">
        <w:rPr>
          <w:rFonts w:ascii="Calibri" w:hAnsi="Calibri" w:cs="Calibri"/>
          <w:i/>
          <w:iCs/>
          <w:color w:val="000000"/>
        </w:rPr>
        <w:t>al-</w:t>
      </w:r>
      <w:proofErr w:type="spellStart"/>
      <w:r w:rsidR="009A0B10" w:rsidRPr="00320B6B">
        <w:rPr>
          <w:rFonts w:ascii="Calibri" w:hAnsi="Calibri" w:cs="Calibri"/>
          <w:i/>
          <w:iCs/>
          <w:color w:val="000000"/>
        </w:rPr>
        <w:t>Futuhat</w:t>
      </w:r>
      <w:proofErr w:type="spellEnd"/>
      <w:r w:rsidR="009A0B10" w:rsidRPr="00320B6B">
        <w:rPr>
          <w:rFonts w:ascii="Calibri" w:hAnsi="Calibri" w:cs="Calibri"/>
          <w:i/>
          <w:iCs/>
          <w:color w:val="000000"/>
        </w:rPr>
        <w:t xml:space="preserve"> al-</w:t>
      </w:r>
      <w:proofErr w:type="spellStart"/>
      <w:r w:rsidR="009A0B10" w:rsidRPr="00320B6B">
        <w:rPr>
          <w:rFonts w:ascii="Calibri" w:hAnsi="Calibri" w:cs="Calibri"/>
          <w:i/>
          <w:iCs/>
          <w:color w:val="000000"/>
        </w:rPr>
        <w:t>Makkiyah</w:t>
      </w:r>
      <w:proofErr w:type="spellEnd"/>
      <w:r w:rsidR="009A0B10" w:rsidRPr="00320B6B">
        <w:rPr>
          <w:rFonts w:ascii="Calibri" w:hAnsi="Calibri" w:cs="Calibri"/>
          <w:color w:val="000000"/>
        </w:rPr>
        <w:t xml:space="preserve"> (ibid, p.112-113). </w:t>
      </w:r>
      <w:r w:rsidR="007E5E72" w:rsidRPr="00320B6B">
        <w:rPr>
          <w:rFonts w:ascii="Calibri" w:hAnsi="Calibri" w:cs="Calibri"/>
          <w:color w:val="000000"/>
        </w:rPr>
        <w:t xml:space="preserve">The </w:t>
      </w:r>
      <w:proofErr w:type="spellStart"/>
      <w:r w:rsidR="007E5E72" w:rsidRPr="00320B6B">
        <w:rPr>
          <w:rFonts w:ascii="Calibri" w:hAnsi="Calibri" w:cs="Calibri"/>
          <w:i/>
          <w:iCs/>
          <w:color w:val="000000"/>
        </w:rPr>
        <w:t>Futuhat</w:t>
      </w:r>
      <w:proofErr w:type="spellEnd"/>
      <w:r w:rsidR="007569B9" w:rsidRPr="00320B6B">
        <w:rPr>
          <w:rFonts w:ascii="Calibri" w:hAnsi="Calibri" w:cs="Calibri"/>
          <w:color w:val="000000"/>
        </w:rPr>
        <w:t xml:space="preserve"> is believed to have been inspired by the mystical being</w:t>
      </w:r>
      <w:r w:rsidR="00DA5A87" w:rsidRPr="00320B6B">
        <w:rPr>
          <w:rFonts w:ascii="Calibri" w:hAnsi="Calibri" w:cs="Calibri"/>
          <w:color w:val="000000"/>
        </w:rPr>
        <w:t xml:space="preserve"> in Mecca,</w:t>
      </w:r>
      <w:r w:rsidR="007569B9" w:rsidRPr="00320B6B">
        <w:rPr>
          <w:rFonts w:ascii="Calibri" w:hAnsi="Calibri" w:cs="Calibri"/>
          <w:color w:val="000000"/>
        </w:rPr>
        <w:t xml:space="preserve"> referred to by Ibn al-Arabi as the “Youth” </w:t>
      </w:r>
      <w:r w:rsidR="007E5E72" w:rsidRPr="00320B6B">
        <w:rPr>
          <w:rFonts w:ascii="Calibri" w:hAnsi="Calibri" w:cs="Calibri"/>
          <w:color w:val="000000"/>
        </w:rPr>
        <w:t>(Qureshi, 2021, p.9</w:t>
      </w:r>
      <w:r w:rsidR="007569B9" w:rsidRPr="00320B6B">
        <w:rPr>
          <w:rFonts w:ascii="Calibri" w:hAnsi="Calibri" w:cs="Calibri"/>
          <w:color w:val="000000"/>
        </w:rPr>
        <w:t>1</w:t>
      </w:r>
      <w:r w:rsidR="007E5E72" w:rsidRPr="00320B6B">
        <w:rPr>
          <w:rFonts w:ascii="Calibri" w:hAnsi="Calibri" w:cs="Calibri"/>
          <w:color w:val="000000"/>
        </w:rPr>
        <w:t xml:space="preserve">). </w:t>
      </w:r>
      <w:r w:rsidR="007A5596">
        <w:rPr>
          <w:rFonts w:ascii="Calibri" w:hAnsi="Calibri" w:cs="Calibri"/>
          <w:color w:val="000000"/>
        </w:rPr>
        <w:t>Whilst</w:t>
      </w:r>
      <w:r w:rsidR="00DA5A87" w:rsidRPr="00320B6B">
        <w:rPr>
          <w:rFonts w:ascii="Calibri" w:hAnsi="Calibri" w:cs="Calibri"/>
          <w:color w:val="000000"/>
        </w:rPr>
        <w:t xml:space="preserve"> this encounter</w:t>
      </w:r>
      <w:r w:rsidR="007A5596">
        <w:rPr>
          <w:rFonts w:ascii="Calibri" w:hAnsi="Calibri" w:cs="Calibri"/>
          <w:color w:val="000000"/>
        </w:rPr>
        <w:t xml:space="preserve"> with the Youth</w:t>
      </w:r>
      <w:r w:rsidR="00DA5A87" w:rsidRPr="00320B6B">
        <w:rPr>
          <w:rFonts w:ascii="Calibri" w:hAnsi="Calibri" w:cs="Calibri"/>
          <w:color w:val="000000"/>
        </w:rPr>
        <w:t xml:space="preserve"> had occurred in the year 1202, the </w:t>
      </w:r>
      <w:proofErr w:type="spellStart"/>
      <w:r w:rsidR="00DA5A87" w:rsidRPr="00320B6B">
        <w:rPr>
          <w:rFonts w:ascii="Calibri" w:hAnsi="Calibri" w:cs="Calibri"/>
          <w:i/>
          <w:iCs/>
          <w:color w:val="000000"/>
        </w:rPr>
        <w:t>Futuhat</w:t>
      </w:r>
      <w:proofErr w:type="spellEnd"/>
      <w:r w:rsidR="00DA5A87" w:rsidRPr="00320B6B">
        <w:rPr>
          <w:rFonts w:ascii="Calibri" w:hAnsi="Calibri" w:cs="Calibri"/>
          <w:i/>
          <w:iCs/>
          <w:color w:val="000000"/>
        </w:rPr>
        <w:t xml:space="preserve"> </w:t>
      </w:r>
      <w:r w:rsidR="00DA5A87" w:rsidRPr="00320B6B">
        <w:rPr>
          <w:rFonts w:ascii="Calibri" w:hAnsi="Calibri" w:cs="Calibri"/>
          <w:color w:val="000000"/>
        </w:rPr>
        <w:t>would not be completed until 30 years later in Damascus (ibid, p.95).</w:t>
      </w:r>
    </w:p>
    <w:p w14:paraId="04BD9F31" w14:textId="77777777" w:rsidR="007D4E2C" w:rsidRPr="00320B6B" w:rsidRDefault="007D4E2C" w:rsidP="00612D37">
      <w:pPr>
        <w:spacing w:line="480" w:lineRule="auto"/>
        <w:jc w:val="both"/>
        <w:rPr>
          <w:rFonts w:ascii="Calibri" w:hAnsi="Calibri" w:cs="Calibri"/>
          <w:color w:val="000000"/>
        </w:rPr>
      </w:pPr>
    </w:p>
    <w:p w14:paraId="6A35C3BE" w14:textId="2C385E90" w:rsidR="00612D37" w:rsidRPr="00320B6B" w:rsidRDefault="009A0B10" w:rsidP="00612D37">
      <w:pPr>
        <w:spacing w:line="480" w:lineRule="auto"/>
        <w:jc w:val="both"/>
        <w:rPr>
          <w:rFonts w:ascii="Calibri" w:hAnsi="Calibri" w:cs="Calibri"/>
          <w:color w:val="000000"/>
        </w:rPr>
      </w:pPr>
      <w:r w:rsidRPr="00320B6B">
        <w:rPr>
          <w:rFonts w:ascii="Calibri" w:hAnsi="Calibri" w:cs="Calibri"/>
          <w:color w:val="000000"/>
        </w:rPr>
        <w:t>For al-</w:t>
      </w:r>
      <w:proofErr w:type="spellStart"/>
      <w:r w:rsidRPr="00320B6B">
        <w:rPr>
          <w:rFonts w:ascii="Calibri" w:hAnsi="Calibri" w:cs="Calibri"/>
          <w:color w:val="000000"/>
        </w:rPr>
        <w:t>Harawi</w:t>
      </w:r>
      <w:proofErr w:type="spellEnd"/>
      <w:r w:rsidRPr="00320B6B">
        <w:rPr>
          <w:rFonts w:ascii="Calibri" w:hAnsi="Calibri" w:cs="Calibri"/>
          <w:color w:val="000000"/>
        </w:rPr>
        <w:t xml:space="preserve">, in the 62nd chapter of the </w:t>
      </w:r>
      <w:proofErr w:type="spellStart"/>
      <w:r w:rsidRPr="00320B6B">
        <w:rPr>
          <w:rFonts w:ascii="Calibri" w:hAnsi="Calibri" w:cs="Calibri"/>
          <w:i/>
          <w:iCs/>
          <w:color w:val="000000"/>
        </w:rPr>
        <w:t>Futuhat</w:t>
      </w:r>
      <w:proofErr w:type="spellEnd"/>
      <w:r w:rsidRPr="00320B6B">
        <w:rPr>
          <w:rFonts w:ascii="Calibri" w:hAnsi="Calibri" w:cs="Calibri"/>
          <w:color w:val="000000"/>
        </w:rPr>
        <w:t xml:space="preserve">, </w:t>
      </w:r>
      <w:r w:rsidR="009A5BF8" w:rsidRPr="00320B6B">
        <w:rPr>
          <w:rFonts w:ascii="Calibri" w:hAnsi="Calibri" w:cs="Calibri"/>
          <w:color w:val="000000"/>
        </w:rPr>
        <w:t>there</w:t>
      </w:r>
      <w:r w:rsidR="00DA5A87" w:rsidRPr="00320B6B">
        <w:rPr>
          <w:rFonts w:ascii="Calibri" w:hAnsi="Calibri" w:cs="Calibri"/>
          <w:color w:val="000000"/>
        </w:rPr>
        <w:t xml:space="preserve"> appears </w:t>
      </w:r>
      <w:r w:rsidR="009A5BF8" w:rsidRPr="00320B6B">
        <w:rPr>
          <w:rFonts w:ascii="Calibri" w:hAnsi="Calibri" w:cs="Calibri"/>
          <w:color w:val="000000"/>
        </w:rPr>
        <w:t>to be a contradiction</w:t>
      </w:r>
      <w:r w:rsidR="007A5596">
        <w:rPr>
          <w:rFonts w:ascii="Calibri" w:hAnsi="Calibri" w:cs="Calibri"/>
          <w:color w:val="000000"/>
        </w:rPr>
        <w:t xml:space="preserve"> </w:t>
      </w:r>
      <w:r w:rsidR="007A5596" w:rsidRPr="00320B6B">
        <w:rPr>
          <w:rFonts w:ascii="Calibri" w:hAnsi="Calibri" w:cs="Calibri"/>
          <w:color w:val="000000"/>
        </w:rPr>
        <w:t>(Ernst, 2018, pp.112-113)</w:t>
      </w:r>
      <w:r w:rsidR="007A5596">
        <w:rPr>
          <w:rFonts w:ascii="Calibri" w:hAnsi="Calibri" w:cs="Calibri"/>
          <w:color w:val="000000"/>
        </w:rPr>
        <w:t>.</w:t>
      </w:r>
      <w:r w:rsidR="00DA5A87" w:rsidRPr="00320B6B">
        <w:rPr>
          <w:rFonts w:ascii="Calibri" w:hAnsi="Calibri" w:cs="Calibri"/>
          <w:color w:val="000000"/>
        </w:rPr>
        <w:t xml:space="preserve"> </w:t>
      </w:r>
      <w:r w:rsidR="007A5596">
        <w:rPr>
          <w:rFonts w:ascii="Calibri" w:hAnsi="Calibri" w:cs="Calibri"/>
          <w:color w:val="000000"/>
        </w:rPr>
        <w:t>It</w:t>
      </w:r>
      <w:r w:rsidR="009A5BF8" w:rsidRPr="00320B6B">
        <w:rPr>
          <w:rFonts w:ascii="Calibri" w:hAnsi="Calibri" w:cs="Calibri"/>
          <w:color w:val="000000"/>
        </w:rPr>
        <w:t xml:space="preserve"> seems that</w:t>
      </w:r>
      <w:r w:rsidR="00DA5A87" w:rsidRPr="00320B6B">
        <w:rPr>
          <w:rFonts w:ascii="Calibri" w:hAnsi="Calibri" w:cs="Calibri"/>
          <w:color w:val="000000"/>
        </w:rPr>
        <w:t xml:space="preserve"> </w:t>
      </w:r>
      <w:r w:rsidRPr="00320B6B">
        <w:rPr>
          <w:rFonts w:ascii="Calibri" w:hAnsi="Calibri" w:cs="Calibri"/>
          <w:color w:val="000000"/>
        </w:rPr>
        <w:t>Ibn al-Arabi explicitly states that Pharaoh is amongst those who had claimed divinity for themselves and therefore eternally doomed to hell (</w:t>
      </w:r>
      <w:r w:rsidR="007A5596">
        <w:rPr>
          <w:rFonts w:ascii="Calibri" w:hAnsi="Calibri" w:cs="Calibri"/>
          <w:color w:val="000000"/>
        </w:rPr>
        <w:t>ibid</w:t>
      </w:r>
      <w:r w:rsidRPr="00320B6B">
        <w:rPr>
          <w:rFonts w:ascii="Calibri" w:hAnsi="Calibri" w:cs="Calibri"/>
          <w:color w:val="000000"/>
        </w:rPr>
        <w:t xml:space="preserve">). </w:t>
      </w:r>
      <w:r w:rsidR="009A5BF8" w:rsidRPr="00320B6B">
        <w:rPr>
          <w:rFonts w:ascii="Calibri" w:hAnsi="Calibri" w:cs="Calibri"/>
          <w:color w:val="000000"/>
        </w:rPr>
        <w:t>However, due to a degree of respect for Ibn al-Arabi,</w:t>
      </w:r>
      <w:r w:rsidR="007A5596" w:rsidRPr="007A5596">
        <w:rPr>
          <w:rFonts w:ascii="Calibri" w:hAnsi="Calibri" w:cs="Calibri"/>
          <w:color w:val="000000"/>
        </w:rPr>
        <w:t xml:space="preserve"> </w:t>
      </w:r>
      <w:r w:rsidR="007A5596" w:rsidRPr="00320B6B">
        <w:rPr>
          <w:rFonts w:ascii="Calibri" w:hAnsi="Calibri" w:cs="Calibri"/>
          <w:color w:val="000000"/>
        </w:rPr>
        <w:t>Al-</w:t>
      </w:r>
      <w:proofErr w:type="spellStart"/>
      <w:r w:rsidR="007A5596" w:rsidRPr="00320B6B">
        <w:rPr>
          <w:rFonts w:ascii="Calibri" w:hAnsi="Calibri" w:cs="Calibri"/>
          <w:color w:val="000000"/>
        </w:rPr>
        <w:t>Harawi</w:t>
      </w:r>
      <w:proofErr w:type="spellEnd"/>
      <w:r w:rsidR="00C47331" w:rsidRPr="00320B6B">
        <w:rPr>
          <w:rFonts w:ascii="Calibri" w:hAnsi="Calibri" w:cs="Calibri"/>
          <w:color w:val="000000"/>
        </w:rPr>
        <w:t xml:space="preserve"> attempts</w:t>
      </w:r>
      <w:r w:rsidR="007A5596">
        <w:rPr>
          <w:rFonts w:ascii="Calibri" w:hAnsi="Calibri" w:cs="Calibri"/>
          <w:color w:val="000000"/>
        </w:rPr>
        <w:t xml:space="preserve"> with great difficulty</w:t>
      </w:r>
      <w:r w:rsidR="00C47331" w:rsidRPr="00320B6B">
        <w:rPr>
          <w:rFonts w:ascii="Calibri" w:hAnsi="Calibri" w:cs="Calibri"/>
          <w:color w:val="000000"/>
        </w:rPr>
        <w:t xml:space="preserve"> to reconcile the two texts by</w:t>
      </w:r>
      <w:r w:rsidRPr="00320B6B">
        <w:rPr>
          <w:rFonts w:ascii="Calibri" w:hAnsi="Calibri" w:cs="Calibri"/>
          <w:color w:val="000000"/>
        </w:rPr>
        <w:t xml:space="preserve"> </w:t>
      </w:r>
      <w:r w:rsidR="009A5BF8" w:rsidRPr="00320B6B">
        <w:rPr>
          <w:rFonts w:ascii="Calibri" w:hAnsi="Calibri" w:cs="Calibri"/>
          <w:color w:val="000000"/>
        </w:rPr>
        <w:t>explaining</w:t>
      </w:r>
      <w:r w:rsidRPr="00320B6B">
        <w:rPr>
          <w:rFonts w:ascii="Calibri" w:hAnsi="Calibri" w:cs="Calibri"/>
          <w:color w:val="000000"/>
        </w:rPr>
        <w:t xml:space="preserve"> </w:t>
      </w:r>
      <w:r w:rsidR="007A5596">
        <w:rPr>
          <w:rFonts w:ascii="Calibri" w:hAnsi="Calibri" w:cs="Calibri"/>
          <w:color w:val="000000"/>
        </w:rPr>
        <w:t xml:space="preserve">that </w:t>
      </w:r>
      <w:r w:rsidRPr="00320B6B">
        <w:rPr>
          <w:rFonts w:ascii="Calibri" w:hAnsi="Calibri" w:cs="Calibri"/>
          <w:color w:val="000000"/>
        </w:rPr>
        <w:t xml:space="preserve">in the </w:t>
      </w:r>
      <w:proofErr w:type="spellStart"/>
      <w:r w:rsidRPr="00320B6B">
        <w:rPr>
          <w:rFonts w:ascii="Calibri" w:hAnsi="Calibri" w:cs="Calibri"/>
          <w:i/>
          <w:iCs/>
          <w:color w:val="000000"/>
        </w:rPr>
        <w:t>Fusus</w:t>
      </w:r>
      <w:proofErr w:type="spellEnd"/>
      <w:r w:rsidRPr="00320B6B">
        <w:rPr>
          <w:rFonts w:ascii="Calibri" w:hAnsi="Calibri" w:cs="Calibri"/>
          <w:color w:val="000000"/>
        </w:rPr>
        <w:t xml:space="preserve"> Ibn al-Arabi did not change his view regarding Pharaoh, rather was only highlighting the evidence of Pharaoh’s faithlessness to be “less than decisive” (ibid, p.113).</w:t>
      </w:r>
    </w:p>
    <w:p w14:paraId="61774DCE" w14:textId="77777777" w:rsidR="007D4E2C" w:rsidRPr="00320B6B" w:rsidRDefault="007D4E2C" w:rsidP="00612D37">
      <w:pPr>
        <w:spacing w:line="480" w:lineRule="auto"/>
        <w:jc w:val="both"/>
        <w:rPr>
          <w:rFonts w:ascii="Calibri" w:hAnsi="Calibri" w:cs="Calibri"/>
          <w:color w:val="000000"/>
        </w:rPr>
      </w:pPr>
    </w:p>
    <w:p w14:paraId="6225EFA2" w14:textId="646701DA" w:rsidR="00E15CF7" w:rsidRDefault="001B6C14" w:rsidP="00E15CF7">
      <w:pPr>
        <w:spacing w:line="480" w:lineRule="auto"/>
        <w:jc w:val="both"/>
        <w:rPr>
          <w:rFonts w:ascii="Calibri" w:hAnsi="Calibri" w:cs="Calibri"/>
          <w:color w:val="000000"/>
        </w:rPr>
      </w:pPr>
      <w:r w:rsidRPr="00320B6B">
        <w:rPr>
          <w:rFonts w:ascii="Calibri" w:hAnsi="Calibri" w:cs="Calibri"/>
          <w:color w:val="000000"/>
        </w:rPr>
        <w:t xml:space="preserve">Considering </w:t>
      </w:r>
      <w:r w:rsidR="009A5BF8" w:rsidRPr="00320B6B">
        <w:rPr>
          <w:rFonts w:ascii="Calibri" w:hAnsi="Calibri" w:cs="Calibri"/>
          <w:color w:val="000000"/>
        </w:rPr>
        <w:t>al-</w:t>
      </w:r>
      <w:proofErr w:type="spellStart"/>
      <w:r w:rsidR="009A5BF8" w:rsidRPr="00320B6B">
        <w:rPr>
          <w:rFonts w:ascii="Calibri" w:hAnsi="Calibri" w:cs="Calibri"/>
          <w:color w:val="000000"/>
        </w:rPr>
        <w:t>Harawi’s</w:t>
      </w:r>
      <w:proofErr w:type="spellEnd"/>
      <w:r w:rsidR="009A5BF8" w:rsidRPr="00320B6B">
        <w:rPr>
          <w:rFonts w:ascii="Calibri" w:hAnsi="Calibri" w:cs="Calibri"/>
          <w:color w:val="000000"/>
        </w:rPr>
        <w:t xml:space="preserve"> analysis to be correct will have major implications. </w:t>
      </w:r>
      <w:r w:rsidR="00760562" w:rsidRPr="00320B6B">
        <w:rPr>
          <w:rFonts w:ascii="Calibri" w:hAnsi="Calibri" w:cs="Calibri"/>
          <w:color w:val="000000"/>
        </w:rPr>
        <w:t>Ibn al-Arabi</w:t>
      </w:r>
      <w:r w:rsidR="00784282" w:rsidRPr="00320B6B">
        <w:rPr>
          <w:rFonts w:ascii="Calibri" w:hAnsi="Calibri" w:cs="Calibri"/>
          <w:color w:val="000000"/>
        </w:rPr>
        <w:t xml:space="preserve"> </w:t>
      </w:r>
      <w:r w:rsidR="00760562" w:rsidRPr="00320B6B">
        <w:rPr>
          <w:rFonts w:ascii="Calibri" w:hAnsi="Calibri" w:cs="Calibri"/>
          <w:color w:val="000000"/>
        </w:rPr>
        <w:t xml:space="preserve">is considered </w:t>
      </w:r>
      <w:r w:rsidR="00D06FD3" w:rsidRPr="00320B6B">
        <w:rPr>
          <w:rFonts w:ascii="Calibri" w:hAnsi="Calibri" w:cs="Calibri"/>
          <w:color w:val="000000"/>
        </w:rPr>
        <w:t>“the great master” and “the reviver of the religion” (Qureshi, 2021, p.89) by his followers a</w:t>
      </w:r>
      <w:r w:rsidRPr="00320B6B">
        <w:rPr>
          <w:rFonts w:ascii="Calibri" w:hAnsi="Calibri" w:cs="Calibri"/>
          <w:color w:val="000000"/>
        </w:rPr>
        <w:t>long with being declared the</w:t>
      </w:r>
      <w:r w:rsidR="00D06FD3" w:rsidRPr="00320B6B">
        <w:rPr>
          <w:rFonts w:ascii="Calibri" w:hAnsi="Calibri" w:cs="Calibri"/>
          <w:color w:val="000000"/>
        </w:rPr>
        <w:t xml:space="preserve"> “seal of Muhammadan sainthood”</w:t>
      </w:r>
      <w:r w:rsidR="009E2C4C" w:rsidRPr="00320B6B">
        <w:rPr>
          <w:rFonts w:ascii="Calibri" w:hAnsi="Calibri" w:cs="Calibri"/>
          <w:color w:val="000000"/>
        </w:rPr>
        <w:t xml:space="preserve"> in a </w:t>
      </w:r>
      <w:r w:rsidR="007D4E2C" w:rsidRPr="00320B6B">
        <w:rPr>
          <w:rFonts w:ascii="Calibri" w:hAnsi="Calibri" w:cs="Calibri"/>
          <w:color w:val="000000"/>
        </w:rPr>
        <w:t>vision by</w:t>
      </w:r>
      <w:r w:rsidR="00FF0CD5" w:rsidRPr="00320B6B">
        <w:rPr>
          <w:rFonts w:ascii="Calibri" w:hAnsi="Calibri" w:cs="Calibri"/>
          <w:color w:val="000000"/>
        </w:rPr>
        <w:t xml:space="preserve"> the Prophet Hud</w:t>
      </w:r>
      <w:r w:rsidRPr="00320B6B">
        <w:rPr>
          <w:rFonts w:ascii="Calibri" w:hAnsi="Calibri" w:cs="Calibri"/>
          <w:color w:val="000000"/>
        </w:rPr>
        <w:t xml:space="preserve"> (ibid, p.91). </w:t>
      </w:r>
      <w:r w:rsidR="00E15CF7" w:rsidRPr="00320B6B">
        <w:rPr>
          <w:rFonts w:ascii="Calibri" w:hAnsi="Calibri" w:cs="Calibri"/>
          <w:color w:val="000000"/>
        </w:rPr>
        <w:t>Consequently</w:t>
      </w:r>
      <w:r w:rsidRPr="00320B6B">
        <w:rPr>
          <w:rFonts w:ascii="Calibri" w:hAnsi="Calibri" w:cs="Calibri"/>
          <w:color w:val="000000"/>
        </w:rPr>
        <w:t xml:space="preserve">, making such a </w:t>
      </w:r>
      <w:r w:rsidR="00700248" w:rsidRPr="00320B6B">
        <w:rPr>
          <w:rFonts w:ascii="Calibri" w:hAnsi="Calibri" w:cs="Calibri"/>
          <w:color w:val="000000"/>
        </w:rPr>
        <w:t>significant</w:t>
      </w:r>
      <w:r w:rsidRPr="00320B6B">
        <w:rPr>
          <w:rFonts w:ascii="Calibri" w:hAnsi="Calibri" w:cs="Calibri"/>
          <w:color w:val="000000"/>
        </w:rPr>
        <w:t xml:space="preserve"> contradiction would place Ibn al-Arabi’s credibility </w:t>
      </w:r>
      <w:r w:rsidR="00F51912" w:rsidRPr="00320B6B">
        <w:rPr>
          <w:rFonts w:ascii="Calibri" w:hAnsi="Calibri" w:cs="Calibri"/>
          <w:color w:val="000000"/>
        </w:rPr>
        <w:t xml:space="preserve">into </w:t>
      </w:r>
      <w:r w:rsidR="00700248" w:rsidRPr="00320B6B">
        <w:rPr>
          <w:rFonts w:ascii="Calibri" w:hAnsi="Calibri" w:cs="Calibri"/>
          <w:color w:val="000000"/>
        </w:rPr>
        <w:t>doubt</w:t>
      </w:r>
      <w:r w:rsidR="00F51912" w:rsidRPr="00320B6B">
        <w:rPr>
          <w:rFonts w:ascii="Calibri" w:hAnsi="Calibri" w:cs="Calibri"/>
          <w:color w:val="000000"/>
        </w:rPr>
        <w:t>.</w:t>
      </w:r>
      <w:r w:rsidR="00700248" w:rsidRPr="00320B6B">
        <w:rPr>
          <w:rFonts w:ascii="Calibri" w:hAnsi="Calibri" w:cs="Calibri"/>
          <w:color w:val="000000"/>
        </w:rPr>
        <w:t xml:space="preserve"> Furthermore, this would suggest a more fundamental problem.</w:t>
      </w:r>
      <w:r w:rsidR="007F7838" w:rsidRPr="00320B6B">
        <w:rPr>
          <w:rFonts w:ascii="Calibri" w:hAnsi="Calibri" w:cs="Calibri"/>
          <w:color w:val="000000"/>
        </w:rPr>
        <w:t xml:space="preserve"> As the </w:t>
      </w:r>
      <w:proofErr w:type="spellStart"/>
      <w:r w:rsidR="007F7838" w:rsidRPr="00320B6B">
        <w:rPr>
          <w:rFonts w:ascii="Calibri" w:hAnsi="Calibri" w:cs="Calibri"/>
          <w:i/>
          <w:iCs/>
          <w:color w:val="000000"/>
        </w:rPr>
        <w:t>Futuhat</w:t>
      </w:r>
      <w:proofErr w:type="spellEnd"/>
      <w:r w:rsidR="007F7838" w:rsidRPr="00320B6B">
        <w:rPr>
          <w:rFonts w:ascii="Calibri" w:hAnsi="Calibri" w:cs="Calibri"/>
          <w:i/>
          <w:iCs/>
          <w:color w:val="000000"/>
        </w:rPr>
        <w:t xml:space="preserve"> </w:t>
      </w:r>
      <w:r w:rsidR="007F7838" w:rsidRPr="00320B6B">
        <w:rPr>
          <w:rFonts w:ascii="Calibri" w:hAnsi="Calibri" w:cs="Calibri"/>
          <w:color w:val="000000"/>
        </w:rPr>
        <w:t xml:space="preserve">and the </w:t>
      </w:r>
      <w:proofErr w:type="spellStart"/>
      <w:r w:rsidR="007F7838" w:rsidRPr="00320B6B">
        <w:rPr>
          <w:rFonts w:ascii="Calibri" w:hAnsi="Calibri" w:cs="Calibri"/>
          <w:i/>
          <w:iCs/>
          <w:color w:val="000000"/>
        </w:rPr>
        <w:t>Fusus</w:t>
      </w:r>
      <w:proofErr w:type="spellEnd"/>
      <w:r w:rsidR="007F7838" w:rsidRPr="00320B6B">
        <w:rPr>
          <w:rFonts w:ascii="Calibri" w:hAnsi="Calibri" w:cs="Calibri"/>
          <w:i/>
          <w:iCs/>
          <w:color w:val="000000"/>
        </w:rPr>
        <w:t xml:space="preserve"> </w:t>
      </w:r>
      <w:r w:rsidR="007F7838" w:rsidRPr="00320B6B">
        <w:rPr>
          <w:rFonts w:ascii="Calibri" w:hAnsi="Calibri" w:cs="Calibri"/>
          <w:color w:val="000000"/>
        </w:rPr>
        <w:t>are believed to be products of divine inspiration</w:t>
      </w:r>
      <w:r w:rsidR="007D4E2C" w:rsidRPr="00320B6B">
        <w:rPr>
          <w:rFonts w:ascii="Calibri" w:hAnsi="Calibri" w:cs="Calibri"/>
          <w:color w:val="000000"/>
        </w:rPr>
        <w:t>,</w:t>
      </w:r>
      <w:r w:rsidR="00046772" w:rsidRPr="00320B6B">
        <w:rPr>
          <w:rFonts w:ascii="Calibri" w:hAnsi="Calibri" w:cs="Calibri"/>
          <w:color w:val="000000"/>
        </w:rPr>
        <w:t xml:space="preserve"> highlighting esoteric meanings </w:t>
      </w:r>
      <w:r w:rsidR="009E2C4C" w:rsidRPr="00320B6B">
        <w:rPr>
          <w:rFonts w:ascii="Calibri" w:hAnsi="Calibri" w:cs="Calibri"/>
          <w:color w:val="000000"/>
        </w:rPr>
        <w:t>of</w:t>
      </w:r>
      <w:r w:rsidR="00046772" w:rsidRPr="00320B6B">
        <w:rPr>
          <w:rFonts w:ascii="Calibri" w:hAnsi="Calibri" w:cs="Calibri"/>
          <w:color w:val="000000"/>
        </w:rPr>
        <w:t xml:space="preserve"> the Quran</w:t>
      </w:r>
      <w:r w:rsidR="007F7838" w:rsidRPr="00320B6B">
        <w:rPr>
          <w:rFonts w:ascii="Calibri" w:hAnsi="Calibri" w:cs="Calibri"/>
          <w:color w:val="000000"/>
        </w:rPr>
        <w:t xml:space="preserve">, a contradiction in the two would put the element </w:t>
      </w:r>
      <w:r w:rsidR="007F7838" w:rsidRPr="00320B6B">
        <w:rPr>
          <w:rFonts w:ascii="Calibri" w:hAnsi="Calibri" w:cs="Calibri"/>
          <w:color w:val="000000"/>
        </w:rPr>
        <w:lastRenderedPageBreak/>
        <w:t xml:space="preserve">of </w:t>
      </w:r>
      <w:r w:rsidR="00FF0CD5" w:rsidRPr="00320B6B">
        <w:rPr>
          <w:rFonts w:ascii="Calibri" w:hAnsi="Calibri" w:cs="Calibri"/>
          <w:color w:val="000000"/>
        </w:rPr>
        <w:t>‘</w:t>
      </w:r>
      <w:r w:rsidR="007D4E2C" w:rsidRPr="00320B6B">
        <w:rPr>
          <w:rFonts w:ascii="Calibri" w:hAnsi="Calibri" w:cs="Calibri"/>
          <w:color w:val="000000"/>
        </w:rPr>
        <w:t>divine</w:t>
      </w:r>
      <w:r w:rsidR="00FF0CD5" w:rsidRPr="00320B6B">
        <w:rPr>
          <w:rFonts w:ascii="Calibri" w:hAnsi="Calibri" w:cs="Calibri"/>
          <w:color w:val="000000"/>
        </w:rPr>
        <w:t xml:space="preserve"> </w:t>
      </w:r>
      <w:r w:rsidR="007D4E2C" w:rsidRPr="00320B6B">
        <w:rPr>
          <w:rFonts w:ascii="Calibri" w:hAnsi="Calibri" w:cs="Calibri"/>
          <w:color w:val="000000"/>
        </w:rPr>
        <w:t>in</w:t>
      </w:r>
      <w:r w:rsidR="00FF0CD5" w:rsidRPr="00320B6B">
        <w:rPr>
          <w:rFonts w:ascii="Calibri" w:hAnsi="Calibri" w:cs="Calibri"/>
          <w:color w:val="000000"/>
        </w:rPr>
        <w:t>spiration’</w:t>
      </w:r>
      <w:r w:rsidR="007F7838" w:rsidRPr="00320B6B">
        <w:rPr>
          <w:rFonts w:ascii="Calibri" w:hAnsi="Calibri" w:cs="Calibri"/>
          <w:color w:val="000000"/>
        </w:rPr>
        <w:t xml:space="preserve"> into question. </w:t>
      </w:r>
      <w:r w:rsidR="003F0CA1" w:rsidRPr="00320B6B">
        <w:rPr>
          <w:rFonts w:ascii="Calibri" w:hAnsi="Calibri" w:cs="Calibri"/>
          <w:color w:val="000000"/>
        </w:rPr>
        <w:t>Much like al-</w:t>
      </w:r>
      <w:proofErr w:type="spellStart"/>
      <w:r w:rsidR="003F0CA1" w:rsidRPr="00320B6B">
        <w:rPr>
          <w:rFonts w:ascii="Calibri" w:hAnsi="Calibri" w:cs="Calibri"/>
          <w:color w:val="000000"/>
        </w:rPr>
        <w:t>Harawi</w:t>
      </w:r>
      <w:proofErr w:type="spellEnd"/>
      <w:r w:rsidR="003F0CA1" w:rsidRPr="00320B6B">
        <w:rPr>
          <w:rFonts w:ascii="Calibri" w:hAnsi="Calibri" w:cs="Calibri"/>
          <w:color w:val="000000"/>
        </w:rPr>
        <w:t xml:space="preserve">, </w:t>
      </w:r>
      <w:r w:rsidR="00FF0CD5" w:rsidRPr="00320B6B">
        <w:rPr>
          <w:rFonts w:ascii="Calibri" w:hAnsi="Calibri" w:cs="Calibri"/>
          <w:color w:val="000000"/>
        </w:rPr>
        <w:t>Ormsby (2004, p.8) presents t</w:t>
      </w:r>
      <w:r w:rsidR="00046772" w:rsidRPr="00320B6B">
        <w:rPr>
          <w:rFonts w:ascii="Calibri" w:hAnsi="Calibri" w:cs="Calibri"/>
          <w:color w:val="000000"/>
        </w:rPr>
        <w:t xml:space="preserve">his </w:t>
      </w:r>
      <w:r w:rsidR="007D4E2C" w:rsidRPr="00320B6B">
        <w:rPr>
          <w:rFonts w:ascii="Calibri" w:hAnsi="Calibri" w:cs="Calibri"/>
          <w:color w:val="000000"/>
        </w:rPr>
        <w:t>supposed</w:t>
      </w:r>
      <w:r w:rsidR="00046772" w:rsidRPr="00320B6B">
        <w:rPr>
          <w:rFonts w:ascii="Calibri" w:hAnsi="Calibri" w:cs="Calibri"/>
          <w:color w:val="000000"/>
        </w:rPr>
        <w:t xml:space="preserve"> contradiction </w:t>
      </w:r>
      <w:r w:rsidR="003F0CA1" w:rsidRPr="00320B6B">
        <w:rPr>
          <w:rFonts w:ascii="Calibri" w:hAnsi="Calibri" w:cs="Calibri"/>
          <w:color w:val="000000"/>
        </w:rPr>
        <w:t xml:space="preserve">found in the </w:t>
      </w:r>
      <w:proofErr w:type="spellStart"/>
      <w:r w:rsidR="003F0CA1" w:rsidRPr="00320B6B">
        <w:rPr>
          <w:rFonts w:ascii="Calibri" w:hAnsi="Calibri" w:cs="Calibri"/>
          <w:i/>
          <w:iCs/>
          <w:color w:val="000000"/>
        </w:rPr>
        <w:t>Futuhat</w:t>
      </w:r>
      <w:proofErr w:type="spellEnd"/>
      <w:r w:rsidR="003F0CA1" w:rsidRPr="00320B6B">
        <w:rPr>
          <w:rFonts w:ascii="Calibri" w:hAnsi="Calibri" w:cs="Calibri"/>
          <w:i/>
          <w:iCs/>
          <w:color w:val="000000"/>
        </w:rPr>
        <w:t xml:space="preserve"> </w:t>
      </w:r>
      <w:r w:rsidR="003F0CA1" w:rsidRPr="00320B6B">
        <w:rPr>
          <w:rFonts w:ascii="Calibri" w:hAnsi="Calibri" w:cs="Calibri"/>
          <w:color w:val="000000"/>
        </w:rPr>
        <w:t xml:space="preserve">as a fact, mentioning two reasons for </w:t>
      </w:r>
      <w:r w:rsidR="00FF0CD5" w:rsidRPr="00320B6B">
        <w:rPr>
          <w:rFonts w:ascii="Calibri" w:hAnsi="Calibri" w:cs="Calibri"/>
          <w:color w:val="000000"/>
        </w:rPr>
        <w:t>Pharaoh’s</w:t>
      </w:r>
      <w:r w:rsidR="003F0CA1" w:rsidRPr="00320B6B">
        <w:rPr>
          <w:rFonts w:ascii="Calibri" w:hAnsi="Calibri" w:cs="Calibri"/>
          <w:color w:val="000000"/>
        </w:rPr>
        <w:t xml:space="preserve"> damnation; his haughtiness and claim of divinity.</w:t>
      </w:r>
    </w:p>
    <w:p w14:paraId="5C9EBD2E" w14:textId="77777777" w:rsidR="00E15CF7" w:rsidRPr="00320B6B" w:rsidRDefault="00E15CF7" w:rsidP="00E15CF7">
      <w:pPr>
        <w:spacing w:line="480" w:lineRule="auto"/>
        <w:jc w:val="both"/>
        <w:rPr>
          <w:rFonts w:ascii="Calibri" w:hAnsi="Calibri" w:cs="Calibri"/>
          <w:color w:val="000000"/>
        </w:rPr>
      </w:pPr>
    </w:p>
    <w:p w14:paraId="5EA583D3" w14:textId="3F19110A" w:rsidR="00E15CF7" w:rsidRDefault="00B67AB2" w:rsidP="002F1134">
      <w:pPr>
        <w:spacing w:line="480" w:lineRule="auto"/>
        <w:jc w:val="both"/>
        <w:rPr>
          <w:rFonts w:ascii="Calibri" w:hAnsi="Calibri" w:cs="Calibri"/>
          <w:color w:val="000000"/>
        </w:rPr>
      </w:pPr>
      <w:r w:rsidRPr="00320B6B">
        <w:rPr>
          <w:rFonts w:ascii="Calibri" w:hAnsi="Calibri" w:cs="Calibri"/>
          <w:color w:val="000000"/>
        </w:rPr>
        <w:t xml:space="preserve">In </w:t>
      </w:r>
      <w:r w:rsidR="000A0420" w:rsidRPr="00320B6B">
        <w:rPr>
          <w:rFonts w:ascii="Calibri" w:hAnsi="Calibri" w:cs="Calibri"/>
          <w:color w:val="000000"/>
        </w:rPr>
        <w:t>the 62</w:t>
      </w:r>
      <w:r w:rsidR="000A0420" w:rsidRPr="00320B6B">
        <w:rPr>
          <w:rFonts w:ascii="Calibri" w:hAnsi="Calibri" w:cs="Calibri"/>
          <w:color w:val="000000"/>
          <w:vertAlign w:val="superscript"/>
        </w:rPr>
        <w:t>nd</w:t>
      </w:r>
      <w:r w:rsidR="000A0420" w:rsidRPr="00320B6B">
        <w:rPr>
          <w:rFonts w:ascii="Calibri" w:hAnsi="Calibri" w:cs="Calibri"/>
          <w:color w:val="000000"/>
        </w:rPr>
        <w:t xml:space="preserve"> chapter</w:t>
      </w:r>
      <w:r w:rsidR="00E15CF7">
        <w:rPr>
          <w:rFonts w:ascii="Calibri" w:hAnsi="Calibri" w:cs="Calibri"/>
          <w:color w:val="000000"/>
        </w:rPr>
        <w:t xml:space="preserve"> of the </w:t>
      </w:r>
      <w:proofErr w:type="spellStart"/>
      <w:r w:rsidR="00E15CF7">
        <w:rPr>
          <w:rFonts w:ascii="Calibri" w:hAnsi="Calibri" w:cs="Calibri"/>
          <w:i/>
          <w:iCs/>
          <w:color w:val="000000"/>
        </w:rPr>
        <w:t>Futuhat</w:t>
      </w:r>
      <w:proofErr w:type="spellEnd"/>
      <w:r w:rsidR="000A0420" w:rsidRPr="00320B6B">
        <w:rPr>
          <w:rFonts w:ascii="Calibri" w:hAnsi="Calibri" w:cs="Calibri"/>
          <w:color w:val="000000"/>
        </w:rPr>
        <w:t xml:space="preserve">, Ibn al-Arabi discusses four categories of people who are eternally </w:t>
      </w:r>
      <w:r w:rsidR="00B36392" w:rsidRPr="00320B6B">
        <w:rPr>
          <w:rFonts w:ascii="Calibri" w:hAnsi="Calibri" w:cs="Calibri"/>
          <w:color w:val="000000"/>
        </w:rPr>
        <w:t>doomed</w:t>
      </w:r>
      <w:r w:rsidR="000A0420" w:rsidRPr="00320B6B">
        <w:rPr>
          <w:rFonts w:ascii="Calibri" w:hAnsi="Calibri" w:cs="Calibri"/>
          <w:color w:val="000000"/>
        </w:rPr>
        <w:t xml:space="preserve"> to hell, never to leave it</w:t>
      </w:r>
      <w:r w:rsidR="00B36392" w:rsidRPr="00320B6B">
        <w:rPr>
          <w:rFonts w:ascii="Calibri" w:hAnsi="Calibri" w:cs="Calibri"/>
          <w:color w:val="000000"/>
        </w:rPr>
        <w:t xml:space="preserve"> </w:t>
      </w:r>
      <w:sdt>
        <w:sdtPr>
          <w:rPr>
            <w:rFonts w:ascii="Calibri" w:hAnsi="Calibri" w:cs="Calibri"/>
            <w:color w:val="000000"/>
            <w:highlight w:val="white"/>
          </w:rPr>
          <w:alias w:val="Citation"/>
          <w:tag w:val="{&quot;referencesIds&quot;:[&quot;doc:662e14a92b694f6f62e3c9b0&quot;],&quot;referencesOptions&quot;:{&quot;doc:662e14a92b694f6f62e3c9b0&quot;:{&quot;author&quot;:true,&quot;year&quot;:true,&quot;pageReplace&quot;:&quot;&quot;,&quot;prefix&quot;:&quot;&quot;,&quot;suffix&quot;:&quot;&quot;}},&quot;hasBrokenReferences&quot;:false,&quot;hasManualEdits&quot;:false,&quot;citationType&quot;:&quot;inline&quot;}"/>
          <w:id w:val="67708362"/>
          <w:placeholder>
            <w:docPart w:val="2E203BFD0635014FB3387D075F29A896"/>
          </w:placeholder>
        </w:sdtPr>
        <w:sdtContent>
          <w:r w:rsidR="00B36392" w:rsidRPr="00320B6B">
            <w:rPr>
              <w:rFonts w:ascii="Calibri" w:eastAsia="Times New Roman" w:hAnsi="Calibri" w:cs="Calibri"/>
              <w:color w:val="000000"/>
            </w:rPr>
            <w:t>(al-Arabi, 1999)</w:t>
          </w:r>
        </w:sdtContent>
      </w:sdt>
      <w:r w:rsidR="00B36392" w:rsidRPr="00320B6B">
        <w:rPr>
          <w:rFonts w:ascii="Calibri" w:hAnsi="Calibri" w:cs="Calibri"/>
          <w:color w:val="000000"/>
        </w:rPr>
        <w:t xml:space="preserve"> p.455. The first of these categories </w:t>
      </w:r>
      <w:r w:rsidR="00690585">
        <w:rPr>
          <w:rFonts w:ascii="Calibri" w:hAnsi="Calibri" w:cs="Calibri"/>
          <w:color w:val="000000"/>
        </w:rPr>
        <w:t>is</w:t>
      </w:r>
      <w:r w:rsidR="00B36392" w:rsidRPr="00320B6B">
        <w:rPr>
          <w:rFonts w:ascii="Calibri" w:hAnsi="Calibri" w:cs="Calibri"/>
          <w:color w:val="000000"/>
        </w:rPr>
        <w:t xml:space="preserve"> </w:t>
      </w:r>
      <w:r w:rsidR="009D20DD" w:rsidRPr="00320B6B">
        <w:rPr>
          <w:rFonts w:ascii="Calibri" w:hAnsi="Calibri" w:cs="Calibri"/>
          <w:color w:val="000000"/>
        </w:rPr>
        <w:t xml:space="preserve">the haughty people </w:t>
      </w:r>
      <w:r w:rsidR="009D20DD" w:rsidRPr="00320B6B">
        <w:rPr>
          <w:rStyle w:val="css-15iwe0d"/>
          <w:rFonts w:ascii="Calibri" w:hAnsi="Calibri" w:cs="Calibri"/>
          <w:color w:val="000000" w:themeColor="text1"/>
        </w:rPr>
        <w:t>who</w:t>
      </w:r>
      <w:r w:rsidR="009D20DD" w:rsidRPr="00320B6B">
        <w:rPr>
          <w:rStyle w:val="apple-converted-space"/>
          <w:rFonts w:ascii="Calibri" w:hAnsi="Calibri" w:cs="Calibri"/>
          <w:color w:val="000000" w:themeColor="text1"/>
        </w:rPr>
        <w:t> </w:t>
      </w:r>
      <w:r w:rsidR="009D20DD" w:rsidRPr="00320B6B">
        <w:rPr>
          <w:rStyle w:val="css-0"/>
          <w:rFonts w:ascii="Calibri" w:hAnsi="Calibri" w:cs="Calibri"/>
          <w:color w:val="000000" w:themeColor="text1"/>
        </w:rPr>
        <w:t>have</w:t>
      </w:r>
      <w:r w:rsidR="009D20DD" w:rsidRPr="00320B6B">
        <w:rPr>
          <w:rStyle w:val="apple-converted-space"/>
          <w:rFonts w:ascii="Calibri" w:hAnsi="Calibri" w:cs="Calibri"/>
          <w:color w:val="000000" w:themeColor="text1"/>
        </w:rPr>
        <w:t> </w:t>
      </w:r>
      <w:r w:rsidR="009D20DD" w:rsidRPr="00320B6B">
        <w:rPr>
          <w:rStyle w:val="css-rh820s"/>
          <w:rFonts w:ascii="Calibri" w:hAnsi="Calibri" w:cs="Calibri"/>
          <w:color w:val="000000" w:themeColor="text1"/>
        </w:rPr>
        <w:t>rejected</w:t>
      </w:r>
      <w:r w:rsidR="009D20DD" w:rsidRPr="00320B6B">
        <w:rPr>
          <w:rStyle w:val="apple-converted-space"/>
          <w:rFonts w:ascii="Calibri" w:hAnsi="Calibri" w:cs="Calibri"/>
          <w:color w:val="000000" w:themeColor="text1"/>
        </w:rPr>
        <w:t> </w:t>
      </w:r>
      <w:r w:rsidR="009D20DD" w:rsidRPr="00320B6B">
        <w:rPr>
          <w:rStyle w:val="css-0"/>
          <w:rFonts w:ascii="Calibri" w:hAnsi="Calibri" w:cs="Calibri"/>
          <w:color w:val="000000" w:themeColor="text1"/>
        </w:rPr>
        <w:t>God's</w:t>
      </w:r>
      <w:r w:rsidR="009D20DD" w:rsidRPr="00320B6B">
        <w:rPr>
          <w:rStyle w:val="apple-converted-space"/>
          <w:rFonts w:ascii="Calibri" w:hAnsi="Calibri" w:cs="Calibri"/>
          <w:color w:val="000000" w:themeColor="text1"/>
        </w:rPr>
        <w:t> </w:t>
      </w:r>
      <w:r w:rsidR="009D20DD" w:rsidRPr="00320B6B">
        <w:rPr>
          <w:rStyle w:val="css-15iwe0d"/>
          <w:rFonts w:ascii="Calibri" w:hAnsi="Calibri" w:cs="Calibri"/>
          <w:color w:val="000000" w:themeColor="text1"/>
        </w:rPr>
        <w:t>divinity</w:t>
      </w:r>
      <w:r w:rsidR="009D20DD" w:rsidRPr="00320B6B">
        <w:rPr>
          <w:rStyle w:val="apple-converted-space"/>
          <w:rFonts w:ascii="Calibri" w:hAnsi="Calibri" w:cs="Calibri"/>
          <w:color w:val="000000" w:themeColor="text1"/>
        </w:rPr>
        <w:t> </w:t>
      </w:r>
      <w:r w:rsidR="009D20DD" w:rsidRPr="00320B6B">
        <w:rPr>
          <w:rStyle w:val="css-2yp7ui"/>
          <w:rFonts w:ascii="Calibri" w:hAnsi="Calibri" w:cs="Calibri"/>
          <w:color w:val="000000" w:themeColor="text1"/>
        </w:rPr>
        <w:t>and</w:t>
      </w:r>
      <w:r w:rsidR="009D20DD" w:rsidRPr="00320B6B">
        <w:rPr>
          <w:rStyle w:val="apple-converted-space"/>
          <w:rFonts w:ascii="Calibri" w:hAnsi="Calibri" w:cs="Calibri"/>
          <w:color w:val="000000" w:themeColor="text1"/>
        </w:rPr>
        <w:t> </w:t>
      </w:r>
      <w:r w:rsidR="009D20DD" w:rsidRPr="00320B6B">
        <w:rPr>
          <w:rStyle w:val="css-15iwe0d"/>
          <w:rFonts w:ascii="Calibri" w:hAnsi="Calibri" w:cs="Calibri"/>
          <w:color w:val="000000" w:themeColor="text1"/>
        </w:rPr>
        <w:t>claimed</w:t>
      </w:r>
      <w:r w:rsidR="009D20DD" w:rsidRPr="00320B6B">
        <w:rPr>
          <w:rStyle w:val="apple-converted-space"/>
          <w:rFonts w:ascii="Calibri" w:hAnsi="Calibri" w:cs="Calibri"/>
          <w:color w:val="000000" w:themeColor="text1"/>
        </w:rPr>
        <w:t> </w:t>
      </w:r>
      <w:r w:rsidR="009D20DD" w:rsidRPr="00320B6B">
        <w:rPr>
          <w:rStyle w:val="css-15iwe0d"/>
          <w:rFonts w:ascii="Calibri" w:hAnsi="Calibri" w:cs="Calibri"/>
          <w:color w:val="000000" w:themeColor="text1"/>
        </w:rPr>
        <w:t>it</w:t>
      </w:r>
      <w:r w:rsidR="009D20DD" w:rsidRPr="00320B6B">
        <w:rPr>
          <w:rStyle w:val="apple-converted-space"/>
          <w:rFonts w:ascii="Calibri" w:hAnsi="Calibri" w:cs="Calibri"/>
          <w:color w:val="000000" w:themeColor="text1"/>
        </w:rPr>
        <w:t> </w:t>
      </w:r>
      <w:r w:rsidR="009D20DD" w:rsidRPr="00320B6B">
        <w:rPr>
          <w:rStyle w:val="css-15iwe0d"/>
          <w:rFonts w:ascii="Calibri" w:hAnsi="Calibri" w:cs="Calibri"/>
          <w:color w:val="000000" w:themeColor="text1"/>
        </w:rPr>
        <w:t>for</w:t>
      </w:r>
      <w:r w:rsidR="009D20DD" w:rsidRPr="00320B6B">
        <w:rPr>
          <w:rStyle w:val="apple-converted-space"/>
          <w:rFonts w:ascii="Calibri" w:hAnsi="Calibri" w:cs="Calibri"/>
          <w:color w:val="000000" w:themeColor="text1"/>
        </w:rPr>
        <w:t> </w:t>
      </w:r>
      <w:r w:rsidR="009D20DD" w:rsidRPr="00320B6B">
        <w:rPr>
          <w:rStyle w:val="css-15iwe0d"/>
          <w:rFonts w:ascii="Calibri" w:hAnsi="Calibri" w:cs="Calibri"/>
          <w:color w:val="000000" w:themeColor="text1"/>
        </w:rPr>
        <w:t xml:space="preserve">themselves </w:t>
      </w:r>
      <w:r w:rsidR="003A66CF" w:rsidRPr="00320B6B">
        <w:rPr>
          <w:rFonts w:ascii="Calibri" w:hAnsi="Calibri" w:cs="Calibri"/>
          <w:color w:val="000000"/>
        </w:rPr>
        <w:t>(ibid).</w:t>
      </w:r>
      <w:r w:rsidR="00473639" w:rsidRPr="00320B6B">
        <w:rPr>
          <w:rFonts w:ascii="Calibri" w:hAnsi="Calibri" w:cs="Calibri"/>
          <w:color w:val="000000"/>
        </w:rPr>
        <w:t xml:space="preserve"> </w:t>
      </w:r>
    </w:p>
    <w:p w14:paraId="0C412429" w14:textId="77777777" w:rsidR="00013213" w:rsidRDefault="00E15CF7" w:rsidP="00013213">
      <w:pPr>
        <w:spacing w:line="480" w:lineRule="auto"/>
        <w:jc w:val="both"/>
        <w:rPr>
          <w:rFonts w:ascii="Calibri" w:hAnsi="Calibri" w:cs="Calibri"/>
          <w:color w:val="000000"/>
        </w:rPr>
      </w:pPr>
      <w:r>
        <w:rPr>
          <w:rFonts w:ascii="Calibri" w:hAnsi="Calibri" w:cs="Calibri"/>
          <w:color w:val="000000"/>
        </w:rPr>
        <w:t xml:space="preserve">Pharoah is mentioned in this category by way of example </w:t>
      </w:r>
      <w:r w:rsidR="00013213">
        <w:rPr>
          <w:rFonts w:ascii="Calibri" w:hAnsi="Calibri" w:cs="Calibri"/>
          <w:color w:val="000000"/>
        </w:rPr>
        <w:t xml:space="preserve">by Ibn al-Arabi, </w:t>
      </w:r>
      <w:r w:rsidR="00F73616" w:rsidRPr="00320B6B">
        <w:rPr>
          <w:rFonts w:ascii="Calibri" w:hAnsi="Calibri" w:cs="Calibri"/>
          <w:color w:val="000000"/>
        </w:rPr>
        <w:t xml:space="preserve">followed by two Quranic verses which quote </w:t>
      </w:r>
      <w:r w:rsidR="00473639" w:rsidRPr="00320B6B">
        <w:rPr>
          <w:rFonts w:ascii="Calibri" w:hAnsi="Calibri" w:cs="Calibri"/>
          <w:color w:val="000000"/>
        </w:rPr>
        <w:t xml:space="preserve">supposedly </w:t>
      </w:r>
      <w:r w:rsidR="00F73616" w:rsidRPr="00320B6B">
        <w:rPr>
          <w:rFonts w:ascii="Calibri" w:hAnsi="Calibri" w:cs="Calibri"/>
          <w:color w:val="000000"/>
        </w:rPr>
        <w:t xml:space="preserve">blasphemous </w:t>
      </w:r>
      <w:r w:rsidR="00473639" w:rsidRPr="00320B6B">
        <w:rPr>
          <w:rFonts w:ascii="Calibri" w:hAnsi="Calibri" w:cs="Calibri"/>
          <w:color w:val="000000"/>
        </w:rPr>
        <w:t xml:space="preserve">statements of Pharaoh (ibid). </w:t>
      </w:r>
    </w:p>
    <w:p w14:paraId="4E3B9B83" w14:textId="77777777" w:rsidR="00013213" w:rsidRDefault="00013213" w:rsidP="00013213">
      <w:pPr>
        <w:spacing w:line="480" w:lineRule="auto"/>
        <w:jc w:val="both"/>
        <w:rPr>
          <w:rFonts w:ascii="Calibri" w:hAnsi="Calibri" w:cs="Calibri"/>
          <w:color w:val="000000"/>
        </w:rPr>
      </w:pPr>
    </w:p>
    <w:p w14:paraId="6CFCE065" w14:textId="574A4ED6" w:rsidR="00612D37" w:rsidRPr="00320B6B" w:rsidRDefault="00473639" w:rsidP="00F35913">
      <w:pPr>
        <w:spacing w:line="480" w:lineRule="auto"/>
        <w:jc w:val="both"/>
        <w:rPr>
          <w:rFonts w:ascii="Calibri" w:hAnsi="Calibri" w:cs="Calibri"/>
          <w:color w:val="000000"/>
        </w:rPr>
      </w:pPr>
      <w:r w:rsidRPr="00320B6B">
        <w:rPr>
          <w:rFonts w:ascii="Calibri" w:hAnsi="Calibri" w:cs="Calibri"/>
          <w:color w:val="000000"/>
        </w:rPr>
        <w:t>At first glance</w:t>
      </w:r>
      <w:r w:rsidR="00320B6B" w:rsidRPr="00320B6B">
        <w:rPr>
          <w:rFonts w:ascii="Calibri" w:hAnsi="Calibri" w:cs="Calibri"/>
          <w:color w:val="000000"/>
        </w:rPr>
        <w:t>,</w:t>
      </w:r>
      <w:r w:rsidRPr="00320B6B">
        <w:rPr>
          <w:rFonts w:ascii="Calibri" w:hAnsi="Calibri" w:cs="Calibri"/>
          <w:color w:val="000000"/>
        </w:rPr>
        <w:t xml:space="preserve"> this passage appear</w:t>
      </w:r>
      <w:r w:rsidR="00320B6B" w:rsidRPr="00320B6B">
        <w:rPr>
          <w:rFonts w:ascii="Calibri" w:hAnsi="Calibri" w:cs="Calibri"/>
          <w:color w:val="000000"/>
        </w:rPr>
        <w:t>s</w:t>
      </w:r>
      <w:r w:rsidRPr="00320B6B">
        <w:rPr>
          <w:rFonts w:ascii="Calibri" w:hAnsi="Calibri" w:cs="Calibri"/>
          <w:color w:val="000000"/>
        </w:rPr>
        <w:t xml:space="preserve"> to </w:t>
      </w:r>
      <w:r w:rsidR="00320B6B" w:rsidRPr="00320B6B">
        <w:rPr>
          <w:rFonts w:ascii="Calibri" w:hAnsi="Calibri" w:cs="Calibri"/>
          <w:color w:val="000000"/>
        </w:rPr>
        <w:t>agree</w:t>
      </w:r>
      <w:r w:rsidRPr="00320B6B">
        <w:rPr>
          <w:rFonts w:ascii="Calibri" w:hAnsi="Calibri" w:cs="Calibri"/>
          <w:color w:val="000000"/>
        </w:rPr>
        <w:t xml:space="preserve"> with the analysis of al-</w:t>
      </w:r>
      <w:proofErr w:type="spellStart"/>
      <w:r w:rsidRPr="00320B6B">
        <w:rPr>
          <w:rFonts w:ascii="Calibri" w:hAnsi="Calibri" w:cs="Calibri"/>
          <w:color w:val="000000"/>
        </w:rPr>
        <w:t>Harawi</w:t>
      </w:r>
      <w:proofErr w:type="spellEnd"/>
      <w:r w:rsidRPr="00320B6B">
        <w:rPr>
          <w:rFonts w:ascii="Calibri" w:hAnsi="Calibri" w:cs="Calibri"/>
          <w:color w:val="000000"/>
        </w:rPr>
        <w:t xml:space="preserve"> and Ormsby. </w:t>
      </w:r>
      <w:r w:rsidR="00320B6B" w:rsidRPr="00320B6B">
        <w:rPr>
          <w:rFonts w:ascii="Calibri" w:hAnsi="Calibri" w:cs="Calibri"/>
          <w:color w:val="000000"/>
        </w:rPr>
        <w:t xml:space="preserve">However, a more focused reading of the passage reveals that the analysis may not be </w:t>
      </w:r>
      <w:r w:rsidR="00486600">
        <w:rPr>
          <w:rFonts w:ascii="Calibri" w:hAnsi="Calibri" w:cs="Calibri"/>
          <w:color w:val="000000"/>
        </w:rPr>
        <w:t>accurate</w:t>
      </w:r>
      <w:r w:rsidR="00320B6B" w:rsidRPr="00320B6B">
        <w:rPr>
          <w:rFonts w:ascii="Calibri" w:hAnsi="Calibri" w:cs="Calibri"/>
          <w:color w:val="000000"/>
        </w:rPr>
        <w:t xml:space="preserve">. </w:t>
      </w:r>
      <w:r w:rsidR="00013213">
        <w:rPr>
          <w:rFonts w:ascii="Calibri" w:hAnsi="Calibri" w:cs="Calibri"/>
          <w:color w:val="000000"/>
        </w:rPr>
        <w:t xml:space="preserve">Ibn al-Arabi states </w:t>
      </w:r>
      <w:r w:rsidR="00690585">
        <w:rPr>
          <w:rFonts w:ascii="Calibri" w:hAnsi="Calibri" w:cs="Calibri"/>
          <w:color w:val="000000"/>
        </w:rPr>
        <w:t>that</w:t>
      </w:r>
      <w:r w:rsidR="00013213">
        <w:rPr>
          <w:rFonts w:ascii="Calibri" w:hAnsi="Calibri" w:cs="Calibri"/>
          <w:color w:val="000000"/>
        </w:rPr>
        <w:t xml:space="preserve"> the first group</w:t>
      </w:r>
      <w:r w:rsidR="00F35913">
        <w:rPr>
          <w:rFonts w:ascii="Calibri" w:hAnsi="Calibri" w:cs="Calibri"/>
          <w:color w:val="000000"/>
        </w:rPr>
        <w:t>, they</w:t>
      </w:r>
      <w:r w:rsidR="00013213">
        <w:rPr>
          <w:rFonts w:ascii="Calibri" w:hAnsi="Calibri" w:cs="Calibri"/>
          <w:color w:val="000000"/>
        </w:rPr>
        <w:t xml:space="preserve"> are those who were “arrogant against God like Pharaoh and the like</w:t>
      </w:r>
      <w:r w:rsidR="00F35913">
        <w:rPr>
          <w:rFonts w:ascii="Calibri" w:hAnsi="Calibri" w:cs="Calibri"/>
          <w:color w:val="000000"/>
        </w:rPr>
        <w:t>s of him, from those who had claimed divinity for themselves and had negated it from God</w:t>
      </w:r>
      <w:r w:rsidR="00013213">
        <w:rPr>
          <w:rFonts w:ascii="Calibri" w:hAnsi="Calibri" w:cs="Calibri"/>
          <w:color w:val="000000"/>
        </w:rPr>
        <w:t>” (ibid</w:t>
      </w:r>
      <w:r w:rsidR="00F35913">
        <w:rPr>
          <w:rFonts w:ascii="Calibri" w:hAnsi="Calibri" w:cs="Calibri"/>
          <w:color w:val="000000"/>
        </w:rPr>
        <w:t>).</w:t>
      </w:r>
      <w:r w:rsidR="00013213" w:rsidRPr="00013213">
        <w:rPr>
          <w:rFonts w:ascii="Calibri" w:hAnsi="Calibri" w:cs="Calibri"/>
          <w:color w:val="000000"/>
        </w:rPr>
        <w:t xml:space="preserve"> </w:t>
      </w:r>
      <w:r w:rsidR="00F35913">
        <w:rPr>
          <w:rFonts w:ascii="Calibri" w:hAnsi="Calibri" w:cs="Calibri"/>
          <w:color w:val="000000"/>
        </w:rPr>
        <w:t xml:space="preserve">In other words, </w:t>
      </w:r>
      <w:r w:rsidR="00013213">
        <w:rPr>
          <w:rFonts w:ascii="Calibri" w:hAnsi="Calibri" w:cs="Calibri"/>
          <w:color w:val="000000"/>
        </w:rPr>
        <w:t>Ibn al-Arabi is merely highlighting the actions of Pharaoh during his life</w:t>
      </w:r>
      <w:r w:rsidR="00F35913">
        <w:rPr>
          <w:rFonts w:ascii="Calibri" w:hAnsi="Calibri" w:cs="Calibri"/>
          <w:color w:val="000000"/>
        </w:rPr>
        <w:t xml:space="preserve"> and not necessarily commenting on Pharaoh’s outcome in the next life</w:t>
      </w:r>
      <w:r w:rsidR="00013213">
        <w:rPr>
          <w:rFonts w:ascii="Calibri" w:hAnsi="Calibri" w:cs="Calibri"/>
          <w:color w:val="000000"/>
        </w:rPr>
        <w:t>.</w:t>
      </w:r>
      <w:r w:rsidR="00F35913">
        <w:rPr>
          <w:rFonts w:ascii="Calibri" w:hAnsi="Calibri" w:cs="Calibri"/>
          <w:color w:val="000000"/>
        </w:rPr>
        <w:t xml:space="preserve"> </w:t>
      </w:r>
      <w:r w:rsidR="001220F8">
        <w:rPr>
          <w:rFonts w:ascii="Calibri" w:hAnsi="Calibri" w:cs="Calibri"/>
          <w:color w:val="000000"/>
        </w:rPr>
        <w:t xml:space="preserve"> </w:t>
      </w:r>
      <w:r w:rsidR="002F1134">
        <w:rPr>
          <w:rFonts w:ascii="Calibri" w:hAnsi="Calibri" w:cs="Calibri"/>
          <w:color w:val="000000"/>
        </w:rPr>
        <w:t>I</w:t>
      </w:r>
      <w:r w:rsidR="00F07983">
        <w:rPr>
          <w:rFonts w:ascii="Calibri" w:hAnsi="Calibri" w:cs="Calibri"/>
          <w:color w:val="000000"/>
        </w:rPr>
        <w:t xml:space="preserve">f </w:t>
      </w:r>
      <w:r w:rsidR="002F1134">
        <w:rPr>
          <w:rFonts w:ascii="Calibri" w:hAnsi="Calibri" w:cs="Calibri"/>
          <w:color w:val="000000"/>
        </w:rPr>
        <w:t xml:space="preserve">the passage is understood in this manner, there does not appear to be any contradiction </w:t>
      </w:r>
      <w:r w:rsidR="00690585">
        <w:rPr>
          <w:rFonts w:ascii="Calibri" w:hAnsi="Calibri" w:cs="Calibri"/>
          <w:color w:val="000000"/>
        </w:rPr>
        <w:t>between</w:t>
      </w:r>
      <w:r w:rsidR="002F1134">
        <w:rPr>
          <w:rFonts w:ascii="Calibri" w:hAnsi="Calibri" w:cs="Calibri"/>
          <w:color w:val="000000"/>
        </w:rPr>
        <w:t xml:space="preserve"> the two works.</w:t>
      </w:r>
    </w:p>
    <w:p w14:paraId="2B5B5710" w14:textId="720E37B4" w:rsidR="002F3646" w:rsidRPr="00320B6B" w:rsidRDefault="002F3646" w:rsidP="00FE3984">
      <w:pPr>
        <w:pStyle w:val="Heading1"/>
        <w:rPr>
          <w:rFonts w:ascii="Calibri" w:hAnsi="Calibri" w:cs="Calibri"/>
          <w:sz w:val="24"/>
          <w:szCs w:val="24"/>
        </w:rPr>
      </w:pPr>
      <w:r w:rsidRPr="00320B6B">
        <w:rPr>
          <w:rFonts w:ascii="Calibri" w:hAnsi="Calibri" w:cs="Calibri"/>
          <w:sz w:val="24"/>
          <w:szCs w:val="24"/>
        </w:rPr>
        <w:t>Conclusion</w:t>
      </w:r>
    </w:p>
    <w:p w14:paraId="43F8B1A3" w14:textId="77777777" w:rsidR="00AB0D5E" w:rsidRDefault="00AB0D5E" w:rsidP="00C72F02">
      <w:pPr>
        <w:spacing w:line="480" w:lineRule="auto"/>
        <w:jc w:val="both"/>
        <w:rPr>
          <w:rFonts w:ascii="Calibri" w:hAnsi="Calibri" w:cs="Calibri"/>
          <w:color w:val="000000"/>
        </w:rPr>
      </w:pPr>
    </w:p>
    <w:p w14:paraId="14ED88AA" w14:textId="5EAA9133" w:rsidR="00A44A45" w:rsidRDefault="00AB0D5E" w:rsidP="00325DE2">
      <w:pPr>
        <w:spacing w:line="480" w:lineRule="auto"/>
        <w:jc w:val="both"/>
        <w:rPr>
          <w:rFonts w:ascii="Calibri" w:hAnsi="Calibri" w:cs="Calibri"/>
          <w:color w:val="000000"/>
        </w:rPr>
      </w:pPr>
      <w:r>
        <w:rPr>
          <w:rFonts w:ascii="Calibri" w:hAnsi="Calibri" w:cs="Calibri"/>
          <w:color w:val="000000"/>
        </w:rPr>
        <w:t xml:space="preserve">The </w:t>
      </w:r>
      <w:proofErr w:type="spellStart"/>
      <w:r w:rsidRPr="00A44A45">
        <w:rPr>
          <w:rFonts w:ascii="Calibri" w:hAnsi="Calibri" w:cs="Calibri"/>
          <w:i/>
          <w:iCs/>
          <w:color w:val="000000"/>
        </w:rPr>
        <w:t>Futuhat</w:t>
      </w:r>
      <w:proofErr w:type="spellEnd"/>
      <w:r>
        <w:rPr>
          <w:rFonts w:ascii="Calibri" w:hAnsi="Calibri" w:cs="Calibri"/>
          <w:color w:val="000000"/>
        </w:rPr>
        <w:t xml:space="preserve"> and the </w:t>
      </w:r>
      <w:proofErr w:type="spellStart"/>
      <w:r w:rsidRPr="00A44A45">
        <w:rPr>
          <w:rFonts w:ascii="Calibri" w:hAnsi="Calibri" w:cs="Calibri"/>
          <w:i/>
          <w:iCs/>
          <w:color w:val="000000"/>
        </w:rPr>
        <w:t>Fusus</w:t>
      </w:r>
      <w:proofErr w:type="spellEnd"/>
      <w:r>
        <w:rPr>
          <w:rFonts w:ascii="Calibri" w:hAnsi="Calibri" w:cs="Calibri"/>
          <w:color w:val="000000"/>
        </w:rPr>
        <w:t xml:space="preserve"> are both considered to </w:t>
      </w:r>
      <w:r w:rsidR="00325DE2">
        <w:rPr>
          <w:rFonts w:ascii="Calibri" w:hAnsi="Calibri" w:cs="Calibri"/>
          <w:color w:val="000000"/>
        </w:rPr>
        <w:t>be products of divine inspiration in line with Sufi hermeneutics. To some degree, t</w:t>
      </w:r>
      <w:r w:rsidR="00C86F4D">
        <w:rPr>
          <w:rFonts w:ascii="Calibri" w:hAnsi="Calibri" w:cs="Calibri"/>
          <w:color w:val="000000"/>
        </w:rPr>
        <w:t xml:space="preserve">he </w:t>
      </w:r>
      <w:proofErr w:type="spellStart"/>
      <w:r w:rsidR="00C86F4D">
        <w:rPr>
          <w:rFonts w:ascii="Calibri" w:hAnsi="Calibri" w:cs="Calibri"/>
          <w:i/>
          <w:iCs/>
          <w:color w:val="000000"/>
        </w:rPr>
        <w:t>Futuhat</w:t>
      </w:r>
      <w:proofErr w:type="spellEnd"/>
      <w:r w:rsidR="00C86F4D">
        <w:rPr>
          <w:rFonts w:ascii="Calibri" w:hAnsi="Calibri" w:cs="Calibri"/>
          <w:i/>
          <w:iCs/>
          <w:color w:val="000000"/>
        </w:rPr>
        <w:t xml:space="preserve"> </w:t>
      </w:r>
      <w:r w:rsidR="00A44A45">
        <w:rPr>
          <w:rFonts w:ascii="Calibri" w:hAnsi="Calibri" w:cs="Calibri"/>
          <w:color w:val="000000"/>
        </w:rPr>
        <w:t>is</w:t>
      </w:r>
      <w:r w:rsidR="00C86F4D">
        <w:rPr>
          <w:rFonts w:ascii="Calibri" w:hAnsi="Calibri" w:cs="Calibri"/>
          <w:color w:val="000000"/>
        </w:rPr>
        <w:t xml:space="preserve"> a </w:t>
      </w:r>
      <w:r w:rsidR="00325DE2">
        <w:rPr>
          <w:rFonts w:ascii="Calibri" w:hAnsi="Calibri" w:cs="Calibri"/>
          <w:color w:val="000000"/>
        </w:rPr>
        <w:t>running</w:t>
      </w:r>
      <w:r w:rsidR="00C86F4D">
        <w:rPr>
          <w:rFonts w:ascii="Calibri" w:hAnsi="Calibri" w:cs="Calibri"/>
          <w:color w:val="000000"/>
        </w:rPr>
        <w:t xml:space="preserve"> esoteric interpretation of the Quran, with major portions of it being based on the structure of the Quran (</w:t>
      </w:r>
      <w:proofErr w:type="spellStart"/>
      <w:r w:rsidR="00C86F4D">
        <w:rPr>
          <w:rFonts w:ascii="Calibri" w:hAnsi="Calibri" w:cs="Calibri"/>
          <w:color w:val="000000"/>
        </w:rPr>
        <w:t>Taleb</w:t>
      </w:r>
      <w:proofErr w:type="spellEnd"/>
      <w:r w:rsidR="00C86F4D">
        <w:rPr>
          <w:rFonts w:ascii="Calibri" w:hAnsi="Calibri" w:cs="Calibri"/>
          <w:color w:val="000000"/>
        </w:rPr>
        <w:t xml:space="preserve">, 2022, p.291). </w:t>
      </w:r>
      <w:r w:rsidR="00325DE2">
        <w:rPr>
          <w:rFonts w:ascii="Calibri" w:hAnsi="Calibri" w:cs="Calibri"/>
          <w:color w:val="000000"/>
        </w:rPr>
        <w:t>The same can also be said about the</w:t>
      </w:r>
      <w:r w:rsidR="00C86F4D">
        <w:rPr>
          <w:rFonts w:ascii="Calibri" w:hAnsi="Calibri" w:cs="Calibri"/>
          <w:color w:val="000000"/>
        </w:rPr>
        <w:t xml:space="preserve"> </w:t>
      </w:r>
      <w:proofErr w:type="spellStart"/>
      <w:r w:rsidR="00C86F4D">
        <w:rPr>
          <w:rFonts w:ascii="Calibri" w:hAnsi="Calibri" w:cs="Calibri"/>
          <w:i/>
          <w:iCs/>
          <w:color w:val="000000"/>
        </w:rPr>
        <w:t>Fusus</w:t>
      </w:r>
      <w:proofErr w:type="spellEnd"/>
      <w:r w:rsidR="00C86F4D">
        <w:rPr>
          <w:rFonts w:ascii="Calibri" w:hAnsi="Calibri" w:cs="Calibri"/>
          <w:i/>
          <w:iCs/>
          <w:color w:val="000000"/>
        </w:rPr>
        <w:t xml:space="preserve"> </w:t>
      </w:r>
      <w:r w:rsidR="00C86F4D">
        <w:rPr>
          <w:rFonts w:ascii="Calibri" w:hAnsi="Calibri" w:cs="Calibri"/>
          <w:color w:val="000000"/>
        </w:rPr>
        <w:t>(ibid).</w:t>
      </w:r>
      <w:r w:rsidR="00325DE2">
        <w:rPr>
          <w:rFonts w:ascii="Calibri" w:hAnsi="Calibri" w:cs="Calibri"/>
          <w:color w:val="000000"/>
        </w:rPr>
        <w:t xml:space="preserve"> As such, for there to be any </w:t>
      </w:r>
      <w:r w:rsidR="00325DE2">
        <w:rPr>
          <w:rFonts w:ascii="Calibri" w:hAnsi="Calibri" w:cs="Calibri"/>
          <w:color w:val="000000"/>
        </w:rPr>
        <w:lastRenderedPageBreak/>
        <w:t xml:space="preserve">contradiction </w:t>
      </w:r>
      <w:r w:rsidR="00690585">
        <w:rPr>
          <w:rFonts w:ascii="Calibri" w:hAnsi="Calibri" w:cs="Calibri"/>
          <w:color w:val="000000"/>
        </w:rPr>
        <w:t>between</w:t>
      </w:r>
      <w:r w:rsidR="00325DE2">
        <w:rPr>
          <w:rFonts w:ascii="Calibri" w:hAnsi="Calibri" w:cs="Calibri"/>
          <w:color w:val="000000"/>
        </w:rPr>
        <w:t xml:space="preserve"> the two would put the reliability of </w:t>
      </w:r>
      <w:r w:rsidR="00A44A45">
        <w:rPr>
          <w:rFonts w:ascii="Calibri" w:hAnsi="Calibri" w:cs="Calibri"/>
          <w:color w:val="000000"/>
        </w:rPr>
        <w:t xml:space="preserve">‘divinely inspired esoteric meanings’ into question, not only for the </w:t>
      </w:r>
      <w:r w:rsidR="00A44A45">
        <w:rPr>
          <w:rFonts w:ascii="Calibri" w:hAnsi="Calibri" w:cs="Calibri"/>
          <w:i/>
          <w:iCs/>
          <w:color w:val="000000"/>
        </w:rPr>
        <w:t xml:space="preserve"> </w:t>
      </w:r>
      <w:proofErr w:type="spellStart"/>
      <w:r w:rsidR="00A44A45">
        <w:rPr>
          <w:rFonts w:ascii="Calibri" w:hAnsi="Calibri" w:cs="Calibri"/>
          <w:i/>
          <w:iCs/>
          <w:color w:val="000000"/>
        </w:rPr>
        <w:t>Futahat</w:t>
      </w:r>
      <w:proofErr w:type="spellEnd"/>
      <w:r w:rsidR="00A44A45">
        <w:rPr>
          <w:rFonts w:ascii="Calibri" w:hAnsi="Calibri" w:cs="Calibri"/>
          <w:i/>
          <w:iCs/>
          <w:color w:val="000000"/>
        </w:rPr>
        <w:t xml:space="preserve"> </w:t>
      </w:r>
      <w:r w:rsidR="00A44A45">
        <w:rPr>
          <w:rFonts w:ascii="Calibri" w:hAnsi="Calibri" w:cs="Calibri"/>
          <w:color w:val="000000"/>
        </w:rPr>
        <w:t xml:space="preserve">and the </w:t>
      </w:r>
      <w:proofErr w:type="spellStart"/>
      <w:r w:rsidR="00A44A45">
        <w:rPr>
          <w:rFonts w:ascii="Calibri" w:hAnsi="Calibri" w:cs="Calibri"/>
          <w:i/>
          <w:iCs/>
          <w:color w:val="000000"/>
        </w:rPr>
        <w:t>Fusus</w:t>
      </w:r>
      <w:proofErr w:type="spellEnd"/>
      <w:r w:rsidR="00A44A45">
        <w:rPr>
          <w:rFonts w:ascii="Calibri" w:hAnsi="Calibri" w:cs="Calibri"/>
          <w:color w:val="000000"/>
        </w:rPr>
        <w:t xml:space="preserve"> </w:t>
      </w:r>
      <w:r w:rsidR="00690585">
        <w:rPr>
          <w:rFonts w:ascii="Calibri" w:hAnsi="Calibri" w:cs="Calibri"/>
          <w:color w:val="000000"/>
        </w:rPr>
        <w:t xml:space="preserve">but </w:t>
      </w:r>
      <w:r w:rsidR="00A44A45">
        <w:rPr>
          <w:rFonts w:ascii="Calibri" w:hAnsi="Calibri" w:cs="Calibri"/>
          <w:color w:val="000000"/>
        </w:rPr>
        <w:t xml:space="preserve">rather the whole Sufi hermeneutical tradition. </w:t>
      </w:r>
    </w:p>
    <w:p w14:paraId="1A9F2296" w14:textId="0CE23F7F" w:rsidR="001A1BCF" w:rsidRPr="00320B6B" w:rsidRDefault="00A44A45" w:rsidP="00690585">
      <w:pPr>
        <w:spacing w:line="480" w:lineRule="auto"/>
        <w:jc w:val="both"/>
        <w:rPr>
          <w:rFonts w:ascii="Calibri" w:hAnsi="Calibri" w:cs="Calibri"/>
          <w:color w:val="000000"/>
        </w:rPr>
      </w:pPr>
      <w:r>
        <w:rPr>
          <w:rFonts w:ascii="Calibri" w:hAnsi="Calibri" w:cs="Calibri"/>
          <w:color w:val="000000"/>
        </w:rPr>
        <w:t>Although</w:t>
      </w:r>
      <w:r w:rsidR="00F93742">
        <w:rPr>
          <w:rFonts w:ascii="Calibri" w:hAnsi="Calibri" w:cs="Calibri"/>
          <w:color w:val="000000"/>
        </w:rPr>
        <w:t xml:space="preserve"> a first glance at the </w:t>
      </w:r>
      <w:proofErr w:type="spellStart"/>
      <w:r w:rsidR="00F93742">
        <w:rPr>
          <w:rFonts w:ascii="Calibri" w:hAnsi="Calibri" w:cs="Calibri"/>
          <w:i/>
          <w:iCs/>
          <w:color w:val="000000"/>
        </w:rPr>
        <w:t>Futuhat</w:t>
      </w:r>
      <w:proofErr w:type="spellEnd"/>
      <w:r w:rsidR="00F93742">
        <w:rPr>
          <w:rFonts w:ascii="Calibri" w:hAnsi="Calibri" w:cs="Calibri"/>
          <w:i/>
          <w:iCs/>
          <w:color w:val="000000"/>
        </w:rPr>
        <w:t xml:space="preserve"> </w:t>
      </w:r>
      <w:r w:rsidR="00F93742">
        <w:rPr>
          <w:rFonts w:ascii="Calibri" w:hAnsi="Calibri" w:cs="Calibri"/>
          <w:color w:val="000000"/>
        </w:rPr>
        <w:t>would lead one to the same conclusion as al-</w:t>
      </w:r>
      <w:proofErr w:type="spellStart"/>
      <w:r w:rsidR="00F93742">
        <w:rPr>
          <w:rFonts w:ascii="Calibri" w:hAnsi="Calibri" w:cs="Calibri"/>
          <w:color w:val="000000"/>
        </w:rPr>
        <w:t>Harawi</w:t>
      </w:r>
      <w:proofErr w:type="spellEnd"/>
      <w:r w:rsidR="00F93742">
        <w:rPr>
          <w:rFonts w:ascii="Calibri" w:hAnsi="Calibri" w:cs="Calibri"/>
          <w:color w:val="000000"/>
        </w:rPr>
        <w:t xml:space="preserve"> and Ormsby, a closer examination of Ibn al-</w:t>
      </w:r>
      <w:proofErr w:type="spellStart"/>
      <w:r w:rsidR="00F93742">
        <w:rPr>
          <w:rFonts w:ascii="Calibri" w:hAnsi="Calibri" w:cs="Calibri"/>
          <w:color w:val="000000"/>
        </w:rPr>
        <w:t>Arbi’s</w:t>
      </w:r>
      <w:proofErr w:type="spellEnd"/>
      <w:r w:rsidR="00F93742">
        <w:rPr>
          <w:rFonts w:ascii="Calibri" w:hAnsi="Calibri" w:cs="Calibri"/>
          <w:color w:val="000000"/>
        </w:rPr>
        <w:t xml:space="preserve"> wording would suggest otherwise. </w:t>
      </w:r>
      <w:r w:rsidR="00C76CB5">
        <w:rPr>
          <w:rFonts w:ascii="Calibri" w:hAnsi="Calibri" w:cs="Calibri"/>
          <w:color w:val="000000"/>
        </w:rPr>
        <w:t xml:space="preserve">Hence, reading Ibn Arabi’s works can be a challenging task </w:t>
      </w:r>
      <w:r w:rsidR="00690585">
        <w:rPr>
          <w:rFonts w:ascii="Calibri" w:hAnsi="Calibri" w:cs="Calibri"/>
          <w:color w:val="000000"/>
        </w:rPr>
        <w:t>that</w:t>
      </w:r>
      <w:r w:rsidR="00C76CB5">
        <w:rPr>
          <w:rFonts w:ascii="Calibri" w:hAnsi="Calibri" w:cs="Calibri"/>
          <w:color w:val="000000"/>
        </w:rPr>
        <w:t xml:space="preserve"> requires the reader to be proficient in </w:t>
      </w:r>
      <w:r w:rsidR="00690585">
        <w:rPr>
          <w:rFonts w:ascii="Calibri" w:hAnsi="Calibri" w:cs="Calibri"/>
          <w:color w:val="000000"/>
        </w:rPr>
        <w:t>several</w:t>
      </w:r>
      <w:r w:rsidR="00C76CB5">
        <w:rPr>
          <w:rFonts w:ascii="Calibri" w:hAnsi="Calibri" w:cs="Calibri"/>
          <w:color w:val="000000"/>
        </w:rPr>
        <w:t xml:space="preserve"> Islamic sciences (Qureshi, 2021, p.94). </w:t>
      </w:r>
      <w:r w:rsidR="008005C7" w:rsidRPr="00320B6B">
        <w:rPr>
          <w:rFonts w:ascii="Calibri" w:hAnsi="Calibri" w:cs="Calibri"/>
          <w:color w:val="000000"/>
        </w:rPr>
        <w:t>Perhaps it is</w:t>
      </w:r>
      <w:r w:rsidR="00FE3984" w:rsidRPr="00320B6B">
        <w:rPr>
          <w:rFonts w:ascii="Calibri" w:hAnsi="Calibri" w:cs="Calibri"/>
          <w:color w:val="000000"/>
        </w:rPr>
        <w:t>,</w:t>
      </w:r>
      <w:r w:rsidR="008005C7" w:rsidRPr="00320B6B">
        <w:rPr>
          <w:rFonts w:ascii="Calibri" w:hAnsi="Calibri" w:cs="Calibri"/>
          <w:color w:val="000000"/>
        </w:rPr>
        <w:t xml:space="preserve"> for this reason</w:t>
      </w:r>
      <w:r w:rsidR="00FE3984" w:rsidRPr="00320B6B">
        <w:rPr>
          <w:rFonts w:ascii="Calibri" w:hAnsi="Calibri" w:cs="Calibri"/>
          <w:color w:val="000000"/>
        </w:rPr>
        <w:t>,</w:t>
      </w:r>
      <w:r w:rsidR="008005C7" w:rsidRPr="00320B6B">
        <w:rPr>
          <w:rFonts w:ascii="Calibri" w:hAnsi="Calibri" w:cs="Calibri"/>
          <w:color w:val="000000"/>
        </w:rPr>
        <w:t xml:space="preserve"> al-</w:t>
      </w:r>
      <w:proofErr w:type="spellStart"/>
      <w:r w:rsidR="008005C7" w:rsidRPr="00320B6B">
        <w:rPr>
          <w:rFonts w:ascii="Calibri" w:hAnsi="Calibri" w:cs="Calibri"/>
          <w:color w:val="000000"/>
        </w:rPr>
        <w:t>Suyuti</w:t>
      </w:r>
      <w:proofErr w:type="spellEnd"/>
      <w:r w:rsidR="008005C7" w:rsidRPr="00320B6B">
        <w:rPr>
          <w:rFonts w:ascii="Calibri" w:hAnsi="Calibri" w:cs="Calibri"/>
          <w:color w:val="000000"/>
        </w:rPr>
        <w:t xml:space="preserve"> (d.1505), a Quran commentator, has suggested</w:t>
      </w:r>
      <w:r w:rsidR="00FE3984" w:rsidRPr="00320B6B">
        <w:rPr>
          <w:rFonts w:ascii="Calibri" w:hAnsi="Calibri" w:cs="Calibri"/>
          <w:color w:val="000000"/>
        </w:rPr>
        <w:t xml:space="preserve"> </w:t>
      </w:r>
      <w:r w:rsidR="008005C7" w:rsidRPr="00320B6B">
        <w:rPr>
          <w:rFonts w:ascii="Calibri" w:hAnsi="Calibri" w:cs="Calibri"/>
          <w:color w:val="000000"/>
        </w:rPr>
        <w:t xml:space="preserve">that belief in his sainthood should be maintained whilst prohibiting the reading of his books as his terminologies are </w:t>
      </w:r>
      <w:r w:rsidR="003E254A" w:rsidRPr="00320B6B">
        <w:rPr>
          <w:rFonts w:ascii="Calibri" w:hAnsi="Calibri" w:cs="Calibri"/>
          <w:color w:val="000000"/>
        </w:rPr>
        <w:t xml:space="preserve">too complex for everyone to understand without falling into heresy </w:t>
      </w:r>
      <w:r w:rsidR="008005C7" w:rsidRPr="00320B6B">
        <w:rPr>
          <w:rFonts w:ascii="Calibri" w:hAnsi="Calibri" w:cs="Calibri"/>
          <w:color w:val="000000"/>
        </w:rPr>
        <w:t xml:space="preserve"> (Ernst, 2018, p.112).</w:t>
      </w:r>
      <w:r w:rsidR="003E254A" w:rsidRPr="00320B6B">
        <w:rPr>
          <w:rFonts w:ascii="Calibri" w:hAnsi="Calibri" w:cs="Calibri"/>
          <w:color w:val="000000"/>
        </w:rPr>
        <w:t xml:space="preserve"> </w:t>
      </w:r>
    </w:p>
    <w:p w14:paraId="357BFDEE" w14:textId="77777777" w:rsidR="00690585" w:rsidRDefault="00690585">
      <w:pPr>
        <w:pStyle w:val="NormalWeb"/>
        <w:spacing w:line="480" w:lineRule="auto"/>
        <w:jc w:val="center"/>
        <w:divId w:val="580723121"/>
        <w:rPr>
          <w:rFonts w:ascii="Calibri" w:hAnsi="Calibri" w:cs="Calibri"/>
          <w:color w:val="000000"/>
        </w:rPr>
      </w:pPr>
    </w:p>
    <w:p w14:paraId="777C16C9" w14:textId="77777777" w:rsidR="00690585" w:rsidRDefault="00690585">
      <w:pPr>
        <w:rPr>
          <w:rFonts w:ascii="Calibri" w:eastAsiaTheme="minorEastAsia" w:hAnsi="Calibri" w:cs="Calibri"/>
          <w:color w:val="000000"/>
          <w:kern w:val="0"/>
          <w:lang w:eastAsia="en-GB"/>
          <w14:ligatures w14:val="none"/>
        </w:rPr>
      </w:pPr>
      <w:r>
        <w:rPr>
          <w:rFonts w:ascii="Calibri" w:hAnsi="Calibri" w:cs="Calibri"/>
          <w:color w:val="000000"/>
        </w:rPr>
        <w:br w:type="page"/>
      </w:r>
    </w:p>
    <w:p w14:paraId="017AD616" w14:textId="77777777" w:rsidR="00690585" w:rsidRPr="00F964E3" w:rsidRDefault="00690585" w:rsidP="00690585">
      <w:pPr>
        <w:pStyle w:val="NormalWeb"/>
        <w:spacing w:line="480" w:lineRule="auto"/>
        <w:ind w:left="450" w:hanging="450"/>
        <w:jc w:val="center"/>
        <w:divId w:val="580723121"/>
        <w:rPr>
          <w:rFonts w:ascii="Calibri" w:hAnsi="Calibri" w:cs="Calibri"/>
          <w:color w:val="000000"/>
        </w:rPr>
      </w:pPr>
      <w:r w:rsidRPr="00F964E3">
        <w:rPr>
          <w:rFonts w:ascii="Calibri" w:hAnsi="Calibri" w:cs="Calibri"/>
          <w:color w:val="000000"/>
        </w:rPr>
        <w:lastRenderedPageBreak/>
        <w:t>References</w:t>
      </w:r>
    </w:p>
    <w:p w14:paraId="3597A180" w14:textId="0F6B88DD" w:rsidR="00690585" w:rsidRDefault="00690585" w:rsidP="00690585">
      <w:pPr>
        <w:pStyle w:val="NormalWeb"/>
        <w:spacing w:line="480" w:lineRule="auto"/>
        <w:ind w:left="450" w:hanging="450"/>
        <w:divId w:val="580723121"/>
        <w:rPr>
          <w:rFonts w:ascii="Calibri" w:hAnsi="Calibri" w:cs="Calibri"/>
          <w:color w:val="000000"/>
        </w:rPr>
      </w:pPr>
      <w:r w:rsidRPr="00320B6B">
        <w:rPr>
          <w:rFonts w:ascii="Calibri" w:hAnsi="Calibri" w:cs="Calibri"/>
          <w:color w:val="000000"/>
        </w:rPr>
        <w:t xml:space="preserve">al-Arabi, I. (1999). </w:t>
      </w:r>
      <w:r w:rsidRPr="00320B6B">
        <w:rPr>
          <w:rFonts w:ascii="Calibri" w:hAnsi="Calibri" w:cs="Calibri"/>
          <w:i/>
          <w:iCs/>
          <w:color w:val="000000"/>
        </w:rPr>
        <w:t>al-</w:t>
      </w:r>
      <w:proofErr w:type="spellStart"/>
      <w:r w:rsidRPr="00320B6B">
        <w:rPr>
          <w:rFonts w:ascii="Calibri" w:hAnsi="Calibri" w:cs="Calibri"/>
          <w:i/>
          <w:iCs/>
          <w:color w:val="000000"/>
        </w:rPr>
        <w:t>Futuhat</w:t>
      </w:r>
      <w:proofErr w:type="spellEnd"/>
      <w:r w:rsidRPr="00320B6B">
        <w:rPr>
          <w:rFonts w:ascii="Calibri" w:hAnsi="Calibri" w:cs="Calibri"/>
          <w:i/>
          <w:iCs/>
          <w:color w:val="000000"/>
        </w:rPr>
        <w:t xml:space="preserve"> al-</w:t>
      </w:r>
      <w:proofErr w:type="spellStart"/>
      <w:r w:rsidRPr="00320B6B">
        <w:rPr>
          <w:rFonts w:ascii="Calibri" w:hAnsi="Calibri" w:cs="Calibri"/>
          <w:i/>
          <w:iCs/>
          <w:color w:val="000000"/>
        </w:rPr>
        <w:t>Makkiyyah</w:t>
      </w:r>
      <w:proofErr w:type="spellEnd"/>
      <w:r w:rsidR="00E449B5">
        <w:rPr>
          <w:rFonts w:ascii="Calibri" w:hAnsi="Calibri" w:cs="Calibri"/>
          <w:i/>
          <w:iCs/>
          <w:color w:val="000000"/>
        </w:rPr>
        <w:t xml:space="preserve"> </w:t>
      </w:r>
      <w:r w:rsidR="00E449B5">
        <w:rPr>
          <w:rFonts w:ascii="undefined" w:hAnsi="undefined"/>
        </w:rPr>
        <w:t>(Vol. 1)</w:t>
      </w:r>
      <w:r w:rsidRPr="00320B6B">
        <w:rPr>
          <w:rFonts w:ascii="Calibri" w:hAnsi="Calibri" w:cs="Calibri"/>
          <w:color w:val="000000"/>
        </w:rPr>
        <w:t>. Dar al-</w:t>
      </w:r>
      <w:proofErr w:type="spellStart"/>
      <w:r w:rsidRPr="00320B6B">
        <w:rPr>
          <w:rFonts w:ascii="Calibri" w:hAnsi="Calibri" w:cs="Calibri"/>
          <w:color w:val="000000"/>
        </w:rPr>
        <w:t>Kotob</w:t>
      </w:r>
      <w:proofErr w:type="spellEnd"/>
      <w:r w:rsidRPr="00320B6B">
        <w:rPr>
          <w:rFonts w:ascii="Calibri" w:hAnsi="Calibri" w:cs="Calibri"/>
          <w:color w:val="000000"/>
        </w:rPr>
        <w:t xml:space="preserve"> al-</w:t>
      </w:r>
      <w:proofErr w:type="spellStart"/>
      <w:r w:rsidRPr="00320B6B">
        <w:rPr>
          <w:rFonts w:ascii="Calibri" w:hAnsi="Calibri" w:cs="Calibri"/>
          <w:color w:val="000000"/>
        </w:rPr>
        <w:t>Ilmiyah</w:t>
      </w:r>
      <w:proofErr w:type="spellEnd"/>
      <w:r w:rsidRPr="00320B6B">
        <w:rPr>
          <w:rFonts w:ascii="Calibri" w:hAnsi="Calibri" w:cs="Calibri"/>
          <w:color w:val="000000"/>
        </w:rPr>
        <w:t xml:space="preserve">. </w:t>
      </w:r>
    </w:p>
    <w:p w14:paraId="6073BB98" w14:textId="4BB68EF8" w:rsidR="00690585" w:rsidRPr="00F964E3" w:rsidRDefault="00690585" w:rsidP="00690585">
      <w:pPr>
        <w:pStyle w:val="NormalWeb"/>
        <w:spacing w:line="480" w:lineRule="auto"/>
        <w:ind w:left="450" w:hanging="450"/>
        <w:divId w:val="580723121"/>
        <w:rPr>
          <w:rFonts w:ascii="Calibri" w:hAnsi="Calibri" w:cs="Calibri"/>
          <w:color w:val="000000"/>
        </w:rPr>
      </w:pPr>
      <w:r w:rsidRPr="00F964E3">
        <w:rPr>
          <w:rFonts w:ascii="Calibri" w:hAnsi="Calibri" w:cs="Calibri"/>
          <w:color w:val="000000"/>
        </w:rPr>
        <w:t xml:space="preserve">al-Arabi, I. (2015). ‘The Bezel of the Wisdom of Exaltation Exists in the Essence of Moses.’ </w:t>
      </w:r>
      <w:proofErr w:type="spellStart"/>
      <w:r w:rsidRPr="00F964E3">
        <w:rPr>
          <w:rFonts w:ascii="Calibri" w:hAnsi="Calibri" w:cs="Calibri"/>
          <w:color w:val="000000"/>
        </w:rPr>
        <w:t>Abrahamov</w:t>
      </w:r>
      <w:proofErr w:type="spellEnd"/>
      <w:r w:rsidRPr="00F964E3">
        <w:rPr>
          <w:rFonts w:ascii="Calibri" w:hAnsi="Calibri" w:cs="Calibri"/>
          <w:color w:val="000000"/>
        </w:rPr>
        <w:t xml:space="preserve"> (trans.). </w:t>
      </w:r>
      <w:r w:rsidRPr="00690585">
        <w:rPr>
          <w:rFonts w:ascii="Calibri" w:hAnsi="Calibri" w:cs="Calibri"/>
          <w:i/>
          <w:iCs/>
          <w:color w:val="000000"/>
        </w:rPr>
        <w:t xml:space="preserve">Ibn </w:t>
      </w:r>
      <w:proofErr w:type="spellStart"/>
      <w:r w:rsidRPr="00690585">
        <w:rPr>
          <w:rFonts w:ascii="Calibri" w:hAnsi="Calibri" w:cs="Calibri"/>
          <w:i/>
          <w:iCs/>
          <w:color w:val="000000"/>
        </w:rPr>
        <w:t>al-ʿArabi</w:t>
      </w:r>
      <w:proofErr w:type="spellEnd"/>
      <w:r w:rsidRPr="00690585">
        <w:rPr>
          <w:rFonts w:ascii="Calibri" w:hAnsi="Calibri" w:cs="Calibri"/>
          <w:i/>
          <w:iCs/>
          <w:color w:val="000000"/>
        </w:rPr>
        <w:t xml:space="preserve">̄’s </w:t>
      </w:r>
      <w:proofErr w:type="spellStart"/>
      <w:r w:rsidRPr="00690585">
        <w:rPr>
          <w:rFonts w:ascii="Calibri" w:hAnsi="Calibri" w:cs="Calibri"/>
          <w:i/>
          <w:iCs/>
          <w:color w:val="000000"/>
        </w:rPr>
        <w:t>Fuṣūs</w:t>
      </w:r>
      <w:proofErr w:type="spellEnd"/>
      <w:r w:rsidRPr="00690585">
        <w:rPr>
          <w:rFonts w:ascii="Calibri" w:hAnsi="Calibri" w:cs="Calibri"/>
          <w:i/>
          <w:iCs/>
          <w:color w:val="000000"/>
        </w:rPr>
        <w:t xml:space="preserve">̣ </w:t>
      </w:r>
      <w:proofErr w:type="spellStart"/>
      <w:r w:rsidRPr="00690585">
        <w:rPr>
          <w:rFonts w:ascii="Calibri" w:hAnsi="Calibri" w:cs="Calibri"/>
          <w:i/>
          <w:iCs/>
          <w:color w:val="000000"/>
        </w:rPr>
        <w:t>Al-Ḥikam</w:t>
      </w:r>
      <w:proofErr w:type="spellEnd"/>
      <w:r w:rsidRPr="00690585">
        <w:rPr>
          <w:rFonts w:ascii="Calibri" w:hAnsi="Calibri" w:cs="Calibri"/>
          <w:i/>
          <w:iCs/>
          <w:color w:val="000000"/>
        </w:rPr>
        <w:t>. An Annotated Translation of The Bezels of Wisdom</w:t>
      </w:r>
      <w:r w:rsidRPr="00F964E3">
        <w:rPr>
          <w:rFonts w:ascii="Calibri" w:hAnsi="Calibri" w:cs="Calibri"/>
          <w:color w:val="000000"/>
        </w:rPr>
        <w:t xml:space="preserve">. Routledge. </w:t>
      </w:r>
    </w:p>
    <w:p w14:paraId="52F09980" w14:textId="77777777" w:rsidR="00690585" w:rsidRPr="00F964E3" w:rsidRDefault="00690585" w:rsidP="00690585">
      <w:pPr>
        <w:pStyle w:val="NormalWeb"/>
        <w:spacing w:line="480" w:lineRule="auto"/>
        <w:ind w:left="450" w:hanging="450"/>
        <w:divId w:val="580723121"/>
        <w:rPr>
          <w:rFonts w:ascii="Calibri" w:hAnsi="Calibri" w:cs="Calibri"/>
          <w:color w:val="000000"/>
        </w:rPr>
      </w:pPr>
      <w:r w:rsidRPr="00F964E3">
        <w:rPr>
          <w:rFonts w:ascii="Calibri" w:hAnsi="Calibri" w:cs="Calibri"/>
          <w:color w:val="000000"/>
        </w:rPr>
        <w:t xml:space="preserve">Ernst, C. W. (2018). ‘Controversies over Ibn Arabi’s </w:t>
      </w:r>
      <w:proofErr w:type="spellStart"/>
      <w:r w:rsidRPr="00F964E3">
        <w:rPr>
          <w:rFonts w:ascii="Calibri" w:hAnsi="Calibri" w:cs="Calibri"/>
          <w:color w:val="000000"/>
        </w:rPr>
        <w:t>Fusus</w:t>
      </w:r>
      <w:proofErr w:type="spellEnd"/>
      <w:r w:rsidRPr="00F964E3">
        <w:rPr>
          <w:rFonts w:ascii="Calibri" w:hAnsi="Calibri" w:cs="Calibri"/>
          <w:color w:val="000000"/>
        </w:rPr>
        <w:t xml:space="preserve">: The Faith of Pharaoh.’ </w:t>
      </w:r>
      <w:r w:rsidRPr="00690585">
        <w:rPr>
          <w:rFonts w:ascii="Calibri" w:hAnsi="Calibri" w:cs="Calibri"/>
          <w:i/>
          <w:iCs/>
          <w:color w:val="000000"/>
        </w:rPr>
        <w:t>It’s Not Just Academic! Essays on Sufism and Islamic Studies</w:t>
      </w:r>
      <w:r w:rsidRPr="00F964E3">
        <w:rPr>
          <w:rFonts w:ascii="Calibri" w:hAnsi="Calibri" w:cs="Calibri"/>
          <w:color w:val="000000"/>
        </w:rPr>
        <w:t xml:space="preserve">. Sage. </w:t>
      </w:r>
    </w:p>
    <w:p w14:paraId="733D9C4A" w14:textId="77A85499" w:rsidR="00690585" w:rsidRPr="00F964E3" w:rsidRDefault="00690585" w:rsidP="001C5D1B">
      <w:pPr>
        <w:pStyle w:val="NormalWeb"/>
        <w:spacing w:line="480" w:lineRule="auto"/>
        <w:ind w:left="450" w:hanging="450"/>
        <w:divId w:val="580723121"/>
        <w:rPr>
          <w:rFonts w:ascii="Calibri" w:hAnsi="Calibri" w:cs="Calibri"/>
          <w:color w:val="000000"/>
        </w:rPr>
      </w:pPr>
      <w:r w:rsidRPr="00F964E3">
        <w:rPr>
          <w:rFonts w:ascii="Calibri" w:hAnsi="Calibri" w:cs="Calibri"/>
          <w:color w:val="000000"/>
        </w:rPr>
        <w:t xml:space="preserve">Ormsby, E. (2004). ‘The Faith of Pharaoh: A Disputed Question in Islamic Theology.’ </w:t>
      </w:r>
      <w:r w:rsidRPr="001C5D1B">
        <w:rPr>
          <w:rFonts w:ascii="Calibri" w:hAnsi="Calibri" w:cs="Calibri"/>
          <w:i/>
          <w:iCs/>
          <w:color w:val="000000"/>
        </w:rPr>
        <w:t xml:space="preserve">Studia </w:t>
      </w:r>
      <w:proofErr w:type="spellStart"/>
      <w:r w:rsidRPr="001C5D1B">
        <w:rPr>
          <w:rFonts w:ascii="Calibri" w:hAnsi="Calibri" w:cs="Calibri"/>
          <w:i/>
          <w:iCs/>
          <w:color w:val="000000"/>
        </w:rPr>
        <w:t>Islamica</w:t>
      </w:r>
      <w:proofErr w:type="spellEnd"/>
      <w:r w:rsidRPr="001C5D1B">
        <w:rPr>
          <w:rFonts w:ascii="Calibri" w:hAnsi="Calibri" w:cs="Calibri"/>
          <w:i/>
          <w:iCs/>
          <w:color w:val="000000"/>
        </w:rPr>
        <w:t>, 98-99</w:t>
      </w:r>
      <w:r w:rsidRPr="00F964E3">
        <w:rPr>
          <w:rFonts w:ascii="Calibri" w:hAnsi="Calibri" w:cs="Calibri"/>
          <w:color w:val="000000"/>
        </w:rPr>
        <w:t>(98)</w:t>
      </w:r>
    </w:p>
    <w:p w14:paraId="1DA1A617" w14:textId="2F8B60D1" w:rsidR="00690585" w:rsidRPr="00F964E3" w:rsidRDefault="00690585" w:rsidP="00690585">
      <w:pPr>
        <w:pStyle w:val="NormalWeb"/>
        <w:spacing w:line="480" w:lineRule="auto"/>
        <w:ind w:left="450" w:hanging="450"/>
        <w:divId w:val="580723121"/>
        <w:rPr>
          <w:rFonts w:ascii="Calibri" w:hAnsi="Calibri" w:cs="Calibri"/>
          <w:color w:val="000000"/>
        </w:rPr>
      </w:pPr>
      <w:r w:rsidRPr="00F964E3">
        <w:rPr>
          <w:rFonts w:ascii="Calibri" w:hAnsi="Calibri" w:cs="Calibri"/>
          <w:color w:val="000000"/>
        </w:rPr>
        <w:t xml:space="preserve">Qureshi, J. A. (2021). ‘Ibn ‘Arabi and the </w:t>
      </w:r>
      <w:proofErr w:type="spellStart"/>
      <w:r w:rsidRPr="00F964E3">
        <w:rPr>
          <w:rFonts w:ascii="Calibri" w:hAnsi="Calibri" w:cs="Calibri"/>
          <w:color w:val="000000"/>
        </w:rPr>
        <w:t>Akbarī</w:t>
      </w:r>
      <w:proofErr w:type="spellEnd"/>
      <w:r w:rsidRPr="00F964E3">
        <w:rPr>
          <w:rFonts w:ascii="Calibri" w:hAnsi="Calibri" w:cs="Calibri"/>
          <w:color w:val="000000"/>
        </w:rPr>
        <w:t xml:space="preserve"> tradition.’ In L. Ridgeon (Ed.), </w:t>
      </w:r>
      <w:r w:rsidRPr="00690585">
        <w:rPr>
          <w:rFonts w:ascii="Calibri" w:hAnsi="Calibri" w:cs="Calibri"/>
          <w:i/>
          <w:iCs/>
          <w:color w:val="000000"/>
        </w:rPr>
        <w:t>Handbook on Sufism</w:t>
      </w:r>
      <w:r w:rsidRPr="00F964E3">
        <w:rPr>
          <w:rFonts w:ascii="Calibri" w:hAnsi="Calibri" w:cs="Calibri"/>
          <w:color w:val="000000"/>
        </w:rPr>
        <w:t xml:space="preserve">. Routledge. </w:t>
      </w:r>
    </w:p>
    <w:p w14:paraId="5D6D86B6" w14:textId="77777777" w:rsidR="00690585" w:rsidRPr="00F964E3" w:rsidRDefault="00690585" w:rsidP="00690585">
      <w:pPr>
        <w:spacing w:line="480" w:lineRule="auto"/>
        <w:ind w:left="720" w:hanging="720"/>
        <w:jc w:val="both"/>
        <w:divId w:val="580723121"/>
        <w:rPr>
          <w:rFonts w:ascii="Calibri" w:hAnsi="Calibri" w:cs="Calibri"/>
          <w:color w:val="000000"/>
        </w:rPr>
      </w:pPr>
      <w:proofErr w:type="spellStart"/>
      <w:r w:rsidRPr="00F964E3">
        <w:rPr>
          <w:rFonts w:ascii="Calibri" w:hAnsi="Calibri" w:cs="Calibri"/>
          <w:color w:val="000000"/>
        </w:rPr>
        <w:t>Taleb</w:t>
      </w:r>
      <w:proofErr w:type="spellEnd"/>
      <w:r w:rsidRPr="00F964E3">
        <w:rPr>
          <w:rFonts w:ascii="Calibri" w:hAnsi="Calibri" w:cs="Calibri"/>
          <w:color w:val="000000"/>
        </w:rPr>
        <w:t xml:space="preserve">, L. R. (2022). ‘Sufi </w:t>
      </w:r>
      <w:proofErr w:type="spellStart"/>
      <w:r w:rsidRPr="00F964E3">
        <w:rPr>
          <w:rFonts w:ascii="Calibri" w:hAnsi="Calibri" w:cs="Calibri"/>
          <w:color w:val="000000"/>
        </w:rPr>
        <w:t>Tafsīr</w:t>
      </w:r>
      <w:proofErr w:type="spellEnd"/>
      <w:r w:rsidRPr="00F964E3">
        <w:rPr>
          <w:rFonts w:ascii="Calibri" w:hAnsi="Calibri" w:cs="Calibri"/>
          <w:color w:val="000000"/>
        </w:rPr>
        <w:t xml:space="preserve">.’ In G. Archer, M. M. </w:t>
      </w:r>
      <w:proofErr w:type="spellStart"/>
      <w:r w:rsidRPr="00F964E3">
        <w:rPr>
          <w:rFonts w:ascii="Calibri" w:hAnsi="Calibri" w:cs="Calibri"/>
          <w:color w:val="000000"/>
        </w:rPr>
        <w:t>Dakake</w:t>
      </w:r>
      <w:proofErr w:type="spellEnd"/>
      <w:r w:rsidRPr="00F964E3">
        <w:rPr>
          <w:rFonts w:ascii="Calibri" w:hAnsi="Calibri" w:cs="Calibri"/>
          <w:color w:val="000000"/>
        </w:rPr>
        <w:t xml:space="preserve"> &amp; D. A. Madigan (Eds.), </w:t>
      </w:r>
      <w:r w:rsidRPr="00690585">
        <w:rPr>
          <w:rFonts w:ascii="Calibri" w:hAnsi="Calibri" w:cs="Calibri"/>
          <w:i/>
          <w:iCs/>
          <w:color w:val="000000"/>
        </w:rPr>
        <w:t>The Routledge Companion to the Qur'an</w:t>
      </w:r>
      <w:r w:rsidRPr="00F964E3">
        <w:rPr>
          <w:rFonts w:ascii="Calibri" w:hAnsi="Calibri" w:cs="Calibri"/>
          <w:color w:val="000000"/>
        </w:rPr>
        <w:t>. Routledge.</w:t>
      </w:r>
    </w:p>
    <w:p w14:paraId="3344D0A6" w14:textId="77777777" w:rsidR="00690585" w:rsidRDefault="00690585">
      <w:pPr>
        <w:pStyle w:val="NormalWeb"/>
        <w:spacing w:line="480" w:lineRule="auto"/>
        <w:jc w:val="center"/>
        <w:divId w:val="580723121"/>
        <w:rPr>
          <w:rFonts w:ascii="Calibri" w:hAnsi="Calibri" w:cs="Calibri"/>
          <w:color w:val="000000"/>
        </w:rPr>
      </w:pPr>
    </w:p>
    <w:p w14:paraId="704E6B4A" w14:textId="54D12C96" w:rsidR="001A1BCF" w:rsidRPr="001C5D1B" w:rsidRDefault="001A1BCF" w:rsidP="001C5D1B">
      <w:pPr>
        <w:rPr>
          <w:rFonts w:ascii="Calibri" w:eastAsiaTheme="minorEastAsia" w:hAnsi="Calibri" w:cs="Calibri"/>
          <w:color w:val="000000"/>
          <w:kern w:val="0"/>
          <w:lang w:eastAsia="en-GB"/>
          <w14:ligatures w14:val="none"/>
        </w:rPr>
      </w:pPr>
    </w:p>
    <w:sectPr w:rsidR="001A1BCF" w:rsidRPr="001C5D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1016" w14:textId="77777777" w:rsidR="001934EC" w:rsidRDefault="001934EC" w:rsidP="006A09D9">
      <w:r>
        <w:separator/>
      </w:r>
    </w:p>
  </w:endnote>
  <w:endnote w:type="continuationSeparator" w:id="0">
    <w:p w14:paraId="5916B6A3" w14:textId="77777777" w:rsidR="001934EC" w:rsidRDefault="001934EC" w:rsidP="006A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undefine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719A8" w14:textId="77777777" w:rsidR="001934EC" w:rsidRDefault="001934EC" w:rsidP="006A09D9">
      <w:r>
        <w:separator/>
      </w:r>
    </w:p>
  </w:footnote>
  <w:footnote w:type="continuationSeparator" w:id="0">
    <w:p w14:paraId="1FDAEDBD" w14:textId="77777777" w:rsidR="001934EC" w:rsidRDefault="001934EC" w:rsidP="006A09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E70"/>
    <w:rsid w:val="00013213"/>
    <w:rsid w:val="000274F7"/>
    <w:rsid w:val="000302F0"/>
    <w:rsid w:val="00046772"/>
    <w:rsid w:val="000629EB"/>
    <w:rsid w:val="0006309C"/>
    <w:rsid w:val="000A0420"/>
    <w:rsid w:val="000A7135"/>
    <w:rsid w:val="000C23BF"/>
    <w:rsid w:val="000C66C5"/>
    <w:rsid w:val="000D3862"/>
    <w:rsid w:val="000D426E"/>
    <w:rsid w:val="000F77EB"/>
    <w:rsid w:val="00112BA1"/>
    <w:rsid w:val="001220F8"/>
    <w:rsid w:val="001934EC"/>
    <w:rsid w:val="001A1BCF"/>
    <w:rsid w:val="001B6C14"/>
    <w:rsid w:val="001C5D1B"/>
    <w:rsid w:val="00233DA3"/>
    <w:rsid w:val="0024112F"/>
    <w:rsid w:val="00263979"/>
    <w:rsid w:val="00263C22"/>
    <w:rsid w:val="002B29B7"/>
    <w:rsid w:val="002F1134"/>
    <w:rsid w:val="002F3646"/>
    <w:rsid w:val="00300A26"/>
    <w:rsid w:val="00306C5A"/>
    <w:rsid w:val="00320B6B"/>
    <w:rsid w:val="00325DE2"/>
    <w:rsid w:val="00383239"/>
    <w:rsid w:val="00390BAC"/>
    <w:rsid w:val="0039485D"/>
    <w:rsid w:val="00397BD6"/>
    <w:rsid w:val="003A6318"/>
    <w:rsid w:val="003A66CF"/>
    <w:rsid w:val="003B6DA4"/>
    <w:rsid w:val="003C2488"/>
    <w:rsid w:val="003C65F1"/>
    <w:rsid w:val="003D71CA"/>
    <w:rsid w:val="003E254A"/>
    <w:rsid w:val="003F0CA1"/>
    <w:rsid w:val="004403C6"/>
    <w:rsid w:val="00455DDF"/>
    <w:rsid w:val="004612AD"/>
    <w:rsid w:val="00462032"/>
    <w:rsid w:val="00470F4E"/>
    <w:rsid w:val="00473639"/>
    <w:rsid w:val="00486600"/>
    <w:rsid w:val="00491C3D"/>
    <w:rsid w:val="00494AF5"/>
    <w:rsid w:val="00494DD6"/>
    <w:rsid w:val="004C64CA"/>
    <w:rsid w:val="00532212"/>
    <w:rsid w:val="00547373"/>
    <w:rsid w:val="005537BE"/>
    <w:rsid w:val="005608BC"/>
    <w:rsid w:val="0056308D"/>
    <w:rsid w:val="005947F1"/>
    <w:rsid w:val="005D2DE2"/>
    <w:rsid w:val="005D5B66"/>
    <w:rsid w:val="005E2FFB"/>
    <w:rsid w:val="00612657"/>
    <w:rsid w:val="00612D37"/>
    <w:rsid w:val="00624D1C"/>
    <w:rsid w:val="00667163"/>
    <w:rsid w:val="0068762F"/>
    <w:rsid w:val="00690585"/>
    <w:rsid w:val="006A09D9"/>
    <w:rsid w:val="006C0581"/>
    <w:rsid w:val="006C0733"/>
    <w:rsid w:val="006C14D2"/>
    <w:rsid w:val="006C2F60"/>
    <w:rsid w:val="006D1935"/>
    <w:rsid w:val="006D30EB"/>
    <w:rsid w:val="006D48AE"/>
    <w:rsid w:val="00700248"/>
    <w:rsid w:val="00731F3C"/>
    <w:rsid w:val="00732607"/>
    <w:rsid w:val="00734CC0"/>
    <w:rsid w:val="007369CE"/>
    <w:rsid w:val="007569B9"/>
    <w:rsid w:val="00760562"/>
    <w:rsid w:val="00771BB8"/>
    <w:rsid w:val="0077753E"/>
    <w:rsid w:val="00784282"/>
    <w:rsid w:val="007A5596"/>
    <w:rsid w:val="007C58C0"/>
    <w:rsid w:val="007D4E2C"/>
    <w:rsid w:val="007E5E72"/>
    <w:rsid w:val="007F7838"/>
    <w:rsid w:val="008005C7"/>
    <w:rsid w:val="00803A17"/>
    <w:rsid w:val="00852D88"/>
    <w:rsid w:val="00861938"/>
    <w:rsid w:val="00872728"/>
    <w:rsid w:val="008B2EBC"/>
    <w:rsid w:val="009355C9"/>
    <w:rsid w:val="009365C0"/>
    <w:rsid w:val="009562DD"/>
    <w:rsid w:val="009576BA"/>
    <w:rsid w:val="00995F65"/>
    <w:rsid w:val="009A0B10"/>
    <w:rsid w:val="009A5BF8"/>
    <w:rsid w:val="009D20DD"/>
    <w:rsid w:val="009E2C4C"/>
    <w:rsid w:val="009E4329"/>
    <w:rsid w:val="009F6FA8"/>
    <w:rsid w:val="00A0254D"/>
    <w:rsid w:val="00A212AF"/>
    <w:rsid w:val="00A41F5C"/>
    <w:rsid w:val="00A44A45"/>
    <w:rsid w:val="00A83A14"/>
    <w:rsid w:val="00AB0D5E"/>
    <w:rsid w:val="00B36392"/>
    <w:rsid w:val="00B4632D"/>
    <w:rsid w:val="00B67AB2"/>
    <w:rsid w:val="00B67CB9"/>
    <w:rsid w:val="00B85554"/>
    <w:rsid w:val="00BB4A81"/>
    <w:rsid w:val="00C259F4"/>
    <w:rsid w:val="00C3269E"/>
    <w:rsid w:val="00C45334"/>
    <w:rsid w:val="00C47331"/>
    <w:rsid w:val="00C623BA"/>
    <w:rsid w:val="00C659B7"/>
    <w:rsid w:val="00C65AE9"/>
    <w:rsid w:val="00C70633"/>
    <w:rsid w:val="00C72F02"/>
    <w:rsid w:val="00C76CB5"/>
    <w:rsid w:val="00C86F4D"/>
    <w:rsid w:val="00CA35D8"/>
    <w:rsid w:val="00CF7EBF"/>
    <w:rsid w:val="00D06FD3"/>
    <w:rsid w:val="00D12DD2"/>
    <w:rsid w:val="00D172BB"/>
    <w:rsid w:val="00D17566"/>
    <w:rsid w:val="00D25E15"/>
    <w:rsid w:val="00D46BB1"/>
    <w:rsid w:val="00D57061"/>
    <w:rsid w:val="00DA5A87"/>
    <w:rsid w:val="00DB01E2"/>
    <w:rsid w:val="00DC672A"/>
    <w:rsid w:val="00DD088D"/>
    <w:rsid w:val="00DE443D"/>
    <w:rsid w:val="00E15CF7"/>
    <w:rsid w:val="00E31401"/>
    <w:rsid w:val="00E370B7"/>
    <w:rsid w:val="00E449B5"/>
    <w:rsid w:val="00E86FB2"/>
    <w:rsid w:val="00E87E10"/>
    <w:rsid w:val="00E92184"/>
    <w:rsid w:val="00E93A57"/>
    <w:rsid w:val="00EB0E70"/>
    <w:rsid w:val="00F04917"/>
    <w:rsid w:val="00F055B7"/>
    <w:rsid w:val="00F07983"/>
    <w:rsid w:val="00F149E4"/>
    <w:rsid w:val="00F23994"/>
    <w:rsid w:val="00F35913"/>
    <w:rsid w:val="00F51912"/>
    <w:rsid w:val="00F51B6C"/>
    <w:rsid w:val="00F73616"/>
    <w:rsid w:val="00F93742"/>
    <w:rsid w:val="00F964E3"/>
    <w:rsid w:val="00FA127E"/>
    <w:rsid w:val="00FE3984"/>
    <w:rsid w:val="00FE6EC0"/>
    <w:rsid w:val="00FF0CD5"/>
    <w:rsid w:val="00FF4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B9C90"/>
  <w15:chartTrackingRefBased/>
  <w15:docId w15:val="{D5C7CE7C-E2E9-A34F-933E-8F820C2A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E70"/>
  </w:style>
  <w:style w:type="paragraph" w:styleId="Heading1">
    <w:name w:val="heading 1"/>
    <w:basedOn w:val="Normal"/>
    <w:next w:val="Normal"/>
    <w:link w:val="Heading1Char"/>
    <w:uiPriority w:val="9"/>
    <w:qFormat/>
    <w:rsid w:val="00EB0E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E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E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E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E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E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E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E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E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E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E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E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E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E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E70"/>
    <w:rPr>
      <w:rFonts w:eastAsiaTheme="majorEastAsia" w:cstheme="majorBidi"/>
      <w:color w:val="272727" w:themeColor="text1" w:themeTint="D8"/>
    </w:rPr>
  </w:style>
  <w:style w:type="paragraph" w:styleId="Title">
    <w:name w:val="Title"/>
    <w:basedOn w:val="Normal"/>
    <w:next w:val="Normal"/>
    <w:link w:val="TitleChar"/>
    <w:uiPriority w:val="10"/>
    <w:qFormat/>
    <w:rsid w:val="00EB0E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E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E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0E70"/>
    <w:rPr>
      <w:i/>
      <w:iCs/>
      <w:color w:val="404040" w:themeColor="text1" w:themeTint="BF"/>
    </w:rPr>
  </w:style>
  <w:style w:type="paragraph" w:styleId="ListParagraph">
    <w:name w:val="List Paragraph"/>
    <w:basedOn w:val="Normal"/>
    <w:uiPriority w:val="34"/>
    <w:qFormat/>
    <w:rsid w:val="00EB0E70"/>
    <w:pPr>
      <w:ind w:left="720"/>
      <w:contextualSpacing/>
    </w:pPr>
  </w:style>
  <w:style w:type="character" w:styleId="IntenseEmphasis">
    <w:name w:val="Intense Emphasis"/>
    <w:basedOn w:val="DefaultParagraphFont"/>
    <w:uiPriority w:val="21"/>
    <w:qFormat/>
    <w:rsid w:val="00EB0E70"/>
    <w:rPr>
      <w:i/>
      <w:iCs/>
      <w:color w:val="0F4761" w:themeColor="accent1" w:themeShade="BF"/>
    </w:rPr>
  </w:style>
  <w:style w:type="paragraph" w:styleId="IntenseQuote">
    <w:name w:val="Intense Quote"/>
    <w:basedOn w:val="Normal"/>
    <w:next w:val="Normal"/>
    <w:link w:val="IntenseQuoteChar"/>
    <w:uiPriority w:val="30"/>
    <w:qFormat/>
    <w:rsid w:val="00EB0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E70"/>
    <w:rPr>
      <w:i/>
      <w:iCs/>
      <w:color w:val="0F4761" w:themeColor="accent1" w:themeShade="BF"/>
    </w:rPr>
  </w:style>
  <w:style w:type="character" w:styleId="IntenseReference">
    <w:name w:val="Intense Reference"/>
    <w:basedOn w:val="DefaultParagraphFont"/>
    <w:uiPriority w:val="32"/>
    <w:qFormat/>
    <w:rsid w:val="00EB0E70"/>
    <w:rPr>
      <w:b/>
      <w:bCs/>
      <w:smallCaps/>
      <w:color w:val="0F4761" w:themeColor="accent1" w:themeShade="BF"/>
      <w:spacing w:val="5"/>
    </w:rPr>
  </w:style>
  <w:style w:type="character" w:styleId="PlaceholderText">
    <w:name w:val="Placeholder Text"/>
    <w:basedOn w:val="DefaultParagraphFont"/>
    <w:uiPriority w:val="99"/>
    <w:semiHidden/>
    <w:rsid w:val="003B6DA4"/>
    <w:rPr>
      <w:color w:val="666666"/>
    </w:rPr>
  </w:style>
  <w:style w:type="paragraph" w:styleId="FootnoteText">
    <w:name w:val="footnote text"/>
    <w:basedOn w:val="Normal"/>
    <w:link w:val="FootnoteTextChar"/>
    <w:uiPriority w:val="99"/>
    <w:semiHidden/>
    <w:unhideWhenUsed/>
    <w:rsid w:val="006A09D9"/>
    <w:rPr>
      <w:sz w:val="20"/>
      <w:szCs w:val="20"/>
    </w:rPr>
  </w:style>
  <w:style w:type="character" w:customStyle="1" w:styleId="FootnoteTextChar">
    <w:name w:val="Footnote Text Char"/>
    <w:basedOn w:val="DefaultParagraphFont"/>
    <w:link w:val="FootnoteText"/>
    <w:uiPriority w:val="99"/>
    <w:semiHidden/>
    <w:rsid w:val="006A09D9"/>
    <w:rPr>
      <w:sz w:val="20"/>
      <w:szCs w:val="20"/>
    </w:rPr>
  </w:style>
  <w:style w:type="character" w:styleId="FootnoteReference">
    <w:name w:val="footnote reference"/>
    <w:basedOn w:val="DefaultParagraphFont"/>
    <w:uiPriority w:val="99"/>
    <w:semiHidden/>
    <w:unhideWhenUsed/>
    <w:rsid w:val="006A09D9"/>
    <w:rPr>
      <w:vertAlign w:val="superscript"/>
    </w:rPr>
  </w:style>
  <w:style w:type="paragraph" w:styleId="NormalWeb">
    <w:name w:val="Normal (Web)"/>
    <w:basedOn w:val="Normal"/>
    <w:uiPriority w:val="99"/>
    <w:unhideWhenUsed/>
    <w:rsid w:val="00FE3984"/>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css-0">
    <w:name w:val="css-0"/>
    <w:basedOn w:val="DefaultParagraphFont"/>
    <w:rsid w:val="003A66CF"/>
  </w:style>
  <w:style w:type="character" w:customStyle="1" w:styleId="apple-converted-space">
    <w:name w:val="apple-converted-space"/>
    <w:basedOn w:val="DefaultParagraphFont"/>
    <w:rsid w:val="003A66CF"/>
  </w:style>
  <w:style w:type="character" w:customStyle="1" w:styleId="css-rh820s">
    <w:name w:val="css-rh820s"/>
    <w:basedOn w:val="DefaultParagraphFont"/>
    <w:rsid w:val="003A66CF"/>
  </w:style>
  <w:style w:type="character" w:customStyle="1" w:styleId="css-15iwe0d">
    <w:name w:val="css-15iwe0d"/>
    <w:basedOn w:val="DefaultParagraphFont"/>
    <w:rsid w:val="003A66CF"/>
  </w:style>
  <w:style w:type="character" w:customStyle="1" w:styleId="css-2yp7ui">
    <w:name w:val="css-2yp7ui"/>
    <w:basedOn w:val="DefaultParagraphFont"/>
    <w:rsid w:val="003A6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9905">
      <w:bodyDiv w:val="1"/>
      <w:marLeft w:val="0"/>
      <w:marRight w:val="0"/>
      <w:marTop w:val="0"/>
      <w:marBottom w:val="0"/>
      <w:divBdr>
        <w:top w:val="none" w:sz="0" w:space="0" w:color="auto"/>
        <w:left w:val="none" w:sz="0" w:space="0" w:color="auto"/>
        <w:bottom w:val="none" w:sz="0" w:space="0" w:color="auto"/>
        <w:right w:val="none" w:sz="0" w:space="0" w:color="auto"/>
      </w:divBdr>
    </w:div>
    <w:div w:id="81924972">
      <w:bodyDiv w:val="1"/>
      <w:marLeft w:val="0"/>
      <w:marRight w:val="0"/>
      <w:marTop w:val="0"/>
      <w:marBottom w:val="0"/>
      <w:divBdr>
        <w:top w:val="none" w:sz="0" w:space="0" w:color="auto"/>
        <w:left w:val="none" w:sz="0" w:space="0" w:color="auto"/>
        <w:bottom w:val="none" w:sz="0" w:space="0" w:color="auto"/>
        <w:right w:val="none" w:sz="0" w:space="0" w:color="auto"/>
      </w:divBdr>
    </w:div>
    <w:div w:id="116027005">
      <w:bodyDiv w:val="1"/>
      <w:marLeft w:val="0"/>
      <w:marRight w:val="0"/>
      <w:marTop w:val="0"/>
      <w:marBottom w:val="0"/>
      <w:divBdr>
        <w:top w:val="none" w:sz="0" w:space="0" w:color="auto"/>
        <w:left w:val="none" w:sz="0" w:space="0" w:color="auto"/>
        <w:bottom w:val="none" w:sz="0" w:space="0" w:color="auto"/>
        <w:right w:val="none" w:sz="0" w:space="0" w:color="auto"/>
      </w:divBdr>
    </w:div>
    <w:div w:id="123698344">
      <w:bodyDiv w:val="1"/>
      <w:marLeft w:val="0"/>
      <w:marRight w:val="0"/>
      <w:marTop w:val="0"/>
      <w:marBottom w:val="0"/>
      <w:divBdr>
        <w:top w:val="none" w:sz="0" w:space="0" w:color="auto"/>
        <w:left w:val="none" w:sz="0" w:space="0" w:color="auto"/>
        <w:bottom w:val="none" w:sz="0" w:space="0" w:color="auto"/>
        <w:right w:val="none" w:sz="0" w:space="0" w:color="auto"/>
      </w:divBdr>
      <w:divsChild>
        <w:div w:id="1958177106">
          <w:marLeft w:val="0"/>
          <w:marRight w:val="0"/>
          <w:marTop w:val="0"/>
          <w:marBottom w:val="0"/>
          <w:divBdr>
            <w:top w:val="none" w:sz="0" w:space="0" w:color="auto"/>
            <w:left w:val="none" w:sz="0" w:space="0" w:color="auto"/>
            <w:bottom w:val="none" w:sz="0" w:space="0" w:color="auto"/>
            <w:right w:val="none" w:sz="0" w:space="0" w:color="auto"/>
          </w:divBdr>
          <w:divsChild>
            <w:div w:id="1478457291">
              <w:marLeft w:val="0"/>
              <w:marRight w:val="0"/>
              <w:marTop w:val="0"/>
              <w:marBottom w:val="0"/>
              <w:divBdr>
                <w:top w:val="none" w:sz="0" w:space="0" w:color="auto"/>
                <w:left w:val="none" w:sz="0" w:space="0" w:color="auto"/>
                <w:bottom w:val="none" w:sz="0" w:space="0" w:color="auto"/>
                <w:right w:val="none" w:sz="0" w:space="0" w:color="auto"/>
              </w:divBdr>
              <w:divsChild>
                <w:div w:id="372853814">
                  <w:marLeft w:val="0"/>
                  <w:marRight w:val="0"/>
                  <w:marTop w:val="0"/>
                  <w:marBottom w:val="0"/>
                  <w:divBdr>
                    <w:top w:val="none" w:sz="0" w:space="0" w:color="auto"/>
                    <w:left w:val="none" w:sz="0" w:space="0" w:color="auto"/>
                    <w:bottom w:val="none" w:sz="0" w:space="0" w:color="auto"/>
                    <w:right w:val="none" w:sz="0" w:space="0" w:color="auto"/>
                  </w:divBdr>
                </w:div>
              </w:divsChild>
            </w:div>
            <w:div w:id="1636525063">
              <w:marLeft w:val="0"/>
              <w:marRight w:val="0"/>
              <w:marTop w:val="0"/>
              <w:marBottom w:val="0"/>
              <w:divBdr>
                <w:top w:val="none" w:sz="0" w:space="0" w:color="auto"/>
                <w:left w:val="none" w:sz="0" w:space="0" w:color="auto"/>
                <w:bottom w:val="none" w:sz="0" w:space="0" w:color="auto"/>
                <w:right w:val="none" w:sz="0" w:space="0" w:color="auto"/>
              </w:divBdr>
              <w:divsChild>
                <w:div w:id="164963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2117">
      <w:bodyDiv w:val="1"/>
      <w:marLeft w:val="0"/>
      <w:marRight w:val="0"/>
      <w:marTop w:val="0"/>
      <w:marBottom w:val="0"/>
      <w:divBdr>
        <w:top w:val="none" w:sz="0" w:space="0" w:color="auto"/>
        <w:left w:val="none" w:sz="0" w:space="0" w:color="auto"/>
        <w:bottom w:val="none" w:sz="0" w:space="0" w:color="auto"/>
        <w:right w:val="none" w:sz="0" w:space="0" w:color="auto"/>
      </w:divBdr>
      <w:divsChild>
        <w:div w:id="1923760506">
          <w:marLeft w:val="0"/>
          <w:marRight w:val="0"/>
          <w:marTop w:val="0"/>
          <w:marBottom w:val="0"/>
          <w:divBdr>
            <w:top w:val="none" w:sz="0" w:space="0" w:color="auto"/>
            <w:left w:val="none" w:sz="0" w:space="0" w:color="auto"/>
            <w:bottom w:val="none" w:sz="0" w:space="0" w:color="auto"/>
            <w:right w:val="none" w:sz="0" w:space="0" w:color="auto"/>
          </w:divBdr>
          <w:divsChild>
            <w:div w:id="516651152">
              <w:marLeft w:val="0"/>
              <w:marRight w:val="0"/>
              <w:marTop w:val="0"/>
              <w:marBottom w:val="0"/>
              <w:divBdr>
                <w:top w:val="none" w:sz="0" w:space="0" w:color="auto"/>
                <w:left w:val="none" w:sz="0" w:space="0" w:color="auto"/>
                <w:bottom w:val="none" w:sz="0" w:space="0" w:color="auto"/>
                <w:right w:val="none" w:sz="0" w:space="0" w:color="auto"/>
              </w:divBdr>
              <w:divsChild>
                <w:div w:id="1053195073">
                  <w:marLeft w:val="0"/>
                  <w:marRight w:val="0"/>
                  <w:marTop w:val="0"/>
                  <w:marBottom w:val="0"/>
                  <w:divBdr>
                    <w:top w:val="none" w:sz="0" w:space="0" w:color="auto"/>
                    <w:left w:val="none" w:sz="0" w:space="0" w:color="auto"/>
                    <w:bottom w:val="none" w:sz="0" w:space="0" w:color="auto"/>
                    <w:right w:val="none" w:sz="0" w:space="0" w:color="auto"/>
                  </w:divBdr>
                </w:div>
              </w:divsChild>
            </w:div>
            <w:div w:id="1369990534">
              <w:marLeft w:val="0"/>
              <w:marRight w:val="0"/>
              <w:marTop w:val="0"/>
              <w:marBottom w:val="0"/>
              <w:divBdr>
                <w:top w:val="none" w:sz="0" w:space="0" w:color="auto"/>
                <w:left w:val="none" w:sz="0" w:space="0" w:color="auto"/>
                <w:bottom w:val="none" w:sz="0" w:space="0" w:color="auto"/>
                <w:right w:val="none" w:sz="0" w:space="0" w:color="auto"/>
              </w:divBdr>
              <w:divsChild>
                <w:div w:id="149680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77061">
      <w:bodyDiv w:val="1"/>
      <w:marLeft w:val="0"/>
      <w:marRight w:val="0"/>
      <w:marTop w:val="0"/>
      <w:marBottom w:val="0"/>
      <w:divBdr>
        <w:top w:val="none" w:sz="0" w:space="0" w:color="auto"/>
        <w:left w:val="none" w:sz="0" w:space="0" w:color="auto"/>
        <w:bottom w:val="none" w:sz="0" w:space="0" w:color="auto"/>
        <w:right w:val="none" w:sz="0" w:space="0" w:color="auto"/>
      </w:divBdr>
    </w:div>
    <w:div w:id="296763468">
      <w:bodyDiv w:val="1"/>
      <w:marLeft w:val="0"/>
      <w:marRight w:val="0"/>
      <w:marTop w:val="0"/>
      <w:marBottom w:val="0"/>
      <w:divBdr>
        <w:top w:val="none" w:sz="0" w:space="0" w:color="auto"/>
        <w:left w:val="none" w:sz="0" w:space="0" w:color="auto"/>
        <w:bottom w:val="none" w:sz="0" w:space="0" w:color="auto"/>
        <w:right w:val="none" w:sz="0" w:space="0" w:color="auto"/>
      </w:divBdr>
    </w:div>
    <w:div w:id="311715943">
      <w:bodyDiv w:val="1"/>
      <w:marLeft w:val="0"/>
      <w:marRight w:val="0"/>
      <w:marTop w:val="0"/>
      <w:marBottom w:val="0"/>
      <w:divBdr>
        <w:top w:val="none" w:sz="0" w:space="0" w:color="auto"/>
        <w:left w:val="none" w:sz="0" w:space="0" w:color="auto"/>
        <w:bottom w:val="none" w:sz="0" w:space="0" w:color="auto"/>
        <w:right w:val="none" w:sz="0" w:space="0" w:color="auto"/>
      </w:divBdr>
    </w:div>
    <w:div w:id="399836942">
      <w:bodyDiv w:val="1"/>
      <w:marLeft w:val="0"/>
      <w:marRight w:val="0"/>
      <w:marTop w:val="0"/>
      <w:marBottom w:val="0"/>
      <w:divBdr>
        <w:top w:val="none" w:sz="0" w:space="0" w:color="auto"/>
        <w:left w:val="none" w:sz="0" w:space="0" w:color="auto"/>
        <w:bottom w:val="none" w:sz="0" w:space="0" w:color="auto"/>
        <w:right w:val="none" w:sz="0" w:space="0" w:color="auto"/>
      </w:divBdr>
    </w:div>
    <w:div w:id="465781112">
      <w:bodyDiv w:val="1"/>
      <w:marLeft w:val="0"/>
      <w:marRight w:val="0"/>
      <w:marTop w:val="0"/>
      <w:marBottom w:val="0"/>
      <w:divBdr>
        <w:top w:val="none" w:sz="0" w:space="0" w:color="auto"/>
        <w:left w:val="none" w:sz="0" w:space="0" w:color="auto"/>
        <w:bottom w:val="none" w:sz="0" w:space="0" w:color="auto"/>
        <w:right w:val="none" w:sz="0" w:space="0" w:color="auto"/>
      </w:divBdr>
    </w:div>
    <w:div w:id="496766707">
      <w:bodyDiv w:val="1"/>
      <w:marLeft w:val="0"/>
      <w:marRight w:val="0"/>
      <w:marTop w:val="0"/>
      <w:marBottom w:val="0"/>
      <w:divBdr>
        <w:top w:val="none" w:sz="0" w:space="0" w:color="auto"/>
        <w:left w:val="none" w:sz="0" w:space="0" w:color="auto"/>
        <w:bottom w:val="none" w:sz="0" w:space="0" w:color="auto"/>
        <w:right w:val="none" w:sz="0" w:space="0" w:color="auto"/>
      </w:divBdr>
    </w:div>
    <w:div w:id="578445229">
      <w:bodyDiv w:val="1"/>
      <w:marLeft w:val="0"/>
      <w:marRight w:val="0"/>
      <w:marTop w:val="0"/>
      <w:marBottom w:val="0"/>
      <w:divBdr>
        <w:top w:val="none" w:sz="0" w:space="0" w:color="auto"/>
        <w:left w:val="none" w:sz="0" w:space="0" w:color="auto"/>
        <w:bottom w:val="none" w:sz="0" w:space="0" w:color="auto"/>
        <w:right w:val="none" w:sz="0" w:space="0" w:color="auto"/>
      </w:divBdr>
    </w:div>
    <w:div w:id="580723121">
      <w:bodyDiv w:val="1"/>
      <w:marLeft w:val="0"/>
      <w:marRight w:val="0"/>
      <w:marTop w:val="0"/>
      <w:marBottom w:val="0"/>
      <w:divBdr>
        <w:top w:val="none" w:sz="0" w:space="0" w:color="auto"/>
        <w:left w:val="none" w:sz="0" w:space="0" w:color="auto"/>
        <w:bottom w:val="none" w:sz="0" w:space="0" w:color="auto"/>
        <w:right w:val="none" w:sz="0" w:space="0" w:color="auto"/>
      </w:divBdr>
    </w:div>
    <w:div w:id="734163177">
      <w:bodyDiv w:val="1"/>
      <w:marLeft w:val="0"/>
      <w:marRight w:val="0"/>
      <w:marTop w:val="0"/>
      <w:marBottom w:val="0"/>
      <w:divBdr>
        <w:top w:val="none" w:sz="0" w:space="0" w:color="auto"/>
        <w:left w:val="none" w:sz="0" w:space="0" w:color="auto"/>
        <w:bottom w:val="none" w:sz="0" w:space="0" w:color="auto"/>
        <w:right w:val="none" w:sz="0" w:space="0" w:color="auto"/>
      </w:divBdr>
    </w:div>
    <w:div w:id="775713294">
      <w:bodyDiv w:val="1"/>
      <w:marLeft w:val="0"/>
      <w:marRight w:val="0"/>
      <w:marTop w:val="0"/>
      <w:marBottom w:val="0"/>
      <w:divBdr>
        <w:top w:val="none" w:sz="0" w:space="0" w:color="auto"/>
        <w:left w:val="none" w:sz="0" w:space="0" w:color="auto"/>
        <w:bottom w:val="none" w:sz="0" w:space="0" w:color="auto"/>
        <w:right w:val="none" w:sz="0" w:space="0" w:color="auto"/>
      </w:divBdr>
    </w:div>
    <w:div w:id="878667544">
      <w:bodyDiv w:val="1"/>
      <w:marLeft w:val="0"/>
      <w:marRight w:val="0"/>
      <w:marTop w:val="0"/>
      <w:marBottom w:val="0"/>
      <w:divBdr>
        <w:top w:val="none" w:sz="0" w:space="0" w:color="auto"/>
        <w:left w:val="none" w:sz="0" w:space="0" w:color="auto"/>
        <w:bottom w:val="none" w:sz="0" w:space="0" w:color="auto"/>
        <w:right w:val="none" w:sz="0" w:space="0" w:color="auto"/>
      </w:divBdr>
    </w:div>
    <w:div w:id="1003750717">
      <w:bodyDiv w:val="1"/>
      <w:marLeft w:val="0"/>
      <w:marRight w:val="0"/>
      <w:marTop w:val="0"/>
      <w:marBottom w:val="0"/>
      <w:divBdr>
        <w:top w:val="none" w:sz="0" w:space="0" w:color="auto"/>
        <w:left w:val="none" w:sz="0" w:space="0" w:color="auto"/>
        <w:bottom w:val="none" w:sz="0" w:space="0" w:color="auto"/>
        <w:right w:val="none" w:sz="0" w:space="0" w:color="auto"/>
      </w:divBdr>
    </w:div>
    <w:div w:id="1006708960">
      <w:bodyDiv w:val="1"/>
      <w:marLeft w:val="0"/>
      <w:marRight w:val="0"/>
      <w:marTop w:val="0"/>
      <w:marBottom w:val="0"/>
      <w:divBdr>
        <w:top w:val="none" w:sz="0" w:space="0" w:color="auto"/>
        <w:left w:val="none" w:sz="0" w:space="0" w:color="auto"/>
        <w:bottom w:val="none" w:sz="0" w:space="0" w:color="auto"/>
        <w:right w:val="none" w:sz="0" w:space="0" w:color="auto"/>
      </w:divBdr>
    </w:div>
    <w:div w:id="1062753608">
      <w:bodyDiv w:val="1"/>
      <w:marLeft w:val="0"/>
      <w:marRight w:val="0"/>
      <w:marTop w:val="0"/>
      <w:marBottom w:val="0"/>
      <w:divBdr>
        <w:top w:val="none" w:sz="0" w:space="0" w:color="auto"/>
        <w:left w:val="none" w:sz="0" w:space="0" w:color="auto"/>
        <w:bottom w:val="none" w:sz="0" w:space="0" w:color="auto"/>
        <w:right w:val="none" w:sz="0" w:space="0" w:color="auto"/>
      </w:divBdr>
    </w:div>
    <w:div w:id="1139147630">
      <w:bodyDiv w:val="1"/>
      <w:marLeft w:val="0"/>
      <w:marRight w:val="0"/>
      <w:marTop w:val="0"/>
      <w:marBottom w:val="0"/>
      <w:divBdr>
        <w:top w:val="none" w:sz="0" w:space="0" w:color="auto"/>
        <w:left w:val="none" w:sz="0" w:space="0" w:color="auto"/>
        <w:bottom w:val="none" w:sz="0" w:space="0" w:color="auto"/>
        <w:right w:val="none" w:sz="0" w:space="0" w:color="auto"/>
      </w:divBdr>
    </w:div>
    <w:div w:id="1192260900">
      <w:bodyDiv w:val="1"/>
      <w:marLeft w:val="0"/>
      <w:marRight w:val="0"/>
      <w:marTop w:val="0"/>
      <w:marBottom w:val="0"/>
      <w:divBdr>
        <w:top w:val="none" w:sz="0" w:space="0" w:color="auto"/>
        <w:left w:val="none" w:sz="0" w:space="0" w:color="auto"/>
        <w:bottom w:val="none" w:sz="0" w:space="0" w:color="auto"/>
        <w:right w:val="none" w:sz="0" w:space="0" w:color="auto"/>
      </w:divBdr>
    </w:div>
    <w:div w:id="1335181156">
      <w:bodyDiv w:val="1"/>
      <w:marLeft w:val="0"/>
      <w:marRight w:val="0"/>
      <w:marTop w:val="0"/>
      <w:marBottom w:val="0"/>
      <w:divBdr>
        <w:top w:val="none" w:sz="0" w:space="0" w:color="auto"/>
        <w:left w:val="none" w:sz="0" w:space="0" w:color="auto"/>
        <w:bottom w:val="none" w:sz="0" w:space="0" w:color="auto"/>
        <w:right w:val="none" w:sz="0" w:space="0" w:color="auto"/>
      </w:divBdr>
    </w:div>
    <w:div w:id="1473408511">
      <w:bodyDiv w:val="1"/>
      <w:marLeft w:val="0"/>
      <w:marRight w:val="0"/>
      <w:marTop w:val="0"/>
      <w:marBottom w:val="0"/>
      <w:divBdr>
        <w:top w:val="none" w:sz="0" w:space="0" w:color="auto"/>
        <w:left w:val="none" w:sz="0" w:space="0" w:color="auto"/>
        <w:bottom w:val="none" w:sz="0" w:space="0" w:color="auto"/>
        <w:right w:val="none" w:sz="0" w:space="0" w:color="auto"/>
      </w:divBdr>
    </w:div>
    <w:div w:id="1486511472">
      <w:bodyDiv w:val="1"/>
      <w:marLeft w:val="0"/>
      <w:marRight w:val="0"/>
      <w:marTop w:val="0"/>
      <w:marBottom w:val="0"/>
      <w:divBdr>
        <w:top w:val="none" w:sz="0" w:space="0" w:color="auto"/>
        <w:left w:val="none" w:sz="0" w:space="0" w:color="auto"/>
        <w:bottom w:val="none" w:sz="0" w:space="0" w:color="auto"/>
        <w:right w:val="none" w:sz="0" w:space="0" w:color="auto"/>
      </w:divBdr>
    </w:div>
    <w:div w:id="1489781337">
      <w:bodyDiv w:val="1"/>
      <w:marLeft w:val="0"/>
      <w:marRight w:val="0"/>
      <w:marTop w:val="0"/>
      <w:marBottom w:val="0"/>
      <w:divBdr>
        <w:top w:val="none" w:sz="0" w:space="0" w:color="auto"/>
        <w:left w:val="none" w:sz="0" w:space="0" w:color="auto"/>
        <w:bottom w:val="none" w:sz="0" w:space="0" w:color="auto"/>
        <w:right w:val="none" w:sz="0" w:space="0" w:color="auto"/>
      </w:divBdr>
    </w:div>
    <w:div w:id="1533958105">
      <w:bodyDiv w:val="1"/>
      <w:marLeft w:val="0"/>
      <w:marRight w:val="0"/>
      <w:marTop w:val="0"/>
      <w:marBottom w:val="0"/>
      <w:divBdr>
        <w:top w:val="none" w:sz="0" w:space="0" w:color="auto"/>
        <w:left w:val="none" w:sz="0" w:space="0" w:color="auto"/>
        <w:bottom w:val="none" w:sz="0" w:space="0" w:color="auto"/>
        <w:right w:val="none" w:sz="0" w:space="0" w:color="auto"/>
      </w:divBdr>
    </w:div>
    <w:div w:id="1574781253">
      <w:bodyDiv w:val="1"/>
      <w:marLeft w:val="0"/>
      <w:marRight w:val="0"/>
      <w:marTop w:val="0"/>
      <w:marBottom w:val="0"/>
      <w:divBdr>
        <w:top w:val="none" w:sz="0" w:space="0" w:color="auto"/>
        <w:left w:val="none" w:sz="0" w:space="0" w:color="auto"/>
        <w:bottom w:val="none" w:sz="0" w:space="0" w:color="auto"/>
        <w:right w:val="none" w:sz="0" w:space="0" w:color="auto"/>
      </w:divBdr>
    </w:div>
    <w:div w:id="1645814624">
      <w:bodyDiv w:val="1"/>
      <w:marLeft w:val="0"/>
      <w:marRight w:val="0"/>
      <w:marTop w:val="0"/>
      <w:marBottom w:val="0"/>
      <w:divBdr>
        <w:top w:val="none" w:sz="0" w:space="0" w:color="auto"/>
        <w:left w:val="none" w:sz="0" w:space="0" w:color="auto"/>
        <w:bottom w:val="none" w:sz="0" w:space="0" w:color="auto"/>
        <w:right w:val="none" w:sz="0" w:space="0" w:color="auto"/>
      </w:divBdr>
    </w:div>
    <w:div w:id="1650211299">
      <w:bodyDiv w:val="1"/>
      <w:marLeft w:val="0"/>
      <w:marRight w:val="0"/>
      <w:marTop w:val="0"/>
      <w:marBottom w:val="0"/>
      <w:divBdr>
        <w:top w:val="none" w:sz="0" w:space="0" w:color="auto"/>
        <w:left w:val="none" w:sz="0" w:space="0" w:color="auto"/>
        <w:bottom w:val="none" w:sz="0" w:space="0" w:color="auto"/>
        <w:right w:val="none" w:sz="0" w:space="0" w:color="auto"/>
      </w:divBdr>
    </w:div>
    <w:div w:id="1683509010">
      <w:bodyDiv w:val="1"/>
      <w:marLeft w:val="0"/>
      <w:marRight w:val="0"/>
      <w:marTop w:val="0"/>
      <w:marBottom w:val="0"/>
      <w:divBdr>
        <w:top w:val="none" w:sz="0" w:space="0" w:color="auto"/>
        <w:left w:val="none" w:sz="0" w:space="0" w:color="auto"/>
        <w:bottom w:val="none" w:sz="0" w:space="0" w:color="auto"/>
        <w:right w:val="none" w:sz="0" w:space="0" w:color="auto"/>
      </w:divBdr>
    </w:div>
    <w:div w:id="1685404454">
      <w:bodyDiv w:val="1"/>
      <w:marLeft w:val="0"/>
      <w:marRight w:val="0"/>
      <w:marTop w:val="0"/>
      <w:marBottom w:val="0"/>
      <w:divBdr>
        <w:top w:val="none" w:sz="0" w:space="0" w:color="auto"/>
        <w:left w:val="none" w:sz="0" w:space="0" w:color="auto"/>
        <w:bottom w:val="none" w:sz="0" w:space="0" w:color="auto"/>
        <w:right w:val="none" w:sz="0" w:space="0" w:color="auto"/>
      </w:divBdr>
    </w:div>
    <w:div w:id="1714815532">
      <w:bodyDiv w:val="1"/>
      <w:marLeft w:val="0"/>
      <w:marRight w:val="0"/>
      <w:marTop w:val="0"/>
      <w:marBottom w:val="0"/>
      <w:divBdr>
        <w:top w:val="none" w:sz="0" w:space="0" w:color="auto"/>
        <w:left w:val="none" w:sz="0" w:space="0" w:color="auto"/>
        <w:bottom w:val="none" w:sz="0" w:space="0" w:color="auto"/>
        <w:right w:val="none" w:sz="0" w:space="0" w:color="auto"/>
      </w:divBdr>
    </w:div>
    <w:div w:id="1731728687">
      <w:bodyDiv w:val="1"/>
      <w:marLeft w:val="0"/>
      <w:marRight w:val="0"/>
      <w:marTop w:val="0"/>
      <w:marBottom w:val="0"/>
      <w:divBdr>
        <w:top w:val="none" w:sz="0" w:space="0" w:color="auto"/>
        <w:left w:val="none" w:sz="0" w:space="0" w:color="auto"/>
        <w:bottom w:val="none" w:sz="0" w:space="0" w:color="auto"/>
        <w:right w:val="none" w:sz="0" w:space="0" w:color="auto"/>
      </w:divBdr>
    </w:div>
    <w:div w:id="1845316015">
      <w:bodyDiv w:val="1"/>
      <w:marLeft w:val="0"/>
      <w:marRight w:val="0"/>
      <w:marTop w:val="0"/>
      <w:marBottom w:val="0"/>
      <w:divBdr>
        <w:top w:val="none" w:sz="0" w:space="0" w:color="auto"/>
        <w:left w:val="none" w:sz="0" w:space="0" w:color="auto"/>
        <w:bottom w:val="none" w:sz="0" w:space="0" w:color="auto"/>
        <w:right w:val="none" w:sz="0" w:space="0" w:color="auto"/>
      </w:divBdr>
    </w:div>
    <w:div w:id="1881893752">
      <w:bodyDiv w:val="1"/>
      <w:marLeft w:val="0"/>
      <w:marRight w:val="0"/>
      <w:marTop w:val="0"/>
      <w:marBottom w:val="0"/>
      <w:divBdr>
        <w:top w:val="none" w:sz="0" w:space="0" w:color="auto"/>
        <w:left w:val="none" w:sz="0" w:space="0" w:color="auto"/>
        <w:bottom w:val="none" w:sz="0" w:space="0" w:color="auto"/>
        <w:right w:val="none" w:sz="0" w:space="0" w:color="auto"/>
      </w:divBdr>
    </w:div>
    <w:div w:id="1908374592">
      <w:bodyDiv w:val="1"/>
      <w:marLeft w:val="0"/>
      <w:marRight w:val="0"/>
      <w:marTop w:val="0"/>
      <w:marBottom w:val="0"/>
      <w:divBdr>
        <w:top w:val="none" w:sz="0" w:space="0" w:color="auto"/>
        <w:left w:val="none" w:sz="0" w:space="0" w:color="auto"/>
        <w:bottom w:val="none" w:sz="0" w:space="0" w:color="auto"/>
        <w:right w:val="none" w:sz="0" w:space="0" w:color="auto"/>
      </w:divBdr>
    </w:div>
    <w:div w:id="2031104633">
      <w:bodyDiv w:val="1"/>
      <w:marLeft w:val="0"/>
      <w:marRight w:val="0"/>
      <w:marTop w:val="0"/>
      <w:marBottom w:val="0"/>
      <w:divBdr>
        <w:top w:val="none" w:sz="0" w:space="0" w:color="auto"/>
        <w:left w:val="none" w:sz="0" w:space="0" w:color="auto"/>
        <w:bottom w:val="none" w:sz="0" w:space="0" w:color="auto"/>
        <w:right w:val="none" w:sz="0" w:space="0" w:color="auto"/>
      </w:divBdr>
    </w:div>
    <w:div w:id="2051763934">
      <w:bodyDiv w:val="1"/>
      <w:marLeft w:val="0"/>
      <w:marRight w:val="0"/>
      <w:marTop w:val="0"/>
      <w:marBottom w:val="0"/>
      <w:divBdr>
        <w:top w:val="none" w:sz="0" w:space="0" w:color="auto"/>
        <w:left w:val="none" w:sz="0" w:space="0" w:color="auto"/>
        <w:bottom w:val="none" w:sz="0" w:space="0" w:color="auto"/>
        <w:right w:val="none" w:sz="0" w:space="0" w:color="auto"/>
      </w:divBdr>
    </w:div>
    <w:div w:id="211558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203BFD0635014FB3387D075F29A896"/>
        <w:category>
          <w:name w:val="General"/>
          <w:gallery w:val="placeholder"/>
        </w:category>
        <w:types>
          <w:type w:val="bbPlcHdr"/>
        </w:types>
        <w:behaviors>
          <w:behavior w:val="content"/>
        </w:behaviors>
        <w:guid w:val="{45FF6935-52B0-D344-AA46-94FEE250614A}"/>
      </w:docPartPr>
      <w:docPartBody>
        <w:p w:rsidR="003A3429" w:rsidRDefault="00917A2D">
          <w:r w:rsidRPr="00D312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undefined">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A2D"/>
    <w:rsid w:val="002F4BB4"/>
    <w:rsid w:val="003A3429"/>
    <w:rsid w:val="007C2130"/>
    <w:rsid w:val="00917A2D"/>
    <w:rsid w:val="00A02939"/>
    <w:rsid w:val="00C45334"/>
    <w:rsid w:val="00D67C67"/>
    <w:rsid w:val="00E31401"/>
    <w:rsid w:val="00FF4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7A2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6E96C8C0-151A-734D-9A10-AB2FEBB1E839}">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D617766-AF12-B444-BDD9-DAE4FD22C572}">
  <we:reference id="wa104380122" version="2.1.0.1" store="en-GB" storeType="OMEX"/>
  <we:alternateReferences>
    <we:reference id="wa104380122" version="2.1.0.1" store="WA104380122" storeType="OMEX"/>
  </we:alternateReferences>
  <we:properties>
    <we:property name="bibliographyEnabled" value="&quot;bibliographyEnabled&quot;"/>
    <we:property name="citations" value="{&quot;67708362&quot;:{&quot;referencesIds&quot;:[&quot;doc:662e14a92b694f6f62e3c9b0&quot;],&quot;referencesOptions&quot;:{&quot;doc:662e14a92b694f6f62e3c9b0&quot;:{&quot;author&quot;:true,&quot;year&quot;:true,&quot;pageReplace&quot;:&quot;&quot;,&quot;prefix&quot;:&quot;&quot;,&quot;suffix&quot;:&quot;&quot;}},&quot;hasBrokenReferences&quot;:false,&quot;hasManualEdits&quot;:false,&quot;citationType&quot;:&quot;inline&quot;,&quot;id&quot;:67708362,&quot;citationText&quot;:&quot;&lt;span style=\&quot;font-family:Calibri;font-size:16px;color:#000000\&quot;&gt;(al-Arabi, 1999)&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81733205-958D-2E4F-B655-A6448090EBFD}">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864EC-1FF3-D346-8F04-2B79F7E8F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1423</Words>
  <Characters>7516</Characters>
  <Application>Microsoft Office Word</Application>
  <DocSecurity>0</DocSecurity>
  <Lines>121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Eunus Ali</dc:creator>
  <cp:keywords/>
  <dc:description/>
  <cp:lastModifiedBy>Eunus Ali (2308043)</cp:lastModifiedBy>
  <cp:revision>4</cp:revision>
  <dcterms:created xsi:type="dcterms:W3CDTF">2024-05-17T19:18:00Z</dcterms:created>
  <dcterms:modified xsi:type="dcterms:W3CDTF">2024-05-17T19:24:00Z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documentId_5208</vt:lpwstr>
  </property>
  <property fmtid="{D5CDD505-2E9C-101B-9397-08002B2CF9AE}" pid="3" name="grammarly_documentContext">
    <vt:lpwstr>{"goals":[],"domain":"general","emotions":[],"dialect":"british"}</vt:lpwstr>
  </property>
</Properties>
</file>