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3D2D1" w14:textId="1B58B2BF" w:rsidR="00391B8F" w:rsidRDefault="00391B8F" w:rsidP="00391B8F">
      <w:pPr>
        <w:jc w:val="center"/>
        <w:rPr>
          <w:rFonts w:asciiTheme="majorHAnsi" w:eastAsiaTheme="majorEastAsia" w:hAnsiTheme="majorHAnsi" w:cstheme="majorBidi"/>
          <w:color w:val="auto"/>
          <w:spacing w:val="-10"/>
          <w:kern w:val="28"/>
          <w:sz w:val="56"/>
          <w:szCs w:val="56"/>
        </w:rPr>
      </w:pPr>
      <w:r>
        <w:rPr>
          <w:rFonts w:asciiTheme="majorHAnsi" w:eastAsiaTheme="majorEastAsia" w:hAnsiTheme="majorHAnsi" w:cstheme="majorBidi"/>
          <w:color w:val="auto"/>
          <w:spacing w:val="-10"/>
          <w:kern w:val="28"/>
          <w:sz w:val="56"/>
          <w:szCs w:val="56"/>
        </w:rPr>
        <w:t xml:space="preserve">                                      </w:t>
      </w:r>
      <w:r w:rsidRPr="000D63EF">
        <w:rPr>
          <w:b/>
          <w:bCs/>
          <w:noProof/>
          <w:sz w:val="52"/>
          <w:szCs w:val="52"/>
        </w:rPr>
        <w:drawing>
          <wp:inline distT="0" distB="0" distL="0" distR="0" wp14:anchorId="23E71659" wp14:editId="73511298">
            <wp:extent cx="3057525" cy="110296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8394" cy="1110494"/>
                    </a:xfrm>
                    <a:prstGeom prst="rect">
                      <a:avLst/>
                    </a:prstGeom>
                  </pic:spPr>
                </pic:pic>
              </a:graphicData>
            </a:graphic>
          </wp:inline>
        </w:drawing>
      </w:r>
    </w:p>
    <w:p w14:paraId="1D537757" w14:textId="2C5E47C3" w:rsidR="00155597" w:rsidRDefault="00155597" w:rsidP="007A7F64">
      <w:pPr>
        <w:jc w:val="center"/>
        <w:rPr>
          <w:rFonts w:asciiTheme="majorHAnsi" w:eastAsiaTheme="majorEastAsia" w:hAnsiTheme="majorHAnsi" w:cstheme="majorBidi"/>
          <w:color w:val="auto"/>
          <w:spacing w:val="-10"/>
          <w:kern w:val="28"/>
          <w:sz w:val="56"/>
          <w:szCs w:val="56"/>
        </w:rPr>
      </w:pPr>
      <w:r w:rsidRPr="00155597">
        <w:rPr>
          <w:rFonts w:asciiTheme="majorHAnsi" w:eastAsiaTheme="majorEastAsia" w:hAnsiTheme="majorHAnsi" w:cstheme="majorBidi"/>
          <w:color w:val="auto"/>
          <w:spacing w:val="-10"/>
          <w:kern w:val="28"/>
          <w:sz w:val="56"/>
          <w:szCs w:val="56"/>
        </w:rPr>
        <w:t>BA Business Management</w:t>
      </w:r>
    </w:p>
    <w:p w14:paraId="7540B958" w14:textId="77777777" w:rsidR="00437EE3" w:rsidRDefault="00437EE3" w:rsidP="007A7F64">
      <w:pPr>
        <w:jc w:val="center"/>
        <w:rPr>
          <w:rFonts w:asciiTheme="majorHAnsi" w:eastAsiaTheme="majorEastAsia" w:hAnsiTheme="majorHAnsi" w:cstheme="majorBidi"/>
          <w:color w:val="auto"/>
          <w:spacing w:val="-10"/>
          <w:kern w:val="28"/>
          <w:sz w:val="56"/>
          <w:szCs w:val="56"/>
        </w:rPr>
      </w:pPr>
    </w:p>
    <w:p w14:paraId="6258B1DD" w14:textId="77777777" w:rsidR="000B7658" w:rsidRDefault="00116B60" w:rsidP="007A7F64">
      <w:pPr>
        <w:jc w:val="center"/>
        <w:rPr>
          <w:rFonts w:asciiTheme="majorHAnsi" w:eastAsiaTheme="majorEastAsia" w:hAnsiTheme="majorHAnsi" w:cstheme="majorBidi"/>
          <w:color w:val="auto"/>
          <w:spacing w:val="-10"/>
          <w:kern w:val="28"/>
          <w:sz w:val="44"/>
          <w:szCs w:val="56"/>
        </w:rPr>
      </w:pPr>
      <w:r>
        <w:rPr>
          <w:rFonts w:asciiTheme="majorHAnsi" w:eastAsiaTheme="majorEastAsia" w:hAnsiTheme="majorHAnsi" w:cstheme="majorBidi"/>
          <w:color w:val="auto"/>
          <w:spacing w:val="-10"/>
          <w:kern w:val="28"/>
          <w:sz w:val="44"/>
          <w:szCs w:val="56"/>
        </w:rPr>
        <w:t xml:space="preserve">Part A: </w:t>
      </w:r>
      <w:r w:rsidRPr="009D5748">
        <w:rPr>
          <w:rFonts w:asciiTheme="majorHAnsi" w:eastAsiaTheme="majorEastAsia" w:hAnsiTheme="majorHAnsi" w:cstheme="majorBidi"/>
          <w:color w:val="auto"/>
          <w:spacing w:val="-10"/>
          <w:kern w:val="28"/>
          <w:sz w:val="44"/>
          <w:szCs w:val="56"/>
        </w:rPr>
        <w:t>Community Engagement Process in Projects</w:t>
      </w:r>
    </w:p>
    <w:p w14:paraId="1FA60058" w14:textId="77777777" w:rsidR="000B7658" w:rsidRDefault="000B7658" w:rsidP="007A7F64"/>
    <w:p w14:paraId="081C2CA5" w14:textId="77777777" w:rsidR="000B7658" w:rsidRDefault="000B7658" w:rsidP="007A7F64"/>
    <w:p w14:paraId="557AE417" w14:textId="77777777" w:rsidR="00391B8F" w:rsidRDefault="00391B8F" w:rsidP="00391B8F">
      <w:pPr>
        <w:rPr>
          <w:sz w:val="28"/>
          <w:szCs w:val="28"/>
        </w:rPr>
      </w:pPr>
      <w:r w:rsidRPr="00C70939">
        <w:rPr>
          <w:sz w:val="28"/>
          <w:szCs w:val="28"/>
        </w:rPr>
        <w:t>Name</w:t>
      </w:r>
      <w:r>
        <w:rPr>
          <w:sz w:val="28"/>
          <w:szCs w:val="28"/>
        </w:rPr>
        <w:t>: Iulian Sandu</w:t>
      </w:r>
    </w:p>
    <w:p w14:paraId="668D39D1" w14:textId="5CEC01A5" w:rsidR="00391B8F" w:rsidRDefault="00391B8F" w:rsidP="00391B8F">
      <w:pPr>
        <w:rPr>
          <w:sz w:val="28"/>
          <w:szCs w:val="28"/>
        </w:rPr>
      </w:pPr>
      <w:r>
        <w:rPr>
          <w:sz w:val="28"/>
          <w:szCs w:val="28"/>
        </w:rPr>
        <w:t xml:space="preserve">Module code: </w:t>
      </w:r>
      <w:r w:rsidRPr="00C70939">
        <w:rPr>
          <w:sz w:val="28"/>
          <w:szCs w:val="28"/>
        </w:rPr>
        <w:t>LCBB400</w:t>
      </w:r>
      <w:r>
        <w:rPr>
          <w:sz w:val="28"/>
          <w:szCs w:val="28"/>
        </w:rPr>
        <w:t>2</w:t>
      </w:r>
    </w:p>
    <w:p w14:paraId="52F0039B" w14:textId="7EA53152" w:rsidR="00391B8F" w:rsidRDefault="00391B8F" w:rsidP="00391B8F">
      <w:pPr>
        <w:rPr>
          <w:sz w:val="28"/>
          <w:szCs w:val="28"/>
        </w:rPr>
      </w:pPr>
      <w:r>
        <w:rPr>
          <w:sz w:val="28"/>
          <w:szCs w:val="28"/>
        </w:rPr>
        <w:t xml:space="preserve">Module name: </w:t>
      </w:r>
      <w:r w:rsidRPr="00391B8F">
        <w:rPr>
          <w:sz w:val="28"/>
          <w:szCs w:val="28"/>
        </w:rPr>
        <w:t>Community Engagement</w:t>
      </w:r>
    </w:p>
    <w:p w14:paraId="5CC734BD" w14:textId="03F35BA5" w:rsidR="00391B8F" w:rsidRDefault="00391B8F" w:rsidP="00391B8F">
      <w:pPr>
        <w:rPr>
          <w:sz w:val="28"/>
          <w:szCs w:val="28"/>
        </w:rPr>
      </w:pPr>
      <w:r>
        <w:rPr>
          <w:sz w:val="28"/>
          <w:szCs w:val="28"/>
        </w:rPr>
        <w:t>Lecturer: Molly Jack</w:t>
      </w:r>
    </w:p>
    <w:p w14:paraId="30E84A81" w14:textId="1F4C8444" w:rsidR="001834FC" w:rsidRDefault="00116B60" w:rsidP="007A7F64">
      <w:r>
        <w:br w:type="page"/>
      </w:r>
    </w:p>
    <w:sdt>
      <w:sdtPr>
        <w:rPr>
          <w:rFonts w:ascii="Arial" w:eastAsiaTheme="minorHAnsi" w:hAnsi="Arial" w:cstheme="minorBidi"/>
          <w:color w:val="000000" w:themeColor="text1"/>
          <w:sz w:val="24"/>
          <w:szCs w:val="22"/>
          <w:lang w:val="en-GB"/>
        </w:rPr>
        <w:id w:val="-1082296333"/>
        <w:docPartObj>
          <w:docPartGallery w:val="Table of Contents"/>
          <w:docPartUnique/>
        </w:docPartObj>
      </w:sdtPr>
      <w:sdtEndPr>
        <w:rPr>
          <w:b/>
          <w:bCs/>
          <w:noProof/>
        </w:rPr>
      </w:sdtEndPr>
      <w:sdtContent>
        <w:p w14:paraId="72B646D2" w14:textId="1A71E0B4" w:rsidR="005F0C29" w:rsidRDefault="005F0C29">
          <w:pPr>
            <w:pStyle w:val="TOCHeading"/>
          </w:pPr>
          <w:r>
            <w:t>Table of Contents</w:t>
          </w:r>
        </w:p>
        <w:p w14:paraId="1DC610C4" w14:textId="77777777" w:rsidR="005D3B85" w:rsidRPr="005D3B85" w:rsidRDefault="005D3B85" w:rsidP="005D3B85">
          <w:pPr>
            <w:rPr>
              <w:lang w:val="en-US"/>
            </w:rPr>
          </w:pPr>
        </w:p>
        <w:p w14:paraId="2E9B05B0" w14:textId="2862ECE5" w:rsidR="005F0C29" w:rsidRDefault="005F0C29">
          <w:pPr>
            <w:pStyle w:val="TOC1"/>
            <w:tabs>
              <w:tab w:val="right" w:leader="dot" w:pos="9350"/>
            </w:tabs>
            <w:rPr>
              <w:rFonts w:asciiTheme="minorHAnsi" w:eastAsiaTheme="minorEastAsia" w:hAnsiTheme="minorHAnsi"/>
              <w:noProof/>
              <w:color w:val="auto"/>
              <w:kern w:val="2"/>
              <w:sz w:val="22"/>
              <w:lang w:val="en-US"/>
              <w14:ligatures w14:val="standardContextual"/>
            </w:rPr>
          </w:pPr>
          <w:r>
            <w:fldChar w:fldCharType="begin"/>
          </w:r>
          <w:r>
            <w:instrText xml:space="preserve"> TOC \o "1-3" \h \z \u </w:instrText>
          </w:r>
          <w:r>
            <w:fldChar w:fldCharType="separate"/>
          </w:r>
          <w:hyperlink w:anchor="_Toc150532052" w:history="1">
            <w:r w:rsidRPr="00797967">
              <w:rPr>
                <w:rStyle w:val="Hyperlink"/>
                <w:noProof/>
              </w:rPr>
              <w:t>Introduction</w:t>
            </w:r>
            <w:r>
              <w:rPr>
                <w:noProof/>
                <w:webHidden/>
              </w:rPr>
              <w:tab/>
            </w:r>
            <w:r>
              <w:rPr>
                <w:noProof/>
                <w:webHidden/>
              </w:rPr>
              <w:fldChar w:fldCharType="begin"/>
            </w:r>
            <w:r>
              <w:rPr>
                <w:noProof/>
                <w:webHidden/>
              </w:rPr>
              <w:instrText xml:space="preserve"> PAGEREF _Toc150532052 \h </w:instrText>
            </w:r>
            <w:r>
              <w:rPr>
                <w:noProof/>
                <w:webHidden/>
              </w:rPr>
            </w:r>
            <w:r>
              <w:rPr>
                <w:noProof/>
                <w:webHidden/>
              </w:rPr>
              <w:fldChar w:fldCharType="separate"/>
            </w:r>
            <w:r>
              <w:rPr>
                <w:noProof/>
                <w:webHidden/>
              </w:rPr>
              <w:t>1</w:t>
            </w:r>
            <w:r>
              <w:rPr>
                <w:noProof/>
                <w:webHidden/>
              </w:rPr>
              <w:fldChar w:fldCharType="end"/>
            </w:r>
          </w:hyperlink>
        </w:p>
        <w:p w14:paraId="0C35EF48" w14:textId="5DF4DC7F"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53" w:history="1">
            <w:r w:rsidR="005F0C29" w:rsidRPr="00797967">
              <w:rPr>
                <w:rStyle w:val="Hyperlink"/>
                <w:noProof/>
              </w:rPr>
              <w:t>Current Barnsley MBC Projects &amp; Programmes</w:t>
            </w:r>
            <w:r w:rsidR="005F0C29">
              <w:rPr>
                <w:noProof/>
                <w:webHidden/>
              </w:rPr>
              <w:tab/>
            </w:r>
            <w:r w:rsidR="005F0C29">
              <w:rPr>
                <w:noProof/>
                <w:webHidden/>
              </w:rPr>
              <w:fldChar w:fldCharType="begin"/>
            </w:r>
            <w:r w:rsidR="005F0C29">
              <w:rPr>
                <w:noProof/>
                <w:webHidden/>
              </w:rPr>
              <w:instrText xml:space="preserve"> PAGEREF _Toc150532053 \h </w:instrText>
            </w:r>
            <w:r w:rsidR="005F0C29">
              <w:rPr>
                <w:noProof/>
                <w:webHidden/>
              </w:rPr>
            </w:r>
            <w:r w:rsidR="005F0C29">
              <w:rPr>
                <w:noProof/>
                <w:webHidden/>
              </w:rPr>
              <w:fldChar w:fldCharType="separate"/>
            </w:r>
            <w:r w:rsidR="005F0C29">
              <w:rPr>
                <w:noProof/>
                <w:webHidden/>
              </w:rPr>
              <w:t>1</w:t>
            </w:r>
            <w:r w:rsidR="005F0C29">
              <w:rPr>
                <w:noProof/>
                <w:webHidden/>
              </w:rPr>
              <w:fldChar w:fldCharType="end"/>
            </w:r>
          </w:hyperlink>
        </w:p>
        <w:p w14:paraId="0C29556E" w14:textId="794E8ED6"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54" w:history="1">
            <w:r w:rsidR="005F0C29" w:rsidRPr="00797967">
              <w:rPr>
                <w:rStyle w:val="Hyperlink"/>
                <w:noProof/>
              </w:rPr>
              <w:t>Guidelines and benefits of stakeholder participation in community engagement analyses.</w:t>
            </w:r>
            <w:r w:rsidR="005F0C29">
              <w:rPr>
                <w:noProof/>
                <w:webHidden/>
              </w:rPr>
              <w:tab/>
            </w:r>
            <w:r w:rsidR="005F0C29">
              <w:rPr>
                <w:noProof/>
                <w:webHidden/>
              </w:rPr>
              <w:fldChar w:fldCharType="begin"/>
            </w:r>
            <w:r w:rsidR="005F0C29">
              <w:rPr>
                <w:noProof/>
                <w:webHidden/>
              </w:rPr>
              <w:instrText xml:space="preserve"> PAGEREF _Toc150532054 \h </w:instrText>
            </w:r>
            <w:r w:rsidR="005F0C29">
              <w:rPr>
                <w:noProof/>
                <w:webHidden/>
              </w:rPr>
            </w:r>
            <w:r w:rsidR="005F0C29">
              <w:rPr>
                <w:noProof/>
                <w:webHidden/>
              </w:rPr>
              <w:fldChar w:fldCharType="separate"/>
            </w:r>
            <w:r w:rsidR="005F0C29">
              <w:rPr>
                <w:noProof/>
                <w:webHidden/>
              </w:rPr>
              <w:t>2</w:t>
            </w:r>
            <w:r w:rsidR="005F0C29">
              <w:rPr>
                <w:noProof/>
                <w:webHidden/>
              </w:rPr>
              <w:fldChar w:fldCharType="end"/>
            </w:r>
          </w:hyperlink>
        </w:p>
        <w:p w14:paraId="28BF2040" w14:textId="542FA00D"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55" w:history="1">
            <w:r w:rsidR="005F0C29" w:rsidRPr="00797967">
              <w:rPr>
                <w:rStyle w:val="Hyperlink"/>
                <w:noProof/>
              </w:rPr>
              <w:t>Finding relevant stakeholders and devising successful engagement strategies</w:t>
            </w:r>
            <w:r w:rsidR="005F0C29">
              <w:rPr>
                <w:noProof/>
                <w:webHidden/>
              </w:rPr>
              <w:tab/>
            </w:r>
            <w:r w:rsidR="005F0C29">
              <w:rPr>
                <w:noProof/>
                <w:webHidden/>
              </w:rPr>
              <w:fldChar w:fldCharType="begin"/>
            </w:r>
            <w:r w:rsidR="005F0C29">
              <w:rPr>
                <w:noProof/>
                <w:webHidden/>
              </w:rPr>
              <w:instrText xml:space="preserve"> PAGEREF _Toc150532055 \h </w:instrText>
            </w:r>
            <w:r w:rsidR="005F0C29">
              <w:rPr>
                <w:noProof/>
                <w:webHidden/>
              </w:rPr>
            </w:r>
            <w:r w:rsidR="005F0C29">
              <w:rPr>
                <w:noProof/>
                <w:webHidden/>
              </w:rPr>
              <w:fldChar w:fldCharType="separate"/>
            </w:r>
            <w:r w:rsidR="005F0C29">
              <w:rPr>
                <w:noProof/>
                <w:webHidden/>
              </w:rPr>
              <w:t>4</w:t>
            </w:r>
            <w:r w:rsidR="005F0C29">
              <w:rPr>
                <w:noProof/>
                <w:webHidden/>
              </w:rPr>
              <w:fldChar w:fldCharType="end"/>
            </w:r>
          </w:hyperlink>
        </w:p>
        <w:p w14:paraId="4744EF12" w14:textId="57CD3A79"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56" w:history="1">
            <w:r w:rsidR="005F0C29" w:rsidRPr="00797967">
              <w:rPr>
                <w:rStyle w:val="Hyperlink"/>
                <w:noProof/>
              </w:rPr>
              <w:t>Social media promotion of the campaign</w:t>
            </w:r>
            <w:r w:rsidR="005F0C29">
              <w:rPr>
                <w:noProof/>
                <w:webHidden/>
              </w:rPr>
              <w:tab/>
            </w:r>
            <w:r w:rsidR="005F0C29">
              <w:rPr>
                <w:noProof/>
                <w:webHidden/>
              </w:rPr>
              <w:fldChar w:fldCharType="begin"/>
            </w:r>
            <w:r w:rsidR="005F0C29">
              <w:rPr>
                <w:noProof/>
                <w:webHidden/>
              </w:rPr>
              <w:instrText xml:space="preserve"> PAGEREF _Toc150532056 \h </w:instrText>
            </w:r>
            <w:r w:rsidR="005F0C29">
              <w:rPr>
                <w:noProof/>
                <w:webHidden/>
              </w:rPr>
            </w:r>
            <w:r w:rsidR="005F0C29">
              <w:rPr>
                <w:noProof/>
                <w:webHidden/>
              </w:rPr>
              <w:fldChar w:fldCharType="separate"/>
            </w:r>
            <w:r w:rsidR="005F0C29">
              <w:rPr>
                <w:noProof/>
                <w:webHidden/>
              </w:rPr>
              <w:t>4</w:t>
            </w:r>
            <w:r w:rsidR="005F0C29">
              <w:rPr>
                <w:noProof/>
                <w:webHidden/>
              </w:rPr>
              <w:fldChar w:fldCharType="end"/>
            </w:r>
          </w:hyperlink>
        </w:p>
        <w:p w14:paraId="3A946BBE" w14:textId="43EA3BBD"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57" w:history="1">
            <w:r w:rsidR="005F0C29" w:rsidRPr="00797967">
              <w:rPr>
                <w:rStyle w:val="Hyperlink"/>
                <w:noProof/>
              </w:rPr>
              <w:t>Advising Barnsley Metropolitan Borough Council on public involvement techniques.</w:t>
            </w:r>
            <w:r w:rsidR="005F0C29">
              <w:rPr>
                <w:noProof/>
                <w:webHidden/>
              </w:rPr>
              <w:tab/>
            </w:r>
            <w:r w:rsidR="005F0C29">
              <w:rPr>
                <w:noProof/>
                <w:webHidden/>
              </w:rPr>
              <w:fldChar w:fldCharType="begin"/>
            </w:r>
            <w:r w:rsidR="005F0C29">
              <w:rPr>
                <w:noProof/>
                <w:webHidden/>
              </w:rPr>
              <w:instrText xml:space="preserve"> PAGEREF _Toc150532057 \h </w:instrText>
            </w:r>
            <w:r w:rsidR="005F0C29">
              <w:rPr>
                <w:noProof/>
                <w:webHidden/>
              </w:rPr>
            </w:r>
            <w:r w:rsidR="005F0C29">
              <w:rPr>
                <w:noProof/>
                <w:webHidden/>
              </w:rPr>
              <w:fldChar w:fldCharType="separate"/>
            </w:r>
            <w:r w:rsidR="005F0C29">
              <w:rPr>
                <w:noProof/>
                <w:webHidden/>
              </w:rPr>
              <w:t>5</w:t>
            </w:r>
            <w:r w:rsidR="005F0C29">
              <w:rPr>
                <w:noProof/>
                <w:webHidden/>
              </w:rPr>
              <w:fldChar w:fldCharType="end"/>
            </w:r>
          </w:hyperlink>
        </w:p>
        <w:p w14:paraId="6AF62892" w14:textId="33282334"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58" w:history="1">
            <w:r w:rsidR="005F0C29" w:rsidRPr="00797967">
              <w:rPr>
                <w:rStyle w:val="Hyperlink"/>
                <w:noProof/>
              </w:rPr>
              <w:t>Prospective teaching on how internal and external factors effect community progress.</w:t>
            </w:r>
            <w:r w:rsidR="005F0C29">
              <w:rPr>
                <w:noProof/>
                <w:webHidden/>
              </w:rPr>
              <w:tab/>
            </w:r>
            <w:r w:rsidR="005F0C29">
              <w:rPr>
                <w:noProof/>
                <w:webHidden/>
              </w:rPr>
              <w:fldChar w:fldCharType="begin"/>
            </w:r>
            <w:r w:rsidR="005F0C29">
              <w:rPr>
                <w:noProof/>
                <w:webHidden/>
              </w:rPr>
              <w:instrText xml:space="preserve"> PAGEREF _Toc150532058 \h </w:instrText>
            </w:r>
            <w:r w:rsidR="005F0C29">
              <w:rPr>
                <w:noProof/>
                <w:webHidden/>
              </w:rPr>
            </w:r>
            <w:r w:rsidR="005F0C29">
              <w:rPr>
                <w:noProof/>
                <w:webHidden/>
              </w:rPr>
              <w:fldChar w:fldCharType="separate"/>
            </w:r>
            <w:r w:rsidR="005F0C29">
              <w:rPr>
                <w:noProof/>
                <w:webHidden/>
              </w:rPr>
              <w:t>6</w:t>
            </w:r>
            <w:r w:rsidR="005F0C29">
              <w:rPr>
                <w:noProof/>
                <w:webHidden/>
              </w:rPr>
              <w:fldChar w:fldCharType="end"/>
            </w:r>
          </w:hyperlink>
        </w:p>
        <w:p w14:paraId="007F4CFF" w14:textId="4A8D7ECB"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59" w:history="1">
            <w:r w:rsidR="005F0C29" w:rsidRPr="00797967">
              <w:rPr>
                <w:rStyle w:val="Hyperlink"/>
                <w:noProof/>
              </w:rPr>
              <w:t>Conclusion</w:t>
            </w:r>
            <w:r w:rsidR="005F0C29">
              <w:rPr>
                <w:noProof/>
                <w:webHidden/>
              </w:rPr>
              <w:tab/>
            </w:r>
            <w:r w:rsidR="005F0C29">
              <w:rPr>
                <w:noProof/>
                <w:webHidden/>
              </w:rPr>
              <w:fldChar w:fldCharType="begin"/>
            </w:r>
            <w:r w:rsidR="005F0C29">
              <w:rPr>
                <w:noProof/>
                <w:webHidden/>
              </w:rPr>
              <w:instrText xml:space="preserve"> PAGEREF _Toc150532059 \h </w:instrText>
            </w:r>
            <w:r w:rsidR="005F0C29">
              <w:rPr>
                <w:noProof/>
                <w:webHidden/>
              </w:rPr>
            </w:r>
            <w:r w:rsidR="005F0C29">
              <w:rPr>
                <w:noProof/>
                <w:webHidden/>
              </w:rPr>
              <w:fldChar w:fldCharType="separate"/>
            </w:r>
            <w:r w:rsidR="005F0C29">
              <w:rPr>
                <w:noProof/>
                <w:webHidden/>
              </w:rPr>
              <w:t>7</w:t>
            </w:r>
            <w:r w:rsidR="005F0C29">
              <w:rPr>
                <w:noProof/>
                <w:webHidden/>
              </w:rPr>
              <w:fldChar w:fldCharType="end"/>
            </w:r>
          </w:hyperlink>
        </w:p>
        <w:p w14:paraId="2EB9921A" w14:textId="6F2F01F3" w:rsidR="005F0C29" w:rsidRDefault="00000000">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50532060" w:history="1">
            <w:r w:rsidR="005F0C29" w:rsidRPr="00797967">
              <w:rPr>
                <w:rStyle w:val="Hyperlink"/>
                <w:noProof/>
              </w:rPr>
              <w:t>Reference</w:t>
            </w:r>
            <w:r w:rsidR="005F0C29">
              <w:rPr>
                <w:noProof/>
                <w:webHidden/>
              </w:rPr>
              <w:tab/>
            </w:r>
            <w:r w:rsidR="005F0C29">
              <w:rPr>
                <w:noProof/>
                <w:webHidden/>
              </w:rPr>
              <w:fldChar w:fldCharType="begin"/>
            </w:r>
            <w:r w:rsidR="005F0C29">
              <w:rPr>
                <w:noProof/>
                <w:webHidden/>
              </w:rPr>
              <w:instrText xml:space="preserve"> PAGEREF _Toc150532060 \h </w:instrText>
            </w:r>
            <w:r w:rsidR="005F0C29">
              <w:rPr>
                <w:noProof/>
                <w:webHidden/>
              </w:rPr>
            </w:r>
            <w:r w:rsidR="005F0C29">
              <w:rPr>
                <w:noProof/>
                <w:webHidden/>
              </w:rPr>
              <w:fldChar w:fldCharType="separate"/>
            </w:r>
            <w:r w:rsidR="005F0C29">
              <w:rPr>
                <w:noProof/>
                <w:webHidden/>
              </w:rPr>
              <w:t>8</w:t>
            </w:r>
            <w:r w:rsidR="005F0C29">
              <w:rPr>
                <w:noProof/>
                <w:webHidden/>
              </w:rPr>
              <w:fldChar w:fldCharType="end"/>
            </w:r>
          </w:hyperlink>
        </w:p>
        <w:p w14:paraId="55C7E72A" w14:textId="796ABC2A" w:rsidR="005F0C29" w:rsidRDefault="005F0C29">
          <w:r>
            <w:rPr>
              <w:b/>
              <w:bCs/>
              <w:noProof/>
            </w:rPr>
            <w:fldChar w:fldCharType="end"/>
          </w:r>
        </w:p>
      </w:sdtContent>
    </w:sdt>
    <w:p w14:paraId="73202F11" w14:textId="77777777" w:rsidR="005F0C29" w:rsidRDefault="005F0C29" w:rsidP="007A7F64"/>
    <w:p w14:paraId="0BEB37EE" w14:textId="77777777" w:rsidR="001834FC" w:rsidRDefault="001834FC" w:rsidP="007A7F64">
      <w:pPr>
        <w:pStyle w:val="Heading1"/>
        <w:sectPr w:rsidR="001834FC" w:rsidSect="001834FC">
          <w:footerReference w:type="default" r:id="rId9"/>
          <w:pgSz w:w="12240" w:h="15840"/>
          <w:pgMar w:top="1440" w:right="1440" w:bottom="1440" w:left="1440" w:header="720" w:footer="720" w:gutter="0"/>
          <w:pgNumType w:fmt="lowerRoman"/>
          <w:cols w:space="720"/>
          <w:docGrid w:linePitch="360"/>
        </w:sectPr>
      </w:pPr>
    </w:p>
    <w:p w14:paraId="194129F4" w14:textId="756AA5DC" w:rsidR="001834FC" w:rsidRDefault="00116B60" w:rsidP="007A7F64">
      <w:pPr>
        <w:pStyle w:val="Heading1"/>
      </w:pPr>
      <w:bookmarkStart w:id="0" w:name="_Toc142169490"/>
      <w:bookmarkStart w:id="1" w:name="_Toc150532052"/>
      <w:r>
        <w:lastRenderedPageBreak/>
        <w:t>Introduction</w:t>
      </w:r>
      <w:bookmarkEnd w:id="0"/>
      <w:bookmarkEnd w:id="1"/>
      <w:r>
        <w:t xml:space="preserve"> </w:t>
      </w:r>
    </w:p>
    <w:p w14:paraId="34E37DB6" w14:textId="741BE193" w:rsidR="00E75FC6" w:rsidRDefault="00D51F45" w:rsidP="007A7F64">
      <w:pPr>
        <w:rPr>
          <w:szCs w:val="24"/>
        </w:rPr>
      </w:pPr>
      <w:r w:rsidRPr="00D51F45">
        <w:t xml:space="preserve">The phrase "Community Engagement" frequently comes into play to refer to projects that aim to improve the quality of life for people in a certain area. Its primary goals are long-term success and improved public trust in government (Peterson, 2019). What follows serves as a synopsis of the present initiatives being pursued by the Barnsley Metropolitan Borough Government to better the local economy, society, and society. Two major comprehensive and aspirational plans for the borough's development include the Barnsley 2030 strategy as well as the Levelling Up Programme. The paper will provide a comprehensive overview of the project and analyse effective methods for enforcing community involvement concepts along with objectives. The paper will also describe the relationships among the participants and the strategies employed to incorporate them effectively. This study will also provide the council with recommendations for enhancing their communication with the local populace. The Barnsley Metropolitan Borough Council funded this study to learn how to better engage with the neighbourhood and welcome residents from all walks of </w:t>
      </w:r>
      <w:r w:rsidRPr="00637095">
        <w:rPr>
          <w:szCs w:val="24"/>
        </w:rPr>
        <w:t xml:space="preserve">life. When everything is said and done, this article will evaluate the justifications for involving community experts to take a proactive approach in teaching locals about the impact of external as well as internal variables on community development. </w:t>
      </w:r>
      <w:r w:rsidR="00CE4E6F" w:rsidRPr="00637095">
        <w:rPr>
          <w:szCs w:val="24"/>
        </w:rPr>
        <w:t xml:space="preserve"> </w:t>
      </w:r>
    </w:p>
    <w:p w14:paraId="408EDE18" w14:textId="77777777" w:rsidR="00081C91" w:rsidRDefault="00081C91" w:rsidP="007A7F64">
      <w:pPr>
        <w:rPr>
          <w:szCs w:val="24"/>
        </w:rPr>
      </w:pPr>
    </w:p>
    <w:p w14:paraId="2D7033BE" w14:textId="77777777" w:rsidR="00081C91" w:rsidRDefault="00081C91" w:rsidP="007A7F64">
      <w:pPr>
        <w:rPr>
          <w:szCs w:val="24"/>
        </w:rPr>
      </w:pPr>
    </w:p>
    <w:p w14:paraId="60388C95" w14:textId="77777777" w:rsidR="00081C91" w:rsidRDefault="00081C91" w:rsidP="007A7F64">
      <w:pPr>
        <w:rPr>
          <w:szCs w:val="24"/>
        </w:rPr>
      </w:pPr>
    </w:p>
    <w:p w14:paraId="72AAF093" w14:textId="77777777" w:rsidR="00081C91" w:rsidRDefault="00081C91" w:rsidP="007A7F64">
      <w:pPr>
        <w:rPr>
          <w:szCs w:val="24"/>
        </w:rPr>
      </w:pPr>
    </w:p>
    <w:p w14:paraId="5500FA55" w14:textId="77777777" w:rsidR="00081C91" w:rsidRDefault="00081C91" w:rsidP="007A7F64">
      <w:pPr>
        <w:rPr>
          <w:szCs w:val="24"/>
        </w:rPr>
      </w:pPr>
    </w:p>
    <w:p w14:paraId="4B3C9F87" w14:textId="77777777" w:rsidR="00081C91" w:rsidRDefault="00081C91" w:rsidP="007A7F64">
      <w:pPr>
        <w:rPr>
          <w:szCs w:val="24"/>
        </w:rPr>
      </w:pPr>
    </w:p>
    <w:p w14:paraId="2E785B04" w14:textId="77777777" w:rsidR="00081C91" w:rsidRPr="00637095" w:rsidRDefault="00081C91" w:rsidP="007A7F64">
      <w:pPr>
        <w:rPr>
          <w:szCs w:val="24"/>
        </w:rPr>
      </w:pPr>
    </w:p>
    <w:p w14:paraId="3541EC40" w14:textId="4727F574" w:rsidR="00CE4E6F" w:rsidRPr="00637095" w:rsidRDefault="006533C9" w:rsidP="005F0C29">
      <w:pPr>
        <w:pStyle w:val="Heading1"/>
      </w:pPr>
      <w:bookmarkStart w:id="2" w:name="_Toc150532053"/>
      <w:r w:rsidRPr="00637095">
        <w:lastRenderedPageBreak/>
        <w:t>Current Barnsley MBC Projects &amp; Programmes</w:t>
      </w:r>
      <w:bookmarkEnd w:id="2"/>
    </w:p>
    <w:p w14:paraId="4D3EADC9" w14:textId="1900B904" w:rsidR="00E75FC6" w:rsidRPr="00637095" w:rsidRDefault="00F85707" w:rsidP="00255131">
      <w:pPr>
        <w:rPr>
          <w:szCs w:val="24"/>
        </w:rPr>
      </w:pPr>
      <w:r w:rsidRPr="00637095">
        <w:rPr>
          <w:szCs w:val="24"/>
        </w:rPr>
        <w:t>Within the United Kingdom, the Barnsley Metropolitan Borough Council comprises one of the local governments involved within the Barnsley 2030 initiative. The goal of the Barnsley 2030 initiative is to improve people's standard of life by providing them with equal access to high-</w:t>
      </w:r>
      <w:r w:rsidR="00154B13" w:rsidRPr="00637095">
        <w:rPr>
          <w:szCs w:val="24"/>
        </w:rPr>
        <w:t>calibre</w:t>
      </w:r>
      <w:r w:rsidRPr="00637095">
        <w:rPr>
          <w:szCs w:val="24"/>
        </w:rPr>
        <w:t xml:space="preserve"> community assets (Adhikari et al., 2020). The council's plans aim to improve Barnsley's economic, social, as well as ecological aspects by the year 2030. In order to do this, a set of goals has been established, one of which is to create 8,000 new </w:t>
      </w:r>
      <w:r w:rsidR="00235EFB" w:rsidRPr="00637095">
        <w:rPr>
          <w:szCs w:val="24"/>
        </w:rPr>
        <w:t>employments</w:t>
      </w:r>
      <w:r w:rsidRPr="00637095">
        <w:rPr>
          <w:szCs w:val="24"/>
        </w:rPr>
        <w:t xml:space="preserve"> in Barnsley by the year 2025, with a goal of creating fifteen thousand additional positions by the year 2030. It is also important to take steps to reduce carbon dioxide emissions by 80% all through the borough in order to effectively address environmental issues. The initiative has a secondary goal of promoting gender parity throughout job settings, particularly by resolving the wage gap that exists among men and women. The goal is to abolish discrimination against women in the workplace by ensuring that men and women earn the same amount of money by the year 2030. The council's main mission is to further societal and economic growth, and it is doing so by focusing on a wide range of key domains. With our help, 850 new firms have </w:t>
      </w:r>
      <w:proofErr w:type="gramStart"/>
      <w:r w:rsidRPr="00637095">
        <w:rPr>
          <w:szCs w:val="24"/>
        </w:rPr>
        <w:t>opened up</w:t>
      </w:r>
      <w:proofErr w:type="gramEnd"/>
      <w:r w:rsidRPr="00637095">
        <w:rPr>
          <w:szCs w:val="24"/>
        </w:rPr>
        <w:t xml:space="preserve"> shop in and around the city, boosting the yearly football sector (Adhikari et al., 2020). Our attempts have resulted in a large rise in earnings, with predictions predicting growth from three million to ten million before the end of 2030. Furthermore, the municipality has begun implementing its recently formed Economic Renewal Action Plan in order to deal with the economic effects of the Covid-19 epidemic. This approach will be implemented over the long term to aid the Barnsley 2030 initiative. Barnsley 2030 is the borough's complete integrative plan and </w:t>
      </w:r>
      <w:proofErr w:type="gramStart"/>
      <w:r w:rsidRPr="00637095">
        <w:rPr>
          <w:szCs w:val="24"/>
        </w:rPr>
        <w:t>The</w:t>
      </w:r>
      <w:proofErr w:type="gramEnd"/>
      <w:r w:rsidRPr="00637095">
        <w:rPr>
          <w:szCs w:val="24"/>
        </w:rPr>
        <w:t xml:space="preserve"> allocation Up Programme for the period ending in 2022, including the municipality has meticulously recorded the monthly performance on the project's objectives and results, matching them with the aims stated in Barnsley 2030. Discrimination, contamination, criminal activity, instability, a lack of amenities for recreation, and socioeconomic hardship are only some of the major issues that the local government has been tackling or planning to reduce by means of the Barnsley 2030 programme.</w:t>
      </w:r>
    </w:p>
    <w:p w14:paraId="407B5E26" w14:textId="04E71EAA" w:rsidR="00E75FC6" w:rsidRPr="00637095" w:rsidRDefault="00893BBC" w:rsidP="005F0C29">
      <w:pPr>
        <w:pStyle w:val="Heading1"/>
      </w:pPr>
      <w:bookmarkStart w:id="3" w:name="_Toc150532054"/>
      <w:r w:rsidRPr="00637095">
        <w:lastRenderedPageBreak/>
        <w:t>Guidelines and benefits of stakeholder participation in community engagement analyses.</w:t>
      </w:r>
      <w:bookmarkEnd w:id="3"/>
    </w:p>
    <w:p w14:paraId="52A4FCFD" w14:textId="67483512" w:rsidR="0005235B" w:rsidRDefault="00012A9E" w:rsidP="007A7F64">
      <w:r w:rsidRPr="00012A9E">
        <w:t>Areas with active governments tend to be healthier on average, but it can be challenging for councils to get residents in remote areas involved. Barnsley Metropolitan Borough Council employs a variety of best practises for public engagement, including those listed below.</w:t>
      </w:r>
    </w:p>
    <w:p w14:paraId="04FDF873" w14:textId="77777777" w:rsidR="00856737" w:rsidRDefault="00255131" w:rsidP="007A7F64">
      <w:pPr>
        <w:rPr>
          <w:b/>
        </w:rPr>
      </w:pPr>
      <w:r w:rsidRPr="00255131">
        <w:rPr>
          <w:b/>
        </w:rPr>
        <w:t>Talking to donors personally</w:t>
      </w:r>
      <w:r>
        <w:rPr>
          <w:b/>
        </w:rPr>
        <w:t xml:space="preserve">: </w:t>
      </w:r>
      <w:r w:rsidR="00FA6B5B" w:rsidRPr="00FA6B5B">
        <w:t>This sort of public input has been employed by the Barnsley Metropolitan Borough Corporation to document residents' aspirations for the Barnsley 2030 strategy.</w:t>
      </w:r>
    </w:p>
    <w:p w14:paraId="18FD04DF" w14:textId="2915ED27" w:rsidR="0005235B" w:rsidRPr="00856737" w:rsidRDefault="00856737" w:rsidP="007A7F64">
      <w:pPr>
        <w:rPr>
          <w:b/>
        </w:rPr>
      </w:pPr>
      <w:r w:rsidRPr="00856737">
        <w:rPr>
          <w:b/>
        </w:rPr>
        <w:t>Prioritise member participation and feedback</w:t>
      </w:r>
      <w:r>
        <w:rPr>
          <w:b/>
        </w:rPr>
        <w:t>:</w:t>
      </w:r>
      <w:r w:rsidR="002F7C39">
        <w:rPr>
          <w:b/>
        </w:rPr>
        <w:t xml:space="preserve"> </w:t>
      </w:r>
      <w:r w:rsidR="00B84511" w:rsidRPr="00B84511">
        <w:t>The council can additionally recognise the contributions of its staff with rewards, boosting motivation and commitment to meeting the Barnsley 2030 technology targets (</w:t>
      </w:r>
      <w:proofErr w:type="spellStart"/>
      <w:r w:rsidR="00B84511" w:rsidRPr="00B84511">
        <w:t>Relton</w:t>
      </w:r>
      <w:proofErr w:type="spellEnd"/>
      <w:r w:rsidR="00B84511" w:rsidRPr="00B84511">
        <w:t>, 2022).</w:t>
      </w:r>
    </w:p>
    <w:p w14:paraId="4304B311" w14:textId="20C978B8" w:rsidR="0005235B" w:rsidRPr="008D201D" w:rsidRDefault="008D201D" w:rsidP="007A7F64">
      <w:pPr>
        <w:rPr>
          <w:b/>
        </w:rPr>
      </w:pPr>
      <w:r w:rsidRPr="008D201D">
        <w:rPr>
          <w:b/>
        </w:rPr>
        <w:t>Mandatory UK volunteer guidelines</w:t>
      </w:r>
      <w:r>
        <w:rPr>
          <w:b/>
        </w:rPr>
        <w:t xml:space="preserve">: </w:t>
      </w:r>
      <w:r w:rsidR="00191BE5" w:rsidRPr="00191BE5">
        <w:t>Rules for correct processes have been devised to direct and suggest the way contact inside a network ought to be done out, which is included. Barnsley Metropolitan Borough Corporation has developed a variety of community involvement ideas in keeping with UK-wide guidelines.</w:t>
      </w:r>
    </w:p>
    <w:p w14:paraId="66358994" w14:textId="128A5E38" w:rsidR="0005235B" w:rsidRPr="00637095" w:rsidRDefault="00637095" w:rsidP="007A7F64">
      <w:pPr>
        <w:rPr>
          <w:b/>
        </w:rPr>
      </w:pPr>
      <w:r w:rsidRPr="00637095">
        <w:rPr>
          <w:b/>
        </w:rPr>
        <w:t>Take your time getting ready</w:t>
      </w:r>
      <w:r>
        <w:rPr>
          <w:b/>
        </w:rPr>
        <w:t xml:space="preserve">: </w:t>
      </w:r>
      <w:r w:rsidR="00B144A3" w:rsidRPr="00B144A3">
        <w:t>The council puts in a lot of hours planning and coordinating events that help the community socially and financially.</w:t>
      </w:r>
    </w:p>
    <w:p w14:paraId="6D3D221C" w14:textId="006B18A3" w:rsidR="0005235B" w:rsidRDefault="00C54FF9" w:rsidP="007A7F64">
      <w:r w:rsidRPr="00C54FF9">
        <w:rPr>
          <w:b/>
        </w:rPr>
        <w:t>The benefits of a culturally and racially varied society</w:t>
      </w:r>
      <w:r>
        <w:rPr>
          <w:b/>
        </w:rPr>
        <w:t xml:space="preserve">: </w:t>
      </w:r>
      <w:r w:rsidR="001952DF" w:rsidRPr="001952DF">
        <w:t>To ensure the delivery of high-quality outcomes and legitimacy in democracy, Barnsley Council has devised an equitable and welcoming policy by involving a broad diversity of individuals, participants, including ideas.</w:t>
      </w:r>
    </w:p>
    <w:p w14:paraId="7632FEDD" w14:textId="31FB5242" w:rsidR="0005235B" w:rsidRPr="003D131F" w:rsidRDefault="003D131F" w:rsidP="007A7F64">
      <w:pPr>
        <w:rPr>
          <w:b/>
        </w:rPr>
      </w:pPr>
      <w:r w:rsidRPr="003D131F">
        <w:rPr>
          <w:b/>
        </w:rPr>
        <w:t>Collaboration and teamwork to achieve a shared objective</w:t>
      </w:r>
      <w:r>
        <w:rPr>
          <w:b/>
        </w:rPr>
        <w:t xml:space="preserve">: </w:t>
      </w:r>
      <w:r w:rsidR="00B24BB9" w:rsidRPr="00B24BB9">
        <w:t>To that end, the Council encourages and facilitates collaboration between government bodies, network service providers, among other stakeholders (McCabe, 2022).</w:t>
      </w:r>
    </w:p>
    <w:p w14:paraId="52BEB115" w14:textId="65937005" w:rsidR="00024461" w:rsidRPr="00DB109E" w:rsidRDefault="00DB109E" w:rsidP="00024461">
      <w:pPr>
        <w:rPr>
          <w:b/>
        </w:rPr>
      </w:pPr>
      <w:r w:rsidRPr="00DB109E">
        <w:rPr>
          <w:b/>
        </w:rPr>
        <w:t>Expressing concern and keeping lines of communication open</w:t>
      </w:r>
      <w:r>
        <w:rPr>
          <w:b/>
        </w:rPr>
        <w:t xml:space="preserve">: </w:t>
      </w:r>
      <w:r w:rsidR="00024461">
        <w:t>The council maintains a transparent database that includes information like donors, results, and event organisers.</w:t>
      </w:r>
    </w:p>
    <w:p w14:paraId="789C50D0" w14:textId="77777777" w:rsidR="00024461" w:rsidRDefault="00024461" w:rsidP="00024461">
      <w:r>
        <w:lastRenderedPageBreak/>
        <w:t xml:space="preserve">Stakeholder engagement is very beneficial for belonging, interpersonal, along with economic development. When all interested parties are heard from, trust in the council rises, lines for interaction open up, disputes aren't as likely to emerge, and the </w:t>
      </w:r>
      <w:proofErr w:type="gramStart"/>
      <w:r>
        <w:t>amount</w:t>
      </w:r>
      <w:proofErr w:type="gramEnd"/>
      <w:r>
        <w:t xml:space="preserve"> of conflicts drops precipitously. Thus, it is essential that the Barnsley Metropolitan Borough Council's stakeholder engagement plan be carried out efficiently and effectively for the Barnsley 2030 programme to be successful (Gilmore, 2020). The members of the council can employ the information to refine their initiative.</w:t>
      </w:r>
    </w:p>
    <w:p w14:paraId="5C84261D" w14:textId="0BDDB03C" w:rsidR="0005235B" w:rsidRDefault="0005235B" w:rsidP="007A7F64"/>
    <w:p w14:paraId="26DBE795" w14:textId="1DAAF078" w:rsidR="00C02F0C" w:rsidRDefault="00C02F0C" w:rsidP="007A7F64">
      <w:pPr>
        <w:jc w:val="left"/>
      </w:pPr>
    </w:p>
    <w:p w14:paraId="7713C1FE" w14:textId="61513C5F" w:rsidR="00516172" w:rsidRDefault="00DC091C" w:rsidP="007A7F64">
      <w:pPr>
        <w:pStyle w:val="Heading1"/>
      </w:pPr>
      <w:bookmarkStart w:id="4" w:name="_Toc150532055"/>
      <w:r w:rsidRPr="00DC091C">
        <w:t>Finding relevant stakeholders and devising successful engagement strategies</w:t>
      </w:r>
      <w:bookmarkEnd w:id="4"/>
    </w:p>
    <w:p w14:paraId="212DA9D4" w14:textId="77777777" w:rsidR="009C78DF" w:rsidRDefault="009C78DF" w:rsidP="009C78DF">
      <w:r>
        <w:t>The term "stakeholder" refers to individuals involved in an initiative or business who stand to gain or lose from its success or failure. Citizens within the municipality, local organisers, elected officials at both the state and federal levels, groups dedicated to bettering the environment in the area, citizen groups, including non-governmental organisations (NGOs) are among Barnsley Metropolitan Borough Council's most important categories of constituents. Residents of the Barnsley Metropolitan District Board have a reputation to often coordinate and contribute resources. For the council's Barnsley 2030 plan to succeed in promoting social, economic, including community progress, the highest priority must be provided (Ferreira, 2020). The municipality's primary connection with these groups constitutes a kind of collaborative effort to further Barnsley's communities with residents' interests.</w:t>
      </w:r>
    </w:p>
    <w:p w14:paraId="57934029" w14:textId="074FECBA" w:rsidR="00C02F0C" w:rsidRDefault="009C78DF" w:rsidP="0075375C">
      <w:r>
        <w:t xml:space="preserve">Barnsley Metropolitan Borough Corporation has discovered that engaging with residents across many internet platforms provides an effective approach to do so. That the high aims of the </w:t>
      </w:r>
      <w:proofErr w:type="spellStart"/>
      <w:r>
        <w:t>Barnesly</w:t>
      </w:r>
      <w:proofErr w:type="spellEnd"/>
      <w:r>
        <w:t xml:space="preserve"> 2030 programme have been met implies the council may boast over them on various social media platforms.</w:t>
      </w:r>
    </w:p>
    <w:p w14:paraId="297DDCF4" w14:textId="5780F785" w:rsidR="009D5748" w:rsidRDefault="00EE7D9C" w:rsidP="007A7F64">
      <w:pPr>
        <w:pStyle w:val="Heading1"/>
      </w:pPr>
      <w:bookmarkStart w:id="5" w:name="_Toc150532056"/>
      <w:r w:rsidRPr="00EE7D9C">
        <w:lastRenderedPageBreak/>
        <w:t>Social media promotion of the campaign</w:t>
      </w:r>
      <w:bookmarkEnd w:id="5"/>
    </w:p>
    <w:p w14:paraId="7F458446" w14:textId="3CA10815" w:rsidR="0005235B" w:rsidRDefault="00D17D25" w:rsidP="007A7F64">
      <w:r w:rsidRPr="00D17D25">
        <w:t xml:space="preserve">The Barnsley Metropolitan Borough Corporation has discovered that </w:t>
      </w:r>
      <w:proofErr w:type="gramStart"/>
      <w:r w:rsidRPr="00D17D25">
        <w:t>a number of</w:t>
      </w:r>
      <w:proofErr w:type="gramEnd"/>
      <w:r w:rsidRPr="00D17D25">
        <w:t xml:space="preserve"> social networking platforms are beneficial for spreading the word about "Barnsley 2030" (the borough's all-encompassing plan and Levelling Up Plan). These include, but are not limited to:</w:t>
      </w:r>
    </w:p>
    <w:p w14:paraId="28DA2155" w14:textId="78B4B26E" w:rsidR="0005235B" w:rsidRPr="00FC2945" w:rsidRDefault="00116B60" w:rsidP="007A7F64">
      <w:pPr>
        <w:rPr>
          <w:b/>
        </w:rPr>
      </w:pPr>
      <w:r w:rsidRPr="00F20149">
        <w:rPr>
          <w:b/>
        </w:rPr>
        <w:t>Facebook</w:t>
      </w:r>
      <w:r w:rsidR="00FC2945">
        <w:rPr>
          <w:b/>
        </w:rPr>
        <w:t xml:space="preserve">: </w:t>
      </w:r>
      <w:r w:rsidR="00C75EA9" w:rsidRPr="00C75EA9">
        <w:t>Facebook serves as a well-known social media platform where users may establish their own pages to showcase their community service efforts. Adhikari et al. (2020) found that the Barnsley Metropolitan District Government effectively communicates with locals using a variety of online mediums, including articles, papers, feedback, answers, and emails.</w:t>
      </w:r>
    </w:p>
    <w:p w14:paraId="7714A82B" w14:textId="493F00E5" w:rsidR="0005235B" w:rsidRPr="002774EA" w:rsidRDefault="00116B60" w:rsidP="007A7F64">
      <w:pPr>
        <w:rPr>
          <w:b/>
        </w:rPr>
      </w:pPr>
      <w:r w:rsidRPr="00F20149">
        <w:rPr>
          <w:b/>
        </w:rPr>
        <w:t>Instagram or TikTok</w:t>
      </w:r>
      <w:r w:rsidR="002774EA">
        <w:rPr>
          <w:b/>
        </w:rPr>
        <w:t xml:space="preserve">: </w:t>
      </w:r>
      <w:r w:rsidR="009F7443" w:rsidRPr="009F7443">
        <w:t>Barnsley Metropolitan Borough Council regularly updates this webpage with updates regarding its initiatives and their effects on the local populace.</w:t>
      </w:r>
    </w:p>
    <w:p w14:paraId="67A1EF18" w14:textId="52FA2CE6" w:rsidR="0005235B" w:rsidRPr="00D81C1A" w:rsidRDefault="00116B60" w:rsidP="007A7F64">
      <w:pPr>
        <w:rPr>
          <w:b/>
        </w:rPr>
      </w:pPr>
      <w:r w:rsidRPr="00F20149">
        <w:rPr>
          <w:b/>
        </w:rPr>
        <w:t>YouTube</w:t>
      </w:r>
      <w:r w:rsidR="00D81C1A">
        <w:rPr>
          <w:b/>
        </w:rPr>
        <w:t xml:space="preserve">: </w:t>
      </w:r>
      <w:r w:rsidR="00C95FEB" w:rsidRPr="00C95FEB">
        <w:t xml:space="preserve">The council should employ movies to spread the word about community and financial improvement programmes like Barnsley 2030. This approach will provide stakeholders a greater opportunity to track the program's development while making modifications as needed. As a different means of communicating with locals including entrepreneurs, Barnsley Council may </w:t>
      </w:r>
      <w:proofErr w:type="gramStart"/>
      <w:r w:rsidR="00C95FEB" w:rsidRPr="00C95FEB">
        <w:t>look into</w:t>
      </w:r>
      <w:proofErr w:type="gramEnd"/>
      <w:r w:rsidR="00C95FEB" w:rsidRPr="00C95FEB">
        <w:t xml:space="preserve"> holding events on YouTube.</w:t>
      </w:r>
    </w:p>
    <w:p w14:paraId="022796C5" w14:textId="07D9A485" w:rsidR="0005235B" w:rsidRDefault="00116B60" w:rsidP="007A7F64">
      <w:r w:rsidRPr="00F20149">
        <w:rPr>
          <w:b/>
        </w:rPr>
        <w:t>Twitter</w:t>
      </w:r>
      <w:r w:rsidR="00262BB3">
        <w:rPr>
          <w:b/>
        </w:rPr>
        <w:t xml:space="preserve">: </w:t>
      </w:r>
      <w:r w:rsidR="00435B38" w:rsidRPr="00435B38">
        <w:t>The direct, one-on-one communication made possible by Twitter is ideal for the Council in reaching out to its people and expanding its circle of supporters. Effective choices, cautious handling of risks, and collaborative relationships helped Barnsley Council overcome obstacles and move towards its 2030 targets (McCabe, 2023).</w:t>
      </w:r>
    </w:p>
    <w:p w14:paraId="6263D01C" w14:textId="77777777" w:rsidR="00081C91" w:rsidRDefault="00081C91" w:rsidP="007A7F64"/>
    <w:p w14:paraId="66D81A09" w14:textId="77777777" w:rsidR="00081C91" w:rsidRPr="00780AFE" w:rsidRDefault="00081C91" w:rsidP="007A7F64">
      <w:pPr>
        <w:rPr>
          <w:b/>
        </w:rPr>
      </w:pPr>
    </w:p>
    <w:p w14:paraId="07529647" w14:textId="0E6DB7A7" w:rsidR="009D5748" w:rsidRDefault="00AD0A27" w:rsidP="007A7F64">
      <w:pPr>
        <w:pStyle w:val="Heading1"/>
      </w:pPr>
      <w:bookmarkStart w:id="6" w:name="_Toc142169493"/>
      <w:bookmarkStart w:id="7" w:name="_Toc150532057"/>
      <w:r w:rsidRPr="00AD0A27">
        <w:lastRenderedPageBreak/>
        <w:t>Advising Barnsley Metropolitan Borough Council on public involvement techniques.</w:t>
      </w:r>
      <w:bookmarkEnd w:id="6"/>
      <w:bookmarkEnd w:id="7"/>
    </w:p>
    <w:p w14:paraId="7761C1EA" w14:textId="4481A194" w:rsidR="0005235B" w:rsidRDefault="00A737C3" w:rsidP="007A7F64">
      <w:r w:rsidRPr="00A737C3">
        <w:t>The Barnsley Metropolitan Borough Council established a long-term strategy known as Barnsley 2030, with the aim of fostering interpersonal cooperation, diversity, inclusivity, and social as well as cultural cooperation.</w:t>
      </w:r>
    </w:p>
    <w:p w14:paraId="05D58DC8" w14:textId="1025613D" w:rsidR="0005235B" w:rsidRPr="00FD1693" w:rsidRDefault="00116B60" w:rsidP="007A7F64">
      <w:pPr>
        <w:rPr>
          <w:b/>
        </w:rPr>
      </w:pPr>
      <w:r w:rsidRPr="0005235B">
        <w:rPr>
          <w:b/>
        </w:rPr>
        <w:t xml:space="preserve">Dear </w:t>
      </w:r>
      <w:proofErr w:type="gramStart"/>
      <w:r w:rsidRPr="0005235B">
        <w:rPr>
          <w:b/>
        </w:rPr>
        <w:t>highly-respected</w:t>
      </w:r>
      <w:proofErr w:type="gramEnd"/>
      <w:r w:rsidRPr="0005235B">
        <w:rPr>
          <w:b/>
        </w:rPr>
        <w:t xml:space="preserve"> new authors</w:t>
      </w:r>
      <w:r w:rsidR="00FD1693">
        <w:rPr>
          <w:b/>
        </w:rPr>
        <w:t xml:space="preserve">: </w:t>
      </w:r>
      <w:r w:rsidR="00952910" w:rsidRPr="00952910">
        <w:t>It is imperative that the Barnsley Council prioritises the cultivation of an inclusive and welcoming environment that embraces individuals from many different cultures. This platform facilitates the acquisition of contemporary knowledge that is firmly rooted in practicality, thereby enhancing individuals' individual, professional, and communal well-being.</w:t>
      </w:r>
    </w:p>
    <w:p w14:paraId="6CACD458" w14:textId="055C26A3" w:rsidR="0005235B" w:rsidRPr="0041571E" w:rsidRDefault="00116B60" w:rsidP="007A7F64">
      <w:pPr>
        <w:rPr>
          <w:b/>
        </w:rPr>
      </w:pPr>
      <w:r w:rsidRPr="0005235B">
        <w:rPr>
          <w:b/>
        </w:rPr>
        <w:t>Diversifying content</w:t>
      </w:r>
      <w:r w:rsidR="0041571E">
        <w:rPr>
          <w:b/>
        </w:rPr>
        <w:t xml:space="preserve">: </w:t>
      </w:r>
      <w:r w:rsidR="00430D57" w:rsidRPr="00430D57">
        <w:t xml:space="preserve">The council shouldn't rely just on the Barnsley 2030 initiative to increase coverage; it should explore other strategies as well. The Barnsley 2030 plan has inspired </w:t>
      </w:r>
      <w:proofErr w:type="gramStart"/>
      <w:r w:rsidR="00430D57" w:rsidRPr="00430D57">
        <w:t>a number of</w:t>
      </w:r>
      <w:proofErr w:type="gramEnd"/>
      <w:r w:rsidR="00430D57" w:rsidRPr="00430D57">
        <w:t xml:space="preserve"> municipal campaigns, such as the Place-based overall investment strategy and the financial sustainable movement strategy (Rain, 2020).</w:t>
      </w:r>
    </w:p>
    <w:p w14:paraId="6F7FE735" w14:textId="7881F6A1" w:rsidR="0005235B" w:rsidRPr="00F01A5F" w:rsidRDefault="00116B60" w:rsidP="007A7F64">
      <w:pPr>
        <w:rPr>
          <w:b/>
        </w:rPr>
      </w:pPr>
      <w:r w:rsidRPr="0005235B">
        <w:rPr>
          <w:b/>
        </w:rPr>
        <w:t>Developing one's own infrastructure</w:t>
      </w:r>
      <w:r w:rsidR="00F01A5F">
        <w:rPr>
          <w:b/>
        </w:rPr>
        <w:t xml:space="preserve">: </w:t>
      </w:r>
      <w:r w:rsidR="00831A2B" w:rsidRPr="00831A2B">
        <w:t>The Council needs to build its own specialised website in along with keeping an account on social networking platforms in order to effectively engage with a wide variety of organisations including stakeholders.</w:t>
      </w:r>
    </w:p>
    <w:p w14:paraId="0B305DD1" w14:textId="6E0DFD4F" w:rsidR="00C857B0" w:rsidRPr="00C03FD2" w:rsidRDefault="00116B60" w:rsidP="007A7F64">
      <w:pPr>
        <w:rPr>
          <w:b/>
        </w:rPr>
      </w:pPr>
      <w:r>
        <w:rPr>
          <w:b/>
        </w:rPr>
        <w:t>Webinar development</w:t>
      </w:r>
      <w:r w:rsidR="00C03FD2">
        <w:rPr>
          <w:b/>
        </w:rPr>
        <w:t xml:space="preserve">: </w:t>
      </w:r>
      <w:r w:rsidR="00401180" w:rsidRPr="00401180">
        <w:t>Webinars remain among the most effective methods to deal with community concerns, despite the fact they require greater preparation than a regular Q&amp;A session. A webinar is a great way for the council to get in touch with its constituents and solve their concerns (Rain, 2020). The elected officials may use this meeting to discuss and find sustainable answers to issues including joblessness, racism, as well as environmental deterioration.</w:t>
      </w:r>
    </w:p>
    <w:p w14:paraId="4EB249E0" w14:textId="4A93A1DA" w:rsidR="00516172" w:rsidRPr="00793651" w:rsidRDefault="00116B60" w:rsidP="00793651">
      <w:pPr>
        <w:rPr>
          <w:b/>
        </w:rPr>
      </w:pPr>
      <w:r w:rsidRPr="00516172">
        <w:rPr>
          <w:b/>
        </w:rPr>
        <w:t>Promoting Civility in Group Settings</w:t>
      </w:r>
      <w:r w:rsidR="00526489">
        <w:rPr>
          <w:b/>
        </w:rPr>
        <w:t xml:space="preserve">: </w:t>
      </w:r>
      <w:r w:rsidR="00B8295C" w:rsidRPr="00B8295C">
        <w:t>The council should provide a space on the community website where people may voice their opinions (Gilmore, 2020). Moderation provides a highly effective means of keeping watch on the activities and achievements of people in the community.</w:t>
      </w:r>
    </w:p>
    <w:p w14:paraId="07254F01" w14:textId="23042A00" w:rsidR="00516172" w:rsidRDefault="003A6D0C" w:rsidP="007A7F64">
      <w:pPr>
        <w:pStyle w:val="Heading1"/>
      </w:pPr>
      <w:bookmarkStart w:id="8" w:name="_Toc150532058"/>
      <w:r w:rsidRPr="003A6D0C">
        <w:lastRenderedPageBreak/>
        <w:t>Prospective teaching on how internal and external factors effect community progress.</w:t>
      </w:r>
      <w:bookmarkEnd w:id="8"/>
    </w:p>
    <w:p w14:paraId="383E33F0" w14:textId="77777777" w:rsidR="00A50083" w:rsidRDefault="00A50083" w:rsidP="00A50083">
      <w:r>
        <w:t xml:space="preserve">Plans, projects, and programmes that are forward-looking </w:t>
      </w:r>
      <w:proofErr w:type="gramStart"/>
      <w:r>
        <w:t>take into account</w:t>
      </w:r>
      <w:proofErr w:type="gramEnd"/>
      <w:r>
        <w:t xml:space="preserve"> the possibility of future environmental shifts. Barnsley Metro Borough Council may use this approach to educate locals about the numerous external as well as internal variables that influence the development of the region. This plan would benefit the elected officials as it would boost community engagement in council efforts (Sharma, 2022). Yet, this approach has the serious drawback of not giving enough weight to real outcomes.</w:t>
      </w:r>
    </w:p>
    <w:p w14:paraId="455B4093" w14:textId="32266911" w:rsidR="00A50083" w:rsidRDefault="00A50083" w:rsidP="00A50083">
      <w:r>
        <w:t xml:space="preserve">Barnsley's ability to reach its 2030 objective of producing 8,000 new workers through 2025 has been severely hampered by the financial challenges created by the Covid-19 epidemic. A member of the neighbourhood lacks faith in their own abilities and gives up trying to fix the problem. The council may </w:t>
      </w:r>
      <w:r w:rsidR="00154B13">
        <w:t>instil</w:t>
      </w:r>
      <w:r>
        <w:t xml:space="preserve"> hope in its citizens by encouraging them to look forward, rather than dwell on the past (Bergen and </w:t>
      </w:r>
      <w:proofErr w:type="spellStart"/>
      <w:r>
        <w:t>Sladek</w:t>
      </w:r>
      <w:proofErr w:type="spellEnd"/>
      <w:r>
        <w:t>, 2019). This approach will keep locals invested in the endeavour and eager to see it through to a successful conclusion by removing the temptation to dwell on past outcomes.</w:t>
      </w:r>
    </w:p>
    <w:p w14:paraId="02861431" w14:textId="508FD07D" w:rsidR="00C857B0" w:rsidRDefault="00C857B0" w:rsidP="007A7F64"/>
    <w:p w14:paraId="3B4C170F" w14:textId="58375F8C" w:rsidR="00A408B5" w:rsidRDefault="00116B60" w:rsidP="007A7F64">
      <w:pPr>
        <w:rPr>
          <w:rFonts w:asciiTheme="majorHAnsi" w:eastAsiaTheme="majorEastAsia" w:hAnsiTheme="majorHAnsi" w:cstheme="majorBidi"/>
          <w:b/>
          <w:sz w:val="32"/>
          <w:szCs w:val="32"/>
        </w:rPr>
      </w:pPr>
      <w:r>
        <w:br w:type="page"/>
      </w:r>
    </w:p>
    <w:p w14:paraId="0C5D1297" w14:textId="5414C165" w:rsidR="001834FC" w:rsidRDefault="00116B60" w:rsidP="007A7F64">
      <w:pPr>
        <w:pStyle w:val="Heading1"/>
      </w:pPr>
      <w:bookmarkStart w:id="9" w:name="_Toc142169495"/>
      <w:bookmarkStart w:id="10" w:name="_Toc150532059"/>
      <w:r>
        <w:lastRenderedPageBreak/>
        <w:t>Conclusion</w:t>
      </w:r>
      <w:bookmarkEnd w:id="9"/>
      <w:bookmarkEnd w:id="10"/>
      <w:r>
        <w:t xml:space="preserve"> </w:t>
      </w:r>
    </w:p>
    <w:p w14:paraId="2C50FEB4" w14:textId="77777777" w:rsidR="00A55455" w:rsidRDefault="00A55455" w:rsidP="00A55455">
      <w:r>
        <w:t xml:space="preserve">Strong community and stakeholder engagement serves as essential for long-term social, economic, and social progress, as is shown above. This document provides an overview of "Barnsley 2030," an industrial and social growth plan currently being developed by the Barnsley Metro Borough Council throughout Britain. The borough's combined strategy and Levelling Up Plan have been devoted to the aggressive expansion and advancement of the area. The study emphasises the project's central purpose, </w:t>
      </w:r>
      <w:proofErr w:type="gramStart"/>
      <w:r>
        <w:t>main focus</w:t>
      </w:r>
      <w:proofErr w:type="gramEnd"/>
      <w:r>
        <w:t xml:space="preserve"> areas, and critical community difficulties including racism, problems with the environment, criminal activity, overall insecurity. This study additionally offers a summary of the UK's National Standards for volunteering, that outline the fundamental principles and best practises of involving communities. Justice, equality, plurality, transparency, as well as trust are all examples of such principles. For the benefit of the Barnsley Metropolitan Borough Council, the research also describes the advantages of stakeholder participation in the process of enhancing outreach to the community.</w:t>
      </w:r>
    </w:p>
    <w:p w14:paraId="3681A04B" w14:textId="0E479772" w:rsidR="001834FC" w:rsidRDefault="00A55455" w:rsidP="007A7F64">
      <w:r>
        <w:t>The study also gives useful strategies for persuading stakeholders to become involved and analyses the connection among stakeholders and civic engagement. The research shows that the municipality can effectively use several social media platforms in order to inform people regarding the Barnsley 2030 initiative. Social media sites like this also include Twitter, Tik Tok, Instagram, as well as YouTube. The article also details a variety of approaches that may be used to increase volunteer involvement and coordination. The Barnsley Metropolitan Borough Council could increase its involvement in the community through broadening its offerings, reaching out to novel and different people in the public, developing a separate platform, holding webinars, publishing member-generated material, and holding celebrations to honour people's efforts. Finally, it is being proposed recommended the council play a leading part in teaching locals about the effect internal as well as outside variables have on the growth of communities.</w:t>
      </w:r>
      <w:r w:rsidR="00CE4E6F">
        <w:t xml:space="preserve"> </w:t>
      </w:r>
      <w:r w:rsidR="00116B60">
        <w:br w:type="page"/>
      </w:r>
    </w:p>
    <w:p w14:paraId="17598CB2" w14:textId="61EB02A2" w:rsidR="001834FC" w:rsidRDefault="00116B60" w:rsidP="007A7F64">
      <w:pPr>
        <w:pStyle w:val="Heading1"/>
      </w:pPr>
      <w:bookmarkStart w:id="11" w:name="_Toc142169496"/>
      <w:bookmarkStart w:id="12" w:name="_Toc150532060"/>
      <w:r>
        <w:lastRenderedPageBreak/>
        <w:t>Reference</w:t>
      </w:r>
      <w:bookmarkEnd w:id="11"/>
      <w:bookmarkEnd w:id="12"/>
      <w:r>
        <w:t xml:space="preserve"> </w:t>
      </w:r>
    </w:p>
    <w:p w14:paraId="6CE635A1" w14:textId="77777777" w:rsidR="00EE7B44" w:rsidRDefault="00116B60" w:rsidP="007A7F64">
      <w:r>
        <w:t>Adhikari, B., Pell, C. and Cheah, P. Y., 2020. Community engagement and ethical global health research. Global Bioethics. 31(1). pp.1-12.</w:t>
      </w:r>
    </w:p>
    <w:p w14:paraId="56A4527B" w14:textId="6B2667E8" w:rsidR="00EE7B44" w:rsidRPr="000F02BF" w:rsidRDefault="00116B60" w:rsidP="005F0C29">
      <w:r>
        <w:t>Barnsley 2030 (the borough’s ambitious integrated strategy and Levelling Up Plan), 2022. [Online].</w:t>
      </w:r>
      <w:r>
        <w:tab/>
        <w:t>Available</w:t>
      </w:r>
      <w:r>
        <w:tab/>
        <w:t>through:&lt;</w:t>
      </w:r>
      <w:r w:rsidR="00BD11DB">
        <w:t xml:space="preserve"> </w:t>
      </w:r>
      <w:r>
        <w:t>https://barnsleymbc.moderngov.co.uk/documents/s91871/Appendix%20A.pdf&gt;</w:t>
      </w:r>
    </w:p>
    <w:p w14:paraId="78FD0F39" w14:textId="77777777" w:rsidR="00EE7B44" w:rsidRDefault="00116B60" w:rsidP="007A7F64">
      <w:r>
        <w:t>Bergen, D. and Sladek, E., 2019. Considering the Anchor Mission Strategy within the Competing “Regimes” of   Higher   Education   Community   Engagement. Metropolitan Universities. 30(1). pp.69-74.</w:t>
      </w:r>
    </w:p>
    <w:p w14:paraId="1F3DF60B" w14:textId="77777777" w:rsidR="00EE7B44" w:rsidRDefault="00116B60" w:rsidP="007A7F64">
      <w:r>
        <w:t>Ferreira, V., 2020. Stakeholders’ engagement on nature-based solutions: A systematic literature review. Sustainability. 12(2). p.640.</w:t>
      </w:r>
    </w:p>
    <w:p w14:paraId="2714D30C" w14:textId="77777777" w:rsidR="00EE7B44" w:rsidRDefault="00116B60" w:rsidP="007A7F64">
      <w:r>
        <w:t>Gilmore, B., 2020. Community engagement for COVID-19 prevention and control: a rapid evidence synthesis. BMJ global health. 5(10). p.e003188.</w:t>
      </w:r>
    </w:p>
    <w:p w14:paraId="64F13F09" w14:textId="77777777" w:rsidR="00EE7B44" w:rsidRDefault="00116B60" w:rsidP="007A7F64">
      <w:r>
        <w:t xml:space="preserve">McCabe, R., 2023. Alternative epidemic indicators for COVID-19: a model-based assessment of COVID-19 mortality ascertainment in three settings with incomplete death registration systems. </w:t>
      </w:r>
      <w:proofErr w:type="spellStart"/>
      <w:r>
        <w:t>medRxiv</w:t>
      </w:r>
      <w:proofErr w:type="spellEnd"/>
      <w:r>
        <w:t>, pp.2023-01.</w:t>
      </w:r>
    </w:p>
    <w:p w14:paraId="160C27A5" w14:textId="64478311" w:rsidR="00EE7B44" w:rsidRDefault="00116B60" w:rsidP="007A7F64">
      <w:r>
        <w:t>Peterson, P., 2019. Community engagement with refugee-background communities around health: the experience of the Group of 11. Australian journal of primary health. 25(2). pp.113-117.</w:t>
      </w:r>
    </w:p>
    <w:p w14:paraId="267C0CC0" w14:textId="3EF131F9" w:rsidR="00156BB0" w:rsidRDefault="00116B60" w:rsidP="007A7F64">
      <w:r>
        <w:t>Rain</w:t>
      </w:r>
      <w:r w:rsidRPr="00156BB0">
        <w:t xml:space="preserve">, B., 2020. Community engagement and control: evidence synthesis. </w:t>
      </w:r>
      <w:r>
        <w:t>G</w:t>
      </w:r>
      <w:r w:rsidRPr="00156BB0">
        <w:t>lobal health. 5(10). p.e00</w:t>
      </w:r>
      <w:r>
        <w:t>2111</w:t>
      </w:r>
      <w:r w:rsidRPr="00156BB0">
        <w:t>.</w:t>
      </w:r>
    </w:p>
    <w:p w14:paraId="6B59A394" w14:textId="77777777" w:rsidR="00EE7B44" w:rsidRDefault="00116B60" w:rsidP="007A7F64">
      <w:r>
        <w:t>Relton, C., 2022. Fresh Street: the development and feasibility of a place-based, subsidy for fresh fruit and vegetables. Journal of Public Health. 44(1). pp.184-191.</w:t>
      </w:r>
    </w:p>
    <w:p w14:paraId="68E55F45" w14:textId="77777777" w:rsidR="00EE7B44" w:rsidRDefault="00116B60" w:rsidP="007A7F64">
      <w:r>
        <w:t>Sharma, P., 2022. Investigating brand community engagement and evangelistic tendencies on social media. Journal of Product &amp; Brand Management. 31(1). pp.16-28.</w:t>
      </w:r>
    </w:p>
    <w:sectPr w:rsidR="00EE7B44"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5A6A5" w14:textId="77777777" w:rsidR="004F5587" w:rsidRDefault="004F5587">
      <w:pPr>
        <w:spacing w:after="0" w:line="240" w:lineRule="auto"/>
      </w:pPr>
      <w:r>
        <w:separator/>
      </w:r>
    </w:p>
  </w:endnote>
  <w:endnote w:type="continuationSeparator" w:id="0">
    <w:p w14:paraId="76928525" w14:textId="77777777" w:rsidR="004F5587" w:rsidRDefault="004F5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2DF4E7D2" w:rsidR="001834FC" w:rsidRDefault="00116B60">
        <w:pPr>
          <w:pStyle w:val="Footer"/>
          <w:jc w:val="right"/>
        </w:pPr>
        <w:r>
          <w:fldChar w:fldCharType="begin"/>
        </w:r>
        <w:r>
          <w:instrText xml:space="preserve"> PAGE   \* MERGEFORMAT </w:instrText>
        </w:r>
        <w:r>
          <w:fldChar w:fldCharType="separate"/>
        </w:r>
        <w:r w:rsidR="00431D74">
          <w:rPr>
            <w:noProof/>
          </w:rPr>
          <w:t>i</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7015B" w14:textId="77777777" w:rsidR="004F5587" w:rsidRDefault="004F5587">
      <w:pPr>
        <w:spacing w:after="0" w:line="240" w:lineRule="auto"/>
      </w:pPr>
      <w:r>
        <w:separator/>
      </w:r>
    </w:p>
  </w:footnote>
  <w:footnote w:type="continuationSeparator" w:id="0">
    <w:p w14:paraId="15AD4DEF" w14:textId="77777777" w:rsidR="004F5587" w:rsidRDefault="004F55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075BAC"/>
    <w:multiLevelType w:val="hybridMultilevel"/>
    <w:tmpl w:val="22F45A5C"/>
    <w:lvl w:ilvl="0" w:tplc="611E325A">
      <w:start w:val="1"/>
      <w:numFmt w:val="decimal"/>
      <w:lvlText w:val="%1."/>
      <w:lvlJc w:val="left"/>
      <w:pPr>
        <w:ind w:left="720" w:hanging="360"/>
      </w:pPr>
    </w:lvl>
    <w:lvl w:ilvl="1" w:tplc="300229E0" w:tentative="1">
      <w:start w:val="1"/>
      <w:numFmt w:val="lowerLetter"/>
      <w:lvlText w:val="%2."/>
      <w:lvlJc w:val="left"/>
      <w:pPr>
        <w:ind w:left="1440" w:hanging="360"/>
      </w:pPr>
    </w:lvl>
    <w:lvl w:ilvl="2" w:tplc="CCF4441C" w:tentative="1">
      <w:start w:val="1"/>
      <w:numFmt w:val="lowerRoman"/>
      <w:lvlText w:val="%3."/>
      <w:lvlJc w:val="right"/>
      <w:pPr>
        <w:ind w:left="2160" w:hanging="180"/>
      </w:pPr>
    </w:lvl>
    <w:lvl w:ilvl="3" w:tplc="5C54660C" w:tentative="1">
      <w:start w:val="1"/>
      <w:numFmt w:val="decimal"/>
      <w:lvlText w:val="%4."/>
      <w:lvlJc w:val="left"/>
      <w:pPr>
        <w:ind w:left="2880" w:hanging="360"/>
      </w:pPr>
    </w:lvl>
    <w:lvl w:ilvl="4" w:tplc="72ACB296" w:tentative="1">
      <w:start w:val="1"/>
      <w:numFmt w:val="lowerLetter"/>
      <w:lvlText w:val="%5."/>
      <w:lvlJc w:val="left"/>
      <w:pPr>
        <w:ind w:left="3600" w:hanging="360"/>
      </w:pPr>
    </w:lvl>
    <w:lvl w:ilvl="5" w:tplc="BDA26B2E" w:tentative="1">
      <w:start w:val="1"/>
      <w:numFmt w:val="lowerRoman"/>
      <w:lvlText w:val="%6."/>
      <w:lvlJc w:val="right"/>
      <w:pPr>
        <w:ind w:left="4320" w:hanging="180"/>
      </w:pPr>
    </w:lvl>
    <w:lvl w:ilvl="6" w:tplc="58C634B8" w:tentative="1">
      <w:start w:val="1"/>
      <w:numFmt w:val="decimal"/>
      <w:lvlText w:val="%7."/>
      <w:lvlJc w:val="left"/>
      <w:pPr>
        <w:ind w:left="5040" w:hanging="360"/>
      </w:pPr>
    </w:lvl>
    <w:lvl w:ilvl="7" w:tplc="D15C34A4" w:tentative="1">
      <w:start w:val="1"/>
      <w:numFmt w:val="lowerLetter"/>
      <w:lvlText w:val="%8."/>
      <w:lvlJc w:val="left"/>
      <w:pPr>
        <w:ind w:left="5760" w:hanging="360"/>
      </w:pPr>
    </w:lvl>
    <w:lvl w:ilvl="8" w:tplc="C0F60E42" w:tentative="1">
      <w:start w:val="1"/>
      <w:numFmt w:val="lowerRoman"/>
      <w:lvlText w:val="%9."/>
      <w:lvlJc w:val="right"/>
      <w:pPr>
        <w:ind w:left="6480" w:hanging="180"/>
      </w:pPr>
    </w:lvl>
  </w:abstractNum>
  <w:num w:numId="1" w16cid:durableId="196158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QUATU1+dSwAAAA="/>
  </w:docVars>
  <w:rsids>
    <w:rsidRoot w:val="00A60069"/>
    <w:rsid w:val="00012A9E"/>
    <w:rsid w:val="000177F0"/>
    <w:rsid w:val="00024461"/>
    <w:rsid w:val="0005235B"/>
    <w:rsid w:val="00081C91"/>
    <w:rsid w:val="000B2491"/>
    <w:rsid w:val="000B2801"/>
    <w:rsid w:val="000B7658"/>
    <w:rsid w:val="000D4FAF"/>
    <w:rsid w:val="000E047C"/>
    <w:rsid w:val="000E1B67"/>
    <w:rsid w:val="000F02BF"/>
    <w:rsid w:val="00110A8D"/>
    <w:rsid w:val="0011154E"/>
    <w:rsid w:val="00114A47"/>
    <w:rsid w:val="00116B60"/>
    <w:rsid w:val="00154B13"/>
    <w:rsid w:val="00155597"/>
    <w:rsid w:val="00156BB0"/>
    <w:rsid w:val="00156D82"/>
    <w:rsid w:val="00160F41"/>
    <w:rsid w:val="00181648"/>
    <w:rsid w:val="001834FC"/>
    <w:rsid w:val="00191BE5"/>
    <w:rsid w:val="001952DF"/>
    <w:rsid w:val="0019752E"/>
    <w:rsid w:val="001A0A54"/>
    <w:rsid w:val="001D16F6"/>
    <w:rsid w:val="0020699E"/>
    <w:rsid w:val="0022399E"/>
    <w:rsid w:val="00235EFB"/>
    <w:rsid w:val="00252195"/>
    <w:rsid w:val="00255131"/>
    <w:rsid w:val="00262BB3"/>
    <w:rsid w:val="002640E8"/>
    <w:rsid w:val="002774EA"/>
    <w:rsid w:val="00290992"/>
    <w:rsid w:val="00297AFE"/>
    <w:rsid w:val="002B7A62"/>
    <w:rsid w:val="002F7C39"/>
    <w:rsid w:val="003353C9"/>
    <w:rsid w:val="003425BB"/>
    <w:rsid w:val="00391B8F"/>
    <w:rsid w:val="003A6D0C"/>
    <w:rsid w:val="003D131F"/>
    <w:rsid w:val="003E791C"/>
    <w:rsid w:val="003F41BD"/>
    <w:rsid w:val="00401180"/>
    <w:rsid w:val="00410761"/>
    <w:rsid w:val="0041571E"/>
    <w:rsid w:val="00430D57"/>
    <w:rsid w:val="00431D74"/>
    <w:rsid w:val="00435B38"/>
    <w:rsid w:val="00437EE3"/>
    <w:rsid w:val="00441F64"/>
    <w:rsid w:val="004C25DC"/>
    <w:rsid w:val="004F5587"/>
    <w:rsid w:val="00516172"/>
    <w:rsid w:val="00526489"/>
    <w:rsid w:val="00570BC1"/>
    <w:rsid w:val="005C544A"/>
    <w:rsid w:val="005D05F9"/>
    <w:rsid w:val="005D3B85"/>
    <w:rsid w:val="005F0C29"/>
    <w:rsid w:val="005F26ED"/>
    <w:rsid w:val="006351E2"/>
    <w:rsid w:val="00637095"/>
    <w:rsid w:val="006533C9"/>
    <w:rsid w:val="00674097"/>
    <w:rsid w:val="00693F89"/>
    <w:rsid w:val="006A342F"/>
    <w:rsid w:val="006D1091"/>
    <w:rsid w:val="006F3E7B"/>
    <w:rsid w:val="0074538F"/>
    <w:rsid w:val="0075375C"/>
    <w:rsid w:val="007806C8"/>
    <w:rsid w:val="00780AFE"/>
    <w:rsid w:val="00793651"/>
    <w:rsid w:val="007A7F64"/>
    <w:rsid w:val="007D0BED"/>
    <w:rsid w:val="007D6D74"/>
    <w:rsid w:val="00825DBB"/>
    <w:rsid w:val="00831A2B"/>
    <w:rsid w:val="00856737"/>
    <w:rsid w:val="00885890"/>
    <w:rsid w:val="00893BBC"/>
    <w:rsid w:val="008B1CC4"/>
    <w:rsid w:val="008D201D"/>
    <w:rsid w:val="008E1007"/>
    <w:rsid w:val="008F0137"/>
    <w:rsid w:val="00913C8F"/>
    <w:rsid w:val="009359F0"/>
    <w:rsid w:val="00952910"/>
    <w:rsid w:val="00975554"/>
    <w:rsid w:val="009C78DF"/>
    <w:rsid w:val="009D5748"/>
    <w:rsid w:val="009F7443"/>
    <w:rsid w:val="00A408B5"/>
    <w:rsid w:val="00A50083"/>
    <w:rsid w:val="00A55455"/>
    <w:rsid w:val="00A60069"/>
    <w:rsid w:val="00A737C3"/>
    <w:rsid w:val="00AA238B"/>
    <w:rsid w:val="00AC786C"/>
    <w:rsid w:val="00AD0A27"/>
    <w:rsid w:val="00AF7DAC"/>
    <w:rsid w:val="00B144A3"/>
    <w:rsid w:val="00B24BB9"/>
    <w:rsid w:val="00B8295C"/>
    <w:rsid w:val="00B84511"/>
    <w:rsid w:val="00B90B28"/>
    <w:rsid w:val="00BB6D54"/>
    <w:rsid w:val="00BD11DB"/>
    <w:rsid w:val="00BF1D4D"/>
    <w:rsid w:val="00C02F0C"/>
    <w:rsid w:val="00C03FD2"/>
    <w:rsid w:val="00C54FF9"/>
    <w:rsid w:val="00C64000"/>
    <w:rsid w:val="00C706D5"/>
    <w:rsid w:val="00C75EA9"/>
    <w:rsid w:val="00C857B0"/>
    <w:rsid w:val="00C95FEB"/>
    <w:rsid w:val="00CE4E6F"/>
    <w:rsid w:val="00D17D25"/>
    <w:rsid w:val="00D51F45"/>
    <w:rsid w:val="00D81C1A"/>
    <w:rsid w:val="00DB109E"/>
    <w:rsid w:val="00DC091C"/>
    <w:rsid w:val="00DF5A8A"/>
    <w:rsid w:val="00E12B50"/>
    <w:rsid w:val="00E75FC6"/>
    <w:rsid w:val="00EA0010"/>
    <w:rsid w:val="00EB7A2D"/>
    <w:rsid w:val="00EC16C3"/>
    <w:rsid w:val="00EE7B44"/>
    <w:rsid w:val="00EE7D9C"/>
    <w:rsid w:val="00F01A5F"/>
    <w:rsid w:val="00F20149"/>
    <w:rsid w:val="00F85707"/>
    <w:rsid w:val="00FA6B5B"/>
    <w:rsid w:val="00FC2945"/>
    <w:rsid w:val="00FD169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748"/>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TOC2">
    <w:name w:val="toc 2"/>
    <w:basedOn w:val="Normal"/>
    <w:next w:val="Normal"/>
    <w:autoRedefine/>
    <w:uiPriority w:val="39"/>
    <w:unhideWhenUsed/>
    <w:rsid w:val="002640E8"/>
    <w:pPr>
      <w:spacing w:after="100"/>
      <w:ind w:left="240"/>
    </w:pPr>
  </w:style>
  <w:style w:type="paragraph" w:styleId="ListParagraph">
    <w:name w:val="List Paragraph"/>
    <w:basedOn w:val="Normal"/>
    <w:uiPriority w:val="34"/>
    <w:qFormat/>
    <w:rsid w:val="00EE7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448784-6C22-4BED-8F7F-397D5C69A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2600</Words>
  <Characters>14824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2020-06-20T09:46:00Z</dcterms:created>
  <dcterms:modified xsi:type="dcterms:W3CDTF">2023-11-24T15:10:00Z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a4024a46bc4b3c08660e5c940ea72c061c0a2e508fe1de1b57f2c9012fa422b6</vt:lpwstr>
  </property>
</Properties>
</file>