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endnotes.xml" ContentType="application/vnd.openxmlformats-officedocument.wordprocessingml.end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rPr>
          <w:sz w:val="36"/>
        </w:rPr>
      </w:pPr>
      <w:r>
        <w:rPr>
          <w:sz w:val="36"/>
        </w:rPr>
        <w:t>HPPH 5003</w:t>
      </w:r>
    </w:p>
    <w:p>
      <w:pPr>
        <w:jc w:val="center"/>
        <w:rPr>
          <w:sz w:val="36"/>
        </w:rPr>
      </w:pPr>
    </w:p>
    <w:p>
      <w:pPr>
        <w:jc w:val="center"/>
        <w:rPr>
          <w:sz w:val="36"/>
        </w:rPr>
      </w:pPr>
      <w:r>
        <w:rPr>
          <w:sz w:val="36"/>
        </w:rPr>
        <w:t>Stephen Moyes</w:t>
      </w:r>
    </w:p>
    <w:p>
      <w:pPr>
        <w:jc w:val="center"/>
        <w:rPr>
          <w:sz w:val="36"/>
        </w:rPr>
      </w:pPr>
    </w:p>
    <w:p>
      <w:pPr>
        <w:jc w:val="center"/>
        <w:rPr>
          <w:sz w:val="36"/>
        </w:rPr>
      </w:pPr>
      <w:r>
        <w:rPr>
          <w:sz w:val="36"/>
        </w:rPr>
        <w:t>Student Number 1504278</w:t>
      </w:r>
    </w:p>
    <w:p>
      <w:pPr>
        <w:jc w:val="center"/>
        <w:rPr>
          <w:sz w:val="36"/>
        </w:rPr>
      </w:pPr>
    </w:p>
    <w:p>
      <w:pPr>
        <w:jc w:val="center"/>
        <w:rPr>
          <w:sz w:val="36"/>
        </w:rPr>
      </w:pPr>
      <w:r>
        <w:rPr>
          <w:sz w:val="36"/>
        </w:rPr>
        <w:t>Assignment 1 – Essay</w:t>
      </w:r>
    </w:p>
    <w:p>
      <w:pPr>
        <w:jc w:val="center"/>
        <w:rPr>
          <w:sz w:val="36"/>
        </w:rPr>
      </w:pPr>
    </w:p>
    <w:p>
      <w:pPr>
        <w:jc w:val="center"/>
        <w:rPr>
          <w:sz w:val="36"/>
        </w:rPr>
      </w:pPr>
      <w:r>
        <w:rPr>
          <w:sz w:val="36"/>
        </w:rPr>
        <w:t>28 March 2018</w:t>
      </w:r>
    </w:p>
    <w:p>
      <w:pPr>
        <w:spacing w:line="360" w:lineRule="auto"/>
        <w:rPr>
          <w:sz w:val="24"/>
        </w:rPr>
      </w:pPr>
      <w:r>
        <w:rPr>
          <w:sz w:val="36"/>
        </w:rPr>
        <w:br w:type="page"/>
      </w:r>
      <w:r>
        <w:rPr>
          <w:sz w:val="24"/>
        </w:rPr>
        <w:t>Outline and critically assess Tom Regan’s argument in support of the claim that non-human animals have moral rights.</w:t>
      </w:r>
    </w:p>
    <w:p>
      <w:pPr>
        <w:spacing w:line="360" w:lineRule="auto"/>
        <w:rPr>
          <w:sz w:val="24"/>
        </w:rPr>
      </w:pPr>
    </w:p>
    <w:p>
      <w:pPr>
        <w:spacing w:line="360" w:lineRule="auto"/>
        <w:rPr>
          <w:sz w:val="24"/>
        </w:rPr>
      </w:pPr>
      <w:r>
        <w:rPr>
          <w:sz w:val="24"/>
        </w:rPr>
        <w:t xml:space="preserve">In </w:t>
      </w:r>
      <w:r>
        <w:rPr>
          <w:sz w:val="24"/>
          <w:i/>
        </w:rPr>
        <w:t>The Case for Animal Rights</w:t>
      </w:r>
      <w:r>
        <w:rPr>
          <w:sz w:val="24"/>
        </w:rPr>
        <w:t>, the American philosopher Tom Regan argues that non-human animals should be ascribed moral rights and that human behaviour towards them should be informed by respect for those rights.</w:t>
      </w:r>
      <w:r>
        <w:rPr>
          <w:sz w:val="24"/>
          <w:rStyle w:val="EndnoteReference"/>
        </w:rPr>
        <w:endnoteReference w:id="2"/>
      </w:r>
      <w:r>
        <w:rPr>
          <w:sz w:val="24"/>
        </w:rPr>
        <w:t xml:space="preserve"> The basis of Regan’s attitude towards animals is that they, like humans are what he refers to as ‘subjects-of-a-life’, and thus, have inherent value and should be treated with respect. While Regan’s rights-based view of animal ethics has been influential and inspirational among proponents of animal rights, it has also been, and is still, over 30 years after its first publication, subject to disagreement among philosophers.</w:t>
      </w:r>
    </w:p>
    <w:p>
      <w:pPr>
        <w:spacing w:line="360" w:lineRule="auto"/>
        <w:rPr>
          <w:sz w:val="24"/>
        </w:rPr>
      </w:pPr>
    </w:p>
    <w:p>
      <w:pPr>
        <w:spacing w:line="360" w:lineRule="auto"/>
        <w:rPr>
          <w:sz w:val="24"/>
        </w:rPr>
      </w:pPr>
      <w:r>
        <w:rPr>
          <w:sz w:val="24"/>
        </w:rPr>
        <w:t>According to Regan, the rights of animals stem not simply from the fact that they are alive, but from their being in some way aware of having a life. Like humans, he believes, their lives have meaning to them and for that reason, they have a right to pursue that life, without being harmed or killed. They should not be used in commercial agriculture, or scientific experiment, or hunted for sport.</w:t>
      </w:r>
    </w:p>
    <w:p>
      <w:pPr>
        <w:spacing w:line="360" w:lineRule="auto"/>
        <w:rPr>
          <w:sz w:val="24"/>
        </w:rPr>
      </w:pPr>
    </w:p>
    <w:p>
      <w:pPr>
        <w:spacing w:line="360" w:lineRule="auto"/>
        <w:rPr>
          <w:sz w:val="24"/>
        </w:rPr>
      </w:pPr>
      <w:r>
        <w:rPr>
          <w:sz w:val="24"/>
        </w:rPr>
        <w:t xml:space="preserve">Regan’s arguments in favour of animal rights are non-consequentialist. He is more concerned with reducing suffering, than maximising happiness and well-being. Although he clearly believes that treating animals with respect is beneficial to humans, this is not the basis of his arguments. </w:t>
      </w:r>
    </w:p>
    <w:p>
      <w:pPr>
        <w:spacing w:line="360" w:lineRule="auto"/>
        <w:rPr>
          <w:sz w:val="24"/>
        </w:rPr>
      </w:pPr>
    </w:p>
    <w:p>
      <w:pPr>
        <w:spacing w:line="360" w:lineRule="auto"/>
        <w:rPr>
          <w:sz w:val="24"/>
        </w:rPr>
      </w:pPr>
      <w:r>
        <w:rPr>
          <w:sz w:val="24"/>
          <w:i/>
        </w:rPr>
        <w:t xml:space="preserve">The Case for Animal Rights </w:t>
      </w:r>
      <w:r>
        <w:rPr>
          <w:sz w:val="24"/>
        </w:rPr>
        <w:t>is wide ranging and detailed, filling more than 400 pages. The early part of the book is largely concerned with refuting a number of philosophical theories and ideas, which contradict Regan’s thoughts. His thoroughness is in evidence early in the book, when he begins with Descartes and his followers, whose mechanistic view of animals would deny them rights on the grounds that they are not conscious. Regan points out that Descartes’ argument against animal consciousness appears to be based purely on it being, he claims, nothing but an established prejudice.</w:t>
      </w:r>
      <w:r>
        <w:rPr>
          <w:sz w:val="24"/>
          <w:rStyle w:val="EndnoteReference"/>
        </w:rPr>
        <w:endnoteReference w:id="3"/>
      </w:r>
      <w:r>
        <w:rPr>
          <w:sz w:val="24"/>
        </w:rPr>
        <w:t xml:space="preserve"> Regan is, however, scrupulous in his dismissal of the Cartesians’ claims, tackling them one at a time. He gives a detailed comparison of the behaviour of a dog, which can be observed reacting to stimuli, with that of a pinball machine, which also reacts to the way it is manipulated.</w:t>
      </w:r>
      <w:r>
        <w:rPr>
          <w:sz w:val="24"/>
          <w:rStyle w:val="EndnoteReference"/>
        </w:rPr>
        <w:endnoteReference w:id="4"/>
      </w:r>
      <w:r>
        <w:rPr>
          <w:sz w:val="24"/>
        </w:rPr>
        <w:t xml:space="preserve"> Regan also avoids using the abilities of some animals to use or understand language as a basis of Descartes’ mechanistic view of animal behaviour, since it would imply, among other things, that human infants who have not yet learned language, are not conscious. He also does not accept that the existence of human consciousness can be proved by observing behaviour, while animal conscious cannot. He finds it unlikely that humans are the only animals that have evolved to be conscious. Regan’s final solution to deal with Descartes is his pointing out of contradictions brought about by Descartes’ mind/body dualism. He describes how, for humans to function, there </w:t>
      </w:r>
      <w:r>
        <w:rPr>
          <w:sz w:val="24"/>
          <w:i/>
        </w:rPr>
        <w:t>mus</w:t>
      </w:r>
      <w:r>
        <w:rPr>
          <w:sz w:val="24"/>
        </w:rPr>
        <w:t>t be interaction between mind and body, and if animals can be observed behaving in what appears to be conscious ways, it is overwhelmingly likely to be true of them also.</w:t>
      </w:r>
    </w:p>
    <w:p>
      <w:pPr>
        <w:spacing w:line="360" w:lineRule="auto"/>
        <w:rPr>
          <w:sz w:val="24"/>
        </w:rPr>
      </w:pPr>
    </w:p>
    <w:p>
      <w:pPr>
        <w:spacing w:line="360" w:lineRule="auto"/>
        <w:rPr>
          <w:sz w:val="24"/>
        </w:rPr>
      </w:pPr>
      <w:r>
        <w:rPr>
          <w:sz w:val="24"/>
        </w:rPr>
        <w:t>Bringing about Descartes’s downfall,</w:t>
      </w:r>
      <w:r>
        <w:rPr>
          <w:sz w:val="24"/>
          <w:rStyle w:val="EndnoteReference"/>
        </w:rPr>
        <w:endnoteReference w:id="5"/>
      </w:r>
      <w:r>
        <w:rPr>
          <w:sz w:val="24"/>
        </w:rPr>
        <w:t xml:space="preserve"> as Regan calls it, is but one example of the thoroughness of his building a case for animals have a consciousness which is, in many ways, similar to that of humans. However, although his arguments for ascribing a conscious awareness of being alive to mammals may be consistent and convincing, he is less convincing when considering non-mammals. Fish, reptiles, insects and others are, for the most part, absent from Regan’s work. It is not clear whether that is because he considers them to be </w:t>
      </w:r>
      <w:r>
        <w:rPr>
          <w:sz w:val="24"/>
          <w:i/>
        </w:rPr>
        <w:t>not</w:t>
      </w:r>
      <w:r>
        <w:rPr>
          <w:sz w:val="24"/>
        </w:rPr>
        <w:t xml:space="preserve"> subjects-of-a-life, or whether he simply finds them too difficult to understand. He does, however, acknowledge the difficulty in judging levels of consciousness in different species. This could perhaps be seen as a negative aspect of his theory – that it is necessarily anthropocentric. It relies on humans to determine which animals are eligible to have rights inferred upon them and which do not, and, perhaps more importantly, whether and how those rights are honoured. A constant difficulty with moral, as opposed to legal rights, is that they may be easily ignored.</w:t>
      </w:r>
    </w:p>
    <w:p>
      <w:pPr>
        <w:spacing w:line="360" w:lineRule="auto"/>
        <w:rPr>
          <w:sz w:val="24"/>
        </w:rPr>
      </w:pPr>
    </w:p>
    <w:p>
      <w:pPr>
        <w:spacing w:line="360" w:lineRule="auto"/>
        <w:rPr>
          <w:sz w:val="24"/>
        </w:rPr>
      </w:pPr>
      <w:r>
        <w:rPr>
          <w:sz w:val="24"/>
        </w:rPr>
        <w:t xml:space="preserve">The criteria for an animal being considered subject-of-a-life are fairly wide ranging. Regan outlines them thus: </w:t>
      </w:r>
    </w:p>
    <w:p>
      <w:pPr>
        <w:ind w:left="283"/>
        <w:rPr>
          <w:sz w:val="24"/>
        </w:rPr>
      </w:pPr>
      <w:r>
        <w:rPr>
          <w:sz w:val="24"/>
        </w:rPr>
        <w:t xml:space="preserve">To be the subject-of-a-life... involves more than merely being alive and more than merely being conscious... Individuals are subjects-of-a-life if they have beliefs and desires; perception, memory, and a sense of the future, including their own future; an emotional life together with feelings of pleasure and pain; preference– and welfare– interests; the ability to initiate action in pursuit of their desires and goals; a psychophysical identity over time; and an individual welfare in the sense that their experiential life fares well or ill for them. </w:t>
      </w:r>
    </w:p>
    <w:p>
      <w:pPr>
        <w:spacing w:line="360" w:lineRule="auto"/>
        <w:rPr>
          <w:sz w:val="24"/>
        </w:rPr>
      </w:pPr>
    </w:p>
    <w:p>
      <w:pPr>
        <w:spacing w:line="360" w:lineRule="auto"/>
        <w:rPr>
          <w:sz w:val="24"/>
        </w:rPr>
      </w:pPr>
      <w:r>
        <w:rPr>
          <w:sz w:val="24"/>
        </w:rPr>
        <w:t>It is not clear whether Regan insist on all the criteria being met in every case, or whether there is scope for variation, according to species, or on some other basis. As he does not at any point appear to differentiate between either individual animals or species, we can perhaps infer that he intends the former. This is important, as whether if an individual qualifies could literally be a matter of life and death.</w:t>
      </w:r>
    </w:p>
    <w:p>
      <w:pPr>
        <w:spacing w:line="360" w:lineRule="auto"/>
        <w:rPr>
          <w:sz w:val="24"/>
        </w:rPr>
      </w:pPr>
    </w:p>
    <w:p>
      <w:pPr>
        <w:spacing w:line="360" w:lineRule="auto"/>
        <w:rPr>
          <w:sz w:val="24"/>
        </w:rPr>
      </w:pPr>
      <w:r>
        <w:rPr>
          <w:sz w:val="24"/>
        </w:rPr>
        <w:t xml:space="preserve">Subjects-of-a-life not only have inherent value, they have equal value. For this reason we have a duty not to harm or kill them. This duty stems from what Regan refers to as the </w:t>
      </w:r>
      <w:r>
        <w:rPr>
          <w:sz w:val="24"/>
          <w:i/>
        </w:rPr>
        <w:t>respect principle</w:t>
      </w:r>
      <w:r>
        <w:rPr>
          <w:sz w:val="24"/>
        </w:rPr>
        <w:t>.</w:t>
      </w:r>
      <w:r>
        <w:rPr>
          <w:sz w:val="24"/>
          <w:rStyle w:val="EndnoteReference"/>
        </w:rPr>
        <w:endnoteReference w:id="6"/>
      </w:r>
      <w:r>
        <w:rPr>
          <w:sz w:val="24"/>
        </w:rPr>
        <w:t xml:space="preserve"> According to this principle, all moral agents have a duty to treat subjects with inherent value respectfully and not only refrain from harming them, but assist them if they are being harmed by others.</w:t>
      </w:r>
    </w:p>
    <w:p>
      <w:pPr>
        <w:spacing w:line="360" w:lineRule="auto"/>
        <w:rPr>
          <w:sz w:val="24"/>
        </w:rPr>
      </w:pPr>
    </w:p>
    <w:p>
      <w:pPr>
        <w:spacing w:line="360" w:lineRule="auto"/>
        <w:rPr>
          <w:sz w:val="24"/>
        </w:rPr>
      </w:pPr>
      <w:r>
        <w:rPr>
          <w:sz w:val="24"/>
        </w:rPr>
        <w:t xml:space="preserve">A duty to respect individuals of equal value is distinct from the ethical theory of utilitarianism, which has long been the focus of some philosophers with an interest in reducing the suffering of non-human animals, particularly Peter Singer. For Singer the focus, as he sets out in </w:t>
      </w:r>
      <w:r>
        <w:rPr>
          <w:sz w:val="24"/>
          <w:i/>
        </w:rPr>
        <w:t>Animal Liberation</w:t>
      </w:r>
      <w:r>
        <w:rPr>
          <w:sz w:val="24"/>
        </w:rPr>
        <w:t>, is not on individual rights, but on maximising well being, happiness even, for as much of the population as possible.</w:t>
      </w:r>
      <w:r>
        <w:rPr>
          <w:sz w:val="24"/>
          <w:rStyle w:val="EndnoteReference"/>
        </w:rPr>
        <w:endnoteReference w:id="7"/>
      </w:r>
      <w:r>
        <w:rPr>
          <w:sz w:val="24"/>
        </w:rPr>
        <w:t xml:space="preserve"> For Singer, fundamental rights of an individual are of little importance; what matters is whether wether an animal can suffer. Since the suffering of, say, animals kept in poor conditions on factory farms, outweighs an overall benefit for society, then it should stop. This is quite distinct from Regan who, while also opposed to factory farming, would oppose it as a violation of individual rights. Although he is clearly opposed the suffering of innocent animals, his objections would go beyond considerations of suffering and pain, and focus on the denial of rights. This is important, as sometimes the suffering of non-humans is not as apparent and observable in ways that we can understand. Being considered inherently valuable, or a being with capacity to suffer both depend on human judgement, but it could be argued that Regan’s criteria can be observed before any suffering occurs, so suffering is less likely if we observe the fundamental rights of animals.</w:t>
      </w:r>
    </w:p>
    <w:p>
      <w:pPr>
        <w:spacing w:line="360" w:lineRule="auto"/>
        <w:rPr>
          <w:sz w:val="24"/>
        </w:rPr>
      </w:pPr>
    </w:p>
    <w:p>
      <w:pPr>
        <w:spacing w:line="360" w:lineRule="auto"/>
        <w:rPr>
          <w:sz w:val="24"/>
        </w:rPr>
      </w:pPr>
      <w:r>
        <w:rPr>
          <w:sz w:val="24"/>
        </w:rPr>
        <w:t>Other philosophers deny the possibility of animals having rights. Roger Scruton’s arguments against ascribing rights to non-humans centres around the idea that animals are unable to understand or exercise rights or act ethically themselves and that, since rights should be reciprocal, they cannot be part of a system of ethics, which is entirely a human construct.</w:t>
      </w:r>
      <w:r>
        <w:rPr>
          <w:sz w:val="24"/>
          <w:rStyle w:val="EndnoteReference"/>
        </w:rPr>
        <w:endnoteReference w:id="8"/>
      </w:r>
      <w:r>
        <w:rPr>
          <w:sz w:val="24"/>
        </w:rPr>
        <w:t xml:space="preserve"> Scruton’s beliefs are largely informed by his Christian background, giving humans a special place in the order of things, above other species. He finds Regan’s concept of animals having subjective experience of life ridiculous, preferring to look at them as, if they have any purpose at all, existing for the benefit of humans. He believes that only sentient beings are capable of suffering, and in their case, while we should avoid making them suffer where possible, we have no duty to do so.</w:t>
      </w:r>
    </w:p>
    <w:p>
      <w:pPr>
        <w:spacing w:line="360" w:lineRule="auto"/>
        <w:rPr>
          <w:sz w:val="24"/>
        </w:rPr>
      </w:pPr>
    </w:p>
    <w:p>
      <w:pPr>
        <w:spacing w:line="360" w:lineRule="auto"/>
        <w:rPr>
          <w:sz w:val="24"/>
        </w:rPr>
      </w:pPr>
      <w:r>
        <w:rPr>
          <w:sz w:val="24"/>
        </w:rPr>
        <w:t>Having looked at the differing viewpoints in animal rights, Regan’s model seems attractive, if in some ways slightly flawed. It may be that the concept of animal rights and inherent value is a purely human construct, but they provide a useful basis for lessening suffering and generally improving the lives of non-humans, or at least making us more aware of them.</w:t>
      </w:r>
    </w:p>
    <w:p>
      <w:pPr>
        <w:spacing w:line="360" w:lineRule="auto"/>
        <w:rPr>
          <w:sz w:val="24"/>
        </w:rPr>
      </w:pPr>
    </w:p>
    <w:p>
      <w:pPr>
        <w:spacing w:line="360" w:lineRule="auto"/>
        <w:rPr>
          <w:sz w:val="24"/>
        </w:rPr>
      </w:pPr>
    </w:p>
    <w:p>
      <w:pPr>
        <w:spacing w:line="360" w:lineRule="auto"/>
        <w:rPr>
          <w:sz w:val="24"/>
        </w:rPr>
      </w:pPr>
    </w:p>
    <w:p>
      <w:pPr>
        <w:spacing w:line="360" w:lineRule="auto"/>
        <w:rPr>
          <w:sz w:val="24"/>
        </w:rPr>
      </w:pPr>
      <w:r>
        <w:rPr>
          <w:sz w:val="24"/>
        </w:rPr>
      </w:r>
    </w:p>
    <w:sectPr>
      <w:pgSz w:w="11905" w:h="16838"/>
      <w:pgMar w:top="567" w:right="567" w:bottom="567" w:left="567" w:header="0" w:footer="0"/>
      <w:cols w:space="720"/>
      <w:noEndnote/>
      <w:pgNumType w:fmt="decimal"/>
      <w:footnotePr>
        <w:numFmt w:val="decimal"/>
        <w:numRestart w:val="continuous"/>
        <w:numStart w:val="1"/>
        <w:pos w:val="pageBottom"/>
      </w:footnotePr>
      <w:endnotePr>
        <w:numFmt w:val="decimal"/>
        <w:numRestart w:val="continuous"/>
        <w:numStart w:val="1"/>
        <w:pos w:val="docEnd"/>
      </w:endnotePr>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pPr>
        <w:spacing w:after="0" w:line="240" w:lineRule="auto"/>
      </w:pPr>
      <w:r>
        <w:separator/>
      </w:r>
    </w:p>
  </w:endnote>
  <w:endnote w:type="continuationSeparator" w:id="1">
    <w:p>
      <w:pPr>
        <w:spacing w:after="0" w:line="240" w:lineRule="auto"/>
      </w:pPr>
      <w:r>
        <w:continuationSeparator/>
      </w:r>
    </w:p>
  </w:endnote>
  <w:endnote w:id="2">
    <w:p>
      <w:pPr>
        <w:pStyle w:val="EndnoteText"/>
        <w:rPr>
          <w:sz w:val="24"/>
        </w:rPr>
      </w:pPr>
      <w:r>
        <w:rPr>
          <w:sz w:val="24"/>
          <w:rStyle w:val="EndnoteReference"/>
        </w:rPr>
        <w:endnoteRef/>
      </w:r>
      <w:r>
        <w:rPr>
          <w:sz w:val="24"/>
        </w:rPr>
        <w:t xml:space="preserve"> Tom Regan, </w:t>
      </w:r>
      <w:r>
        <w:rPr>
          <w:sz w:val="24"/>
          <w:i/>
        </w:rPr>
        <w:t>The Case for Animal Rights</w:t>
      </w:r>
      <w:r>
        <w:rPr>
          <w:sz w:val="24"/>
        </w:rPr>
        <w:t>, 2</w:t>
      </w:r>
      <w:r>
        <w:rPr>
          <w:sz w:val="24"/>
          <w:vertAlign w:val="superscript"/>
        </w:rPr>
        <w:t>nd</w:t>
      </w:r>
      <w:r>
        <w:rPr>
          <w:sz w:val="24"/>
        </w:rPr>
        <w:t xml:space="preserve"> edn (Berkley: University of California Press, 2004)</w:t>
      </w:r>
      <w:r>
        <w:rPr>
          <w:sz w:val="24"/>
        </w:rPr>
      </w:r>
    </w:p>
  </w:endnote>
  <w:endnote w:id="3">
    <w:p>
      <w:pPr>
        <w:pStyle w:val="EndnoteText"/>
        <w:rPr>
          <w:sz w:val="24"/>
        </w:rPr>
      </w:pPr>
      <w:r>
        <w:rPr>
          <w:sz w:val="24"/>
          <w:rStyle w:val="EndnoteReference"/>
        </w:rPr>
        <w:endnoteRef/>
      </w:r>
      <w:r>
        <w:rPr>
          <w:sz w:val="24"/>
        </w:rPr>
        <w:t xml:space="preserve"> </w:t>
      </w:r>
      <w:r>
        <w:rPr>
          <w:sz w:val="24"/>
        </w:rPr>
        <w:t>Ibid., p. 5</w:t>
      </w:r>
      <w:r>
        <w:rPr>
          <w:sz w:val="24"/>
        </w:rPr>
      </w:r>
    </w:p>
  </w:endnote>
  <w:endnote w:id="4">
    <w:p>
      <w:pPr>
        <w:pStyle w:val="EndnoteText"/>
        <w:rPr>
          <w:sz w:val="24"/>
        </w:rPr>
      </w:pPr>
      <w:r>
        <w:rPr>
          <w:sz w:val="24"/>
          <w:rStyle w:val="EndnoteReference"/>
        </w:rPr>
        <w:endnoteRef/>
      </w:r>
      <w:r>
        <w:rPr>
          <w:sz w:val="24"/>
        </w:rPr>
        <w:t xml:space="preserve"> </w:t>
      </w:r>
      <w:r>
        <w:rPr>
          <w:sz w:val="24"/>
        </w:rPr>
        <w:t>Ibid., p.10</w:t>
      </w:r>
      <w:r>
        <w:rPr>
          <w:sz w:val="24"/>
        </w:rPr>
      </w:r>
    </w:p>
  </w:endnote>
  <w:endnote w:id="5">
    <w:p>
      <w:pPr>
        <w:pStyle w:val="EndnoteText"/>
        <w:rPr>
          <w:sz w:val="24"/>
        </w:rPr>
      </w:pPr>
      <w:r>
        <w:rPr>
          <w:sz w:val="24"/>
          <w:rStyle w:val="EndnoteReference"/>
        </w:rPr>
        <w:endnoteRef/>
      </w:r>
      <w:r>
        <w:rPr>
          <w:sz w:val="24"/>
        </w:rPr>
        <w:t xml:space="preserve"> </w:t>
      </w:r>
      <w:r>
        <w:rPr>
          <w:sz w:val="24"/>
        </w:rPr>
        <w:t>Ibid., p. 21</w:t>
      </w:r>
    </w:p>
    <w:p>
      <w:pPr>
        <w:pStyle w:val="EndnoteText"/>
        <w:rPr>
          <w:sz w:val="24"/>
        </w:rPr>
      </w:pPr>
      <w:r>
        <w:rPr>
          <w:sz w:val="24"/>
        </w:rPr>
      </w:r>
    </w:p>
  </w:endnote>
  <w:endnote w:id="6">
    <w:p>
      <w:pPr>
        <w:pStyle w:val="EndnoteText"/>
        <w:rPr>
          <w:sz w:val="24"/>
        </w:rPr>
      </w:pPr>
      <w:r>
        <w:rPr>
          <w:sz w:val="24"/>
          <w:rStyle w:val="EndnoteReference"/>
        </w:rPr>
        <w:endnoteRef/>
      </w:r>
      <w:r>
        <w:rPr>
          <w:sz w:val="24"/>
        </w:rPr>
        <w:t xml:space="preserve"> </w:t>
      </w:r>
      <w:r>
        <w:rPr>
          <w:sz w:val="24"/>
        </w:rPr>
        <w:t>Ibid., p.248</w:t>
      </w:r>
      <w:r>
        <w:rPr>
          <w:sz w:val="24"/>
        </w:rPr>
      </w:r>
    </w:p>
  </w:endnote>
  <w:endnote w:id="7">
    <w:p>
      <w:pPr>
        <w:pStyle w:val="EndnoteText"/>
        <w:rPr>
          <w:sz w:val="24"/>
        </w:rPr>
      </w:pPr>
      <w:r>
        <w:rPr>
          <w:sz w:val="24"/>
          <w:rStyle w:val="EndnoteReference"/>
        </w:rPr>
        <w:endnoteRef/>
      </w:r>
      <w:r>
        <w:rPr>
          <w:sz w:val="24"/>
        </w:rPr>
        <w:t xml:space="preserve"> </w:t>
      </w:r>
      <w:r>
        <w:rPr>
          <w:sz w:val="24"/>
        </w:rPr>
        <w:t>Peter Singer, Animal Liberation, 2</w:t>
      </w:r>
      <w:r>
        <w:rPr>
          <w:sz w:val="24"/>
          <w:vertAlign w:val="superscript"/>
        </w:rPr>
        <w:t>nd</w:t>
      </w:r>
      <w:r>
        <w:rPr>
          <w:sz w:val="24"/>
        </w:rPr>
        <w:t xml:space="preserve"> edn (London: Vintage Publishing, 1996).</w:t>
      </w:r>
      <w:r>
        <w:rPr>
          <w:sz w:val="24"/>
        </w:rPr>
      </w:r>
    </w:p>
  </w:endnote>
  <w:endnote w:id="8">
    <w:p>
      <w:pPr>
        <w:pStyle w:val="EndnoteText"/>
      </w:pPr>
      <w:r>
        <w:rPr>
          <w:sz w:val="24"/>
          <w:rStyle w:val="EndnoteReference"/>
        </w:rPr>
        <w:endnoteRef/>
      </w:r>
      <w:r>
        <w:rPr>
          <w:sz w:val="24"/>
        </w:rPr>
        <w:t xml:space="preserve"> </w:t>
      </w:r>
      <w:r>
        <w:rPr>
          <w:sz w:val="24"/>
        </w:rPr>
        <w:t xml:space="preserve">Roger Scruton, </w:t>
      </w:r>
      <w:r>
        <w:rPr>
          <w:sz w:val="24"/>
          <w:i/>
        </w:rPr>
        <w:t>Animal Rights and Wrongs</w:t>
      </w:r>
      <w:r>
        <w:rPr>
          <w:sz w:val="24"/>
        </w:rPr>
        <w:t>, 2</w:t>
      </w:r>
      <w:r>
        <w:rPr>
          <w:sz w:val="24"/>
          <w:vertAlign w:val="superscript"/>
        </w:rPr>
        <w:t>nd</w:t>
      </w:r>
      <w:r>
        <w:rPr>
          <w:sz w:val="24"/>
        </w:rPr>
        <w:t xml:space="preserve"> edn (London: Demos, 2000).</w:t>
      </w:r>
      <w:r/>
    </w:p>
  </w:endnote>
</w:end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none" w:percent="150"/>
  <w:defaultTabStop w:val="720"/>
  <w:hyphenationZone w:val="360"/>
  <w:endnotePr>
    <w:endnote w:id="0"/>
    <w:endnote w:id="1"/>
  </w:endnotePr>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imes New Roman"/>
        <w:sz w:val="20"/>
        <w:lang w:val="en-GB"/>
      </w:rPr>
    </w:rPrDefault>
    <w:pPrDefault>
      <w:pPr>
        <w:spacing w:line="240" w:lineRule="auto"/>
      </w:pPr>
    </w:pPrDefault>
  </w:docDefaults>
  <w:style w:type="paragraph" w:default="1" w:styleId="Normal">
    <w:name w:val="Normal"/>
    <w:rPr>
      <w:rFonts w:ascii="Arial" w:hAnsi="Arial" w:eastAsia="Arial"/>
      <w:sz w:val="22"/>
    </w:rPr>
    <w:pPr>
      <w:widowControl/>
    </w:pPr>
  </w:style>
  <w:style w:type="paragraph" w:styleId="Heading1">
    <w:name w:val="Heading 1"/>
    <w:basedOn w:val="Normal"/>
    <w:next w:val="Normal"/>
    <w:rPr>
      <w:sz w:val="28"/>
      <w:b/>
      <w:kerning w:val="28"/>
    </w:rPr>
    <w:pPr>
      <w:spacing w:before="240" w:beforeAutospacing="0" w:after="60" w:afterAutospacing="0"/>
      <w:keepNext/>
      <w:outlineLvl w:val="0"/>
    </w:pPr>
  </w:style>
  <w:style w:type="paragraph" w:styleId="Heading2">
    <w:name w:val="Heading 2"/>
    <w:basedOn w:val="Normal"/>
    <w:next w:val="Normal"/>
    <w:rPr>
      <w:sz w:val="24"/>
      <w:b/>
      <w:i/>
    </w:rPr>
    <w:pPr>
      <w:spacing w:before="240" w:beforeAutospacing="0" w:after="60" w:afterAutospacing="0"/>
      <w:keepNext/>
      <w:outlineLvl w:val="1"/>
    </w:pPr>
  </w:style>
  <w:style w:type="paragraph" w:styleId="Heading3">
    <w:name w:val="Heading 3"/>
    <w:basedOn w:val="Normal"/>
    <w:next w:val="Normal"/>
    <w:rPr>
      <w:b/>
    </w:rPr>
    <w:pPr>
      <w:spacing w:before="240" w:beforeAutospacing="0" w:after="60" w:afterAutospacing="0"/>
      <w:keepNext/>
      <w:outlineLvl w:val="2"/>
    </w:pPr>
  </w:style>
  <w:style w:type="paragraph" w:styleId="EndnoteText">
    <w:name w:val="Endnote Text"/>
    <w:basedOn w:val="Normal"/>
    <w:rPr>
      <w:sz w:val="20"/>
    </w:rPr>
    <w:pPr/>
  </w:style>
  <w:style w:type="character" w:styleId="EndnoteReference">
    <w:name w:val="Endnote Reference"/>
    <w:rPr>
      <w:vertAlign w:val="superscript"/>
    </w:rPr>
  </w:style>
</w:styles>
</file>

<file path=word/_rels/document.xml.rels><?xml version="1.0" encoding="UTF-8" standalone="yes"?><Relationships xmlns="http://schemas.openxmlformats.org/package/2006/relationships"><Relationship Id="rId0" Type="http://schemas.openxmlformats.org/officeDocument/2006/relationships/settings" Target="settings.xml"/><Relationship Id="rId1" Type="http://schemas.openxmlformats.org/officeDocument/2006/relationships/styles" Target="styles.xml"/><Relationship Id="rId2" Type="http://schemas.openxmlformats.org/officeDocument/2006/relationships/endnotes" Target="endnotes.xml"/></Relationships>
</file>

<file path=docProps/app.xml><?xml version="1.0" encoding="utf-8"?>
<Properties xmlns="http://schemas.openxmlformats.org/officeDocument/2006/extended-properties" xmlns:vt="http://schemas.openxmlformats.org/officeDocument/2006/docPropsVTypes">
  <Application>Atlantis Word Processor</Application>
  <!-- awp:appVersion=1.6.5.12 -->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dcterms:created xsi:type="dcterms:W3CDTF">2018-03-24T18:27:07Z</dcterms:created>
  <dcterms:modified xsi:type="dcterms:W3CDTF">2018-03-28T23:24:32Z</dcterms:modified>
</cp:coreProperties>
</file>