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9B5502" w:rsidRDefault="009B5502">
      <w:pPr>
        <w:jc w:val="center"/>
        <w:rPr>
          <w:b/>
          <w:sz w:val="40"/>
          <w:szCs w:val="40"/>
        </w:rPr>
      </w:pPr>
    </w:p>
    <w:p w:rsidR="009B5502" w:rsidRDefault="009B5502">
      <w:pPr>
        <w:jc w:val="center"/>
        <w:rPr>
          <w:b/>
          <w:sz w:val="40"/>
          <w:szCs w:val="40"/>
        </w:rPr>
      </w:pPr>
    </w:p>
    <w:p w:rsidR="009B5502" w:rsidRDefault="009B5502">
      <w:pPr>
        <w:jc w:val="center"/>
        <w:rPr>
          <w:b/>
          <w:sz w:val="40"/>
          <w:szCs w:val="40"/>
        </w:rPr>
      </w:pPr>
    </w:p>
    <w:p w:rsidR="009B5502" w:rsidRDefault="009B5502">
      <w:pPr>
        <w:jc w:val="left"/>
        <w:rPr>
          <w:b/>
          <w:sz w:val="40"/>
          <w:szCs w:val="40"/>
        </w:rPr>
      </w:pPr>
    </w:p>
    <w:p w:rsidR="009B5502" w:rsidRDefault="00DA7B14">
      <w:pPr>
        <w:jc w:val="center"/>
        <w:rPr>
          <w:b/>
          <w:sz w:val="40"/>
          <w:szCs w:val="40"/>
        </w:rPr>
      </w:pPr>
      <w:r>
        <w:rPr>
          <w:b/>
          <w:noProof/>
          <w:sz w:val="40"/>
          <w:szCs w:val="40"/>
        </w:rPr>
        <w:drawing>
          <wp:inline distT="114300" distB="114300" distL="114300" distR="114300">
            <wp:extent cx="2971800" cy="1190625"/>
            <wp:effectExtent l="0" t="0" r="0" b="0"/>
            <wp:docPr id="180810053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2971800" cy="1190625"/>
                    </a:xfrm>
                    <a:prstGeom prst="rect">
                      <a:avLst/>
                    </a:prstGeom>
                    <a:ln/>
                  </pic:spPr>
                </pic:pic>
              </a:graphicData>
            </a:graphic>
          </wp:inline>
        </w:drawing>
      </w:r>
    </w:p>
    <w:p w:rsidR="009B5502" w:rsidRDefault="00DA7B14">
      <w:pPr>
        <w:jc w:val="center"/>
        <w:rPr>
          <w:b/>
          <w:sz w:val="40"/>
          <w:szCs w:val="40"/>
        </w:rPr>
      </w:pPr>
      <w:r>
        <w:rPr>
          <w:b/>
          <w:sz w:val="40"/>
          <w:szCs w:val="40"/>
        </w:rPr>
        <w:t>Strategic Management &amp; Sustainability</w:t>
      </w:r>
    </w:p>
    <w:p w:rsidR="009B5502" w:rsidRDefault="00DA7B14">
      <w:pPr>
        <w:jc w:val="center"/>
        <w:rPr>
          <w:b/>
          <w:sz w:val="32"/>
          <w:szCs w:val="32"/>
        </w:rPr>
      </w:pPr>
      <w:r>
        <w:rPr>
          <w:b/>
          <w:sz w:val="32"/>
          <w:szCs w:val="32"/>
        </w:rPr>
        <w:t>Component 1-Coursework: Written Report</w:t>
      </w:r>
    </w:p>
    <w:p w:rsidR="009B5502" w:rsidRDefault="00DA7B14">
      <w:pPr>
        <w:jc w:val="center"/>
        <w:rPr>
          <w:b/>
          <w:sz w:val="28"/>
          <w:szCs w:val="28"/>
        </w:rPr>
      </w:pPr>
      <w:r>
        <w:rPr>
          <w:b/>
          <w:sz w:val="28"/>
          <w:szCs w:val="28"/>
        </w:rPr>
        <w:t>Student Name:</w:t>
      </w:r>
      <w:r w:rsidR="00DA4A24">
        <w:rPr>
          <w:b/>
          <w:sz w:val="28"/>
          <w:szCs w:val="28"/>
        </w:rPr>
        <w:t>Petronela Hurmuzache</w:t>
      </w:r>
    </w:p>
    <w:p w:rsidR="009B5502" w:rsidRDefault="00DA7B14">
      <w:pPr>
        <w:jc w:val="center"/>
        <w:rPr>
          <w:b/>
          <w:sz w:val="28"/>
          <w:szCs w:val="28"/>
        </w:rPr>
      </w:pPr>
      <w:r>
        <w:rPr>
          <w:b/>
          <w:sz w:val="28"/>
          <w:szCs w:val="28"/>
        </w:rPr>
        <w:t>Student ID:</w:t>
      </w:r>
      <w:r w:rsidR="00DA4A24">
        <w:rPr>
          <w:b/>
          <w:sz w:val="28"/>
          <w:szCs w:val="28"/>
        </w:rPr>
        <w:t>2114679</w:t>
      </w:r>
    </w:p>
    <w:p w:rsidR="009E4BAA" w:rsidRDefault="00C74E8B">
      <w:pPr>
        <w:jc w:val="center"/>
        <w:rPr>
          <w:b/>
          <w:sz w:val="28"/>
          <w:szCs w:val="28"/>
        </w:rPr>
      </w:pPr>
      <w:r>
        <w:rPr>
          <w:b/>
          <w:sz w:val="28"/>
          <w:szCs w:val="28"/>
        </w:rPr>
        <w:t>Lecturer  name:</w:t>
      </w:r>
      <w:r w:rsidR="009D22ED">
        <w:rPr>
          <w:b/>
          <w:sz w:val="28"/>
          <w:szCs w:val="28"/>
        </w:rPr>
        <w:t>Dr Jaya Gopalkrishnan</w:t>
      </w:r>
    </w:p>
    <w:p w:rsidR="009B5502" w:rsidRDefault="009B5502">
      <w:pPr>
        <w:jc w:val="center"/>
        <w:rPr>
          <w:b/>
          <w:sz w:val="40"/>
          <w:szCs w:val="40"/>
        </w:rPr>
      </w:pPr>
    </w:p>
    <w:p w:rsidR="009B5502" w:rsidRDefault="00DA7B14">
      <w:pPr>
        <w:spacing w:after="160" w:line="259" w:lineRule="auto"/>
        <w:jc w:val="left"/>
        <w:rPr>
          <w:b/>
          <w:sz w:val="40"/>
          <w:szCs w:val="40"/>
        </w:rPr>
      </w:pPr>
      <w:r>
        <w:br w:type="page"/>
      </w:r>
    </w:p>
    <w:p w:rsidR="009B5502" w:rsidRDefault="00DA7B14">
      <w:pPr>
        <w:jc w:val="center"/>
        <w:rPr>
          <w:b/>
        </w:rPr>
      </w:pPr>
      <w:r>
        <w:rPr>
          <w:b/>
        </w:rPr>
        <w:lastRenderedPageBreak/>
        <w:t>Executive Summary</w:t>
      </w:r>
    </w:p>
    <w:p w:rsidR="009B5502" w:rsidRDefault="00DA7B14">
      <w:r>
        <w:t>As part of its long-term strategy plan, Barclays Plc should extend its digital innovation projects to enhance consumer revel in and operational efficiency. Emphasising sustainability measures, which include inexperienced financing and ESG integration, would not simply improve the company's company obligation but also enchantment to environmentally aware traders. Strengthening global enlargement into growing areas allows for more revenue diversification, while strong threat management and compliance strategi</w:t>
      </w:r>
      <w:r>
        <w:t>es help maintain balance in the face of regulatory changes. Through prioritising customer-centric answers and building key connections, Barclays can give a boost to its competitive role inside the changing financial offerings industry even as closing is devoted to a long-term boost.</w:t>
      </w:r>
    </w:p>
    <w:p w:rsidR="009B5502" w:rsidRDefault="00DA7B14">
      <w:pPr>
        <w:spacing w:after="160" w:line="259" w:lineRule="auto"/>
        <w:jc w:val="left"/>
      </w:pPr>
      <w:r>
        <w:br w:type="page"/>
      </w:r>
    </w:p>
    <w:p w:rsidR="009B5502" w:rsidRDefault="00DA7B14">
      <w:pPr>
        <w:keepNext/>
        <w:keepLines/>
        <w:pBdr>
          <w:top w:val="nil"/>
          <w:left w:val="nil"/>
          <w:bottom w:val="nil"/>
          <w:right w:val="nil"/>
          <w:between w:val="nil"/>
        </w:pBdr>
        <w:spacing w:before="240" w:line="360" w:lineRule="auto"/>
        <w:jc w:val="left"/>
      </w:pPr>
      <w:r>
        <w:rPr>
          <w:rFonts w:ascii="Calibri" w:eastAsia="Calibri" w:hAnsi="Calibri" w:cs="Calibri"/>
          <w:color w:val="2F5496"/>
          <w:sz w:val="32"/>
          <w:szCs w:val="32"/>
        </w:rPr>
        <w:lastRenderedPageBreak/>
        <w:t>Table of Contents</w:t>
      </w:r>
    </w:p>
    <w:sdt>
      <w:sdtPr>
        <w:id w:val="1586114923"/>
        <w:docPartObj>
          <w:docPartGallery w:val="Table of Contents"/>
          <w:docPartUnique/>
        </w:docPartObj>
      </w:sdtPr>
      <w:sdtEndPr/>
      <w:sdtContent>
        <w:p w:rsidR="009B5502" w:rsidRDefault="00DA7B14">
          <w:pPr>
            <w:widowControl w:val="0"/>
            <w:tabs>
              <w:tab w:val="right" w:leader="dot" w:pos="9025"/>
            </w:tabs>
            <w:spacing w:before="60" w:line="360" w:lineRule="auto"/>
            <w:jc w:val="left"/>
            <w:rPr>
              <w:b/>
              <w:color w:val="000000"/>
            </w:rPr>
          </w:pPr>
          <w:r>
            <w:fldChar w:fldCharType="begin"/>
          </w:r>
          <w:r>
            <w:instrText xml:space="preserve"> TOC \h \u \z \t "Heading 1,1,Heading 2,2,Heading 3,3,Heading 4,4,Heading 5,5,Heading 6,6,"</w:instrText>
          </w:r>
          <w:r>
            <w:fldChar w:fldCharType="separate"/>
          </w:r>
          <w:hyperlink w:anchor="_heading=h.gjdgxs">
            <w:r>
              <w:rPr>
                <w:b/>
                <w:color w:val="000000"/>
              </w:rPr>
              <w:t>Introduction</w:t>
            </w:r>
            <w:r>
              <w:rPr>
                <w:b/>
                <w:color w:val="000000"/>
              </w:rPr>
              <w:tab/>
            </w:r>
          </w:hyperlink>
          <w:r>
            <w:fldChar w:fldCharType="begin"/>
          </w:r>
          <w:r>
            <w:instrText xml:space="preserve"> PAGEREF _heading=h.gjdgxs \h </w:instrText>
          </w:r>
          <w:r>
            <w:fldChar w:fldCharType="separate"/>
          </w:r>
          <w:r>
            <w:rPr>
              <w:b/>
            </w:rPr>
            <w:t>4</w:t>
          </w:r>
          <w:r>
            <w:fldChar w:fldCharType="end"/>
          </w:r>
        </w:p>
        <w:p w:rsidR="009B5502" w:rsidRDefault="00DA7B14">
          <w:pPr>
            <w:widowControl w:val="0"/>
            <w:tabs>
              <w:tab w:val="right" w:leader="dot" w:pos="9025"/>
            </w:tabs>
            <w:spacing w:before="60" w:line="360" w:lineRule="auto"/>
            <w:ind w:left="360"/>
            <w:jc w:val="left"/>
            <w:rPr>
              <w:color w:val="000000"/>
            </w:rPr>
          </w:pPr>
          <w:hyperlink w:anchor="_heading=h.30j0zll">
            <w:r>
              <w:rPr>
                <w:color w:val="000000"/>
              </w:rPr>
              <w:t>The key business and corporate strategies of Barclays Plc and frameworks to discuss why those strategies are pursued</w:t>
            </w:r>
            <w:r>
              <w:rPr>
                <w:color w:val="000000"/>
              </w:rPr>
              <w:tab/>
            </w:r>
          </w:hyperlink>
          <w:r>
            <w:fldChar w:fldCharType="begin"/>
          </w:r>
          <w:r>
            <w:instrText xml:space="preserve"> PAGEREF _heading=h.30j0zll \h </w:instrText>
          </w:r>
          <w:r>
            <w:fldChar w:fldCharType="separate"/>
          </w:r>
          <w:r>
            <w:t>5</w:t>
          </w:r>
          <w:r>
            <w:fldChar w:fldCharType="end"/>
          </w:r>
        </w:p>
        <w:p w:rsidR="009B5502" w:rsidRDefault="00DA7B14">
          <w:pPr>
            <w:widowControl w:val="0"/>
            <w:tabs>
              <w:tab w:val="right" w:leader="dot" w:pos="9025"/>
            </w:tabs>
            <w:spacing w:before="60" w:line="360" w:lineRule="auto"/>
            <w:ind w:left="720"/>
            <w:jc w:val="left"/>
            <w:rPr>
              <w:color w:val="000000"/>
            </w:rPr>
          </w:pPr>
          <w:hyperlink w:anchor="_heading=h.1fob9te">
            <w:r>
              <w:rPr>
                <w:color w:val="000000"/>
              </w:rPr>
              <w:t>SWOT of Barclays Plc</w:t>
            </w:r>
            <w:r>
              <w:rPr>
                <w:color w:val="000000"/>
              </w:rPr>
              <w:tab/>
            </w:r>
          </w:hyperlink>
          <w:r>
            <w:fldChar w:fldCharType="begin"/>
          </w:r>
          <w:r>
            <w:instrText xml:space="preserve"> PAGEREF _heading=h.1fob9te \h </w:instrText>
          </w:r>
          <w:r>
            <w:fldChar w:fldCharType="separate"/>
          </w:r>
          <w:r>
            <w:t>5</w:t>
          </w:r>
          <w:r>
            <w:fldChar w:fldCharType="end"/>
          </w:r>
        </w:p>
        <w:p w:rsidR="009B5502" w:rsidRDefault="00DA7B14">
          <w:pPr>
            <w:widowControl w:val="0"/>
            <w:tabs>
              <w:tab w:val="right" w:leader="dot" w:pos="9025"/>
            </w:tabs>
            <w:spacing w:before="60" w:line="360" w:lineRule="auto"/>
            <w:ind w:left="720"/>
            <w:jc w:val="left"/>
            <w:rPr>
              <w:color w:val="000000"/>
            </w:rPr>
          </w:pPr>
          <w:hyperlink w:anchor="_heading=h.3znysh7">
            <w:r>
              <w:rPr>
                <w:color w:val="000000"/>
              </w:rPr>
              <w:t>PESTEL of the Banking sector of the UK</w:t>
            </w:r>
            <w:r>
              <w:rPr>
                <w:color w:val="000000"/>
              </w:rPr>
              <w:tab/>
            </w:r>
          </w:hyperlink>
          <w:r>
            <w:fldChar w:fldCharType="begin"/>
          </w:r>
          <w:r>
            <w:instrText xml:space="preserve"> PAGEREF _heading=h.3znysh7 \h </w:instrText>
          </w:r>
          <w:r>
            <w:fldChar w:fldCharType="separate"/>
          </w:r>
          <w:r>
            <w:t>7</w:t>
          </w:r>
          <w:r>
            <w:fldChar w:fldCharType="end"/>
          </w:r>
        </w:p>
        <w:p w:rsidR="009B5502" w:rsidRDefault="00DA7B14">
          <w:pPr>
            <w:widowControl w:val="0"/>
            <w:tabs>
              <w:tab w:val="right" w:leader="dot" w:pos="9025"/>
            </w:tabs>
            <w:spacing w:before="60" w:line="360" w:lineRule="auto"/>
            <w:ind w:left="720"/>
            <w:jc w:val="left"/>
            <w:rPr>
              <w:color w:val="000000"/>
            </w:rPr>
          </w:pPr>
          <w:hyperlink w:anchor="_heading=h.2et92p0">
            <w:r>
              <w:rPr>
                <w:color w:val="000000"/>
              </w:rPr>
              <w:t>Industry Five Forces Models of Barclays Plc</w:t>
            </w:r>
            <w:r>
              <w:rPr>
                <w:color w:val="000000"/>
              </w:rPr>
              <w:tab/>
            </w:r>
          </w:hyperlink>
          <w:r>
            <w:fldChar w:fldCharType="begin"/>
          </w:r>
          <w:r>
            <w:instrText xml:space="preserve"> PAGEREF _heading=h.2et92p0 \h </w:instrText>
          </w:r>
          <w:r>
            <w:fldChar w:fldCharType="separate"/>
          </w:r>
          <w:r>
            <w:t>9</w:t>
          </w:r>
          <w:r>
            <w:fldChar w:fldCharType="end"/>
          </w:r>
        </w:p>
        <w:p w:rsidR="009B5502" w:rsidRDefault="00DA7B14">
          <w:pPr>
            <w:widowControl w:val="0"/>
            <w:tabs>
              <w:tab w:val="right" w:leader="dot" w:pos="9025"/>
            </w:tabs>
            <w:spacing w:before="60" w:line="360" w:lineRule="auto"/>
            <w:ind w:left="360"/>
            <w:jc w:val="left"/>
            <w:rPr>
              <w:color w:val="000000"/>
            </w:rPr>
          </w:pPr>
          <w:hyperlink w:anchor="_heading=h.tyjcwt">
            <w:r>
              <w:rPr>
                <w:color w:val="000000"/>
              </w:rPr>
              <w:t>The resources and capabilities of Barclays Plc and analyse to what extent the company has aligned its resources and capabilities to its current corporate strategies.</w:t>
            </w:r>
            <w:r>
              <w:rPr>
                <w:color w:val="000000"/>
              </w:rPr>
              <w:tab/>
            </w:r>
          </w:hyperlink>
          <w:r>
            <w:fldChar w:fldCharType="begin"/>
          </w:r>
          <w:r>
            <w:instrText xml:space="preserve"> PAGEREF _heading=h.tyjcwt \h </w:instrText>
          </w:r>
          <w:r>
            <w:fldChar w:fldCharType="separate"/>
          </w:r>
          <w:r>
            <w:t>11</w:t>
          </w:r>
          <w:r>
            <w:fldChar w:fldCharType="end"/>
          </w:r>
        </w:p>
        <w:p w:rsidR="009B5502" w:rsidRDefault="00DA7B14">
          <w:pPr>
            <w:widowControl w:val="0"/>
            <w:tabs>
              <w:tab w:val="right" w:leader="dot" w:pos="9025"/>
            </w:tabs>
            <w:spacing w:before="60" w:line="360" w:lineRule="auto"/>
            <w:ind w:left="360"/>
            <w:jc w:val="left"/>
            <w:rPr>
              <w:color w:val="000000"/>
            </w:rPr>
          </w:pPr>
          <w:hyperlink w:anchor="_heading=h.3dy6vkm">
            <w:r>
              <w:rPr>
                <w:color w:val="000000"/>
              </w:rPr>
              <w:t>How successful is Barclays Plc in implementing selected business and corporate strategies to compete in the market and create competitive advantages over rivals.</w:t>
            </w:r>
            <w:r>
              <w:rPr>
                <w:color w:val="000000"/>
              </w:rPr>
              <w:tab/>
            </w:r>
          </w:hyperlink>
          <w:r>
            <w:fldChar w:fldCharType="begin"/>
          </w:r>
          <w:r>
            <w:instrText xml:space="preserve"> PAGEREF _heading=h.3dy6vkm \h </w:instrText>
          </w:r>
          <w:r>
            <w:fldChar w:fldCharType="separate"/>
          </w:r>
          <w:r>
            <w:t>13</w:t>
          </w:r>
          <w:r>
            <w:fldChar w:fldCharType="end"/>
          </w:r>
        </w:p>
        <w:p w:rsidR="009B5502" w:rsidRDefault="00DA7B14">
          <w:pPr>
            <w:widowControl w:val="0"/>
            <w:tabs>
              <w:tab w:val="right" w:leader="dot" w:pos="9025"/>
            </w:tabs>
            <w:spacing w:before="60" w:line="360" w:lineRule="auto"/>
            <w:ind w:left="360"/>
            <w:jc w:val="left"/>
            <w:rPr>
              <w:color w:val="000000"/>
            </w:rPr>
          </w:pPr>
          <w:hyperlink w:anchor="_heading=h.1t3h5sf">
            <w:r>
              <w:rPr>
                <w:color w:val="000000"/>
              </w:rPr>
              <w:t>How Barclays Plc has tried to become more competitive while taking into consideration sustainability and the environment</w:t>
            </w:r>
            <w:r>
              <w:rPr>
                <w:color w:val="000000"/>
              </w:rPr>
              <w:tab/>
            </w:r>
          </w:hyperlink>
          <w:r>
            <w:fldChar w:fldCharType="begin"/>
          </w:r>
          <w:r>
            <w:instrText xml:space="preserve"> PAGEREF _heading=h.1t3h5sf \h </w:instrText>
          </w:r>
          <w:r>
            <w:fldChar w:fldCharType="separate"/>
          </w:r>
          <w:r>
            <w:t>15</w:t>
          </w:r>
          <w:r>
            <w:fldChar w:fldCharType="end"/>
          </w:r>
        </w:p>
        <w:p w:rsidR="009B5502" w:rsidRDefault="00DA7B14">
          <w:pPr>
            <w:widowControl w:val="0"/>
            <w:tabs>
              <w:tab w:val="right" w:leader="dot" w:pos="9025"/>
            </w:tabs>
            <w:spacing w:before="60" w:line="360" w:lineRule="auto"/>
            <w:ind w:left="360"/>
            <w:jc w:val="left"/>
            <w:rPr>
              <w:color w:val="000000"/>
            </w:rPr>
          </w:pPr>
          <w:hyperlink w:anchor="_heading=h.4d34og8">
            <w:r>
              <w:rPr>
                <w:color w:val="000000"/>
              </w:rPr>
              <w:t>Evaluating the choices available for Barclays’s strategic direction in the future</w:t>
            </w:r>
            <w:r>
              <w:rPr>
                <w:color w:val="000000"/>
              </w:rPr>
              <w:tab/>
            </w:r>
          </w:hyperlink>
          <w:r>
            <w:fldChar w:fldCharType="begin"/>
          </w:r>
          <w:r>
            <w:instrText xml:space="preserve"> PAGEREF _heading=h.4d34og8 \h </w:instrText>
          </w:r>
          <w:r>
            <w:fldChar w:fldCharType="separate"/>
          </w:r>
          <w:r>
            <w:t>17</w:t>
          </w:r>
          <w:r>
            <w:fldChar w:fldCharType="end"/>
          </w:r>
        </w:p>
        <w:p w:rsidR="009B5502" w:rsidRDefault="00DA7B14">
          <w:pPr>
            <w:widowControl w:val="0"/>
            <w:tabs>
              <w:tab w:val="right" w:leader="dot" w:pos="9025"/>
            </w:tabs>
            <w:spacing w:before="60" w:line="360" w:lineRule="auto"/>
            <w:ind w:left="360"/>
            <w:jc w:val="left"/>
            <w:rPr>
              <w:color w:val="000000"/>
            </w:rPr>
          </w:pPr>
          <w:hyperlink w:anchor="_heading=h.2s8eyo1">
            <w:r>
              <w:rPr>
                <w:color w:val="000000"/>
              </w:rPr>
              <w:t>Recommendations for Barclays on how to further sustainability practices can help the organisation to develop competitive advantages in the future</w:t>
            </w:r>
            <w:r>
              <w:rPr>
                <w:color w:val="000000"/>
              </w:rPr>
              <w:tab/>
            </w:r>
          </w:hyperlink>
          <w:r>
            <w:fldChar w:fldCharType="begin"/>
          </w:r>
          <w:r>
            <w:instrText xml:space="preserve"> PAGEREF _heading=h.2s8eyo1 \h </w:instrText>
          </w:r>
          <w:r>
            <w:fldChar w:fldCharType="separate"/>
          </w:r>
          <w:r>
            <w:t>19</w:t>
          </w:r>
          <w:r>
            <w:fldChar w:fldCharType="end"/>
          </w:r>
        </w:p>
        <w:p w:rsidR="009B5502" w:rsidRDefault="00DA7B14">
          <w:pPr>
            <w:widowControl w:val="0"/>
            <w:tabs>
              <w:tab w:val="right" w:leader="dot" w:pos="9025"/>
            </w:tabs>
            <w:spacing w:before="60" w:line="360" w:lineRule="auto"/>
            <w:jc w:val="left"/>
            <w:rPr>
              <w:b/>
              <w:color w:val="000000"/>
            </w:rPr>
          </w:pPr>
          <w:hyperlink w:anchor="_heading=h.17dp8vu">
            <w:r>
              <w:rPr>
                <w:b/>
                <w:color w:val="000000"/>
              </w:rPr>
              <w:t>Conclusion</w:t>
            </w:r>
            <w:r>
              <w:rPr>
                <w:b/>
                <w:color w:val="000000"/>
              </w:rPr>
              <w:tab/>
            </w:r>
          </w:hyperlink>
          <w:r>
            <w:fldChar w:fldCharType="begin"/>
          </w:r>
          <w:r>
            <w:instrText xml:space="preserve"> PAGEREF _heading=h.17dp8vu \h </w:instrText>
          </w:r>
          <w:r>
            <w:fldChar w:fldCharType="separate"/>
          </w:r>
          <w:r>
            <w:rPr>
              <w:b/>
            </w:rPr>
            <w:t>21</w:t>
          </w:r>
          <w:r>
            <w:fldChar w:fldCharType="end"/>
          </w:r>
        </w:p>
        <w:p w:rsidR="009B5502" w:rsidRDefault="00DA7B14">
          <w:pPr>
            <w:widowControl w:val="0"/>
            <w:tabs>
              <w:tab w:val="right" w:leader="dot" w:pos="9025"/>
            </w:tabs>
            <w:spacing w:before="60" w:line="360" w:lineRule="auto"/>
            <w:jc w:val="left"/>
            <w:rPr>
              <w:b/>
              <w:color w:val="000000"/>
            </w:rPr>
          </w:pPr>
          <w:hyperlink w:anchor="_heading=h.3rdcrjn">
            <w:r>
              <w:rPr>
                <w:b/>
                <w:color w:val="000000"/>
              </w:rPr>
              <w:t>References</w:t>
            </w:r>
            <w:r>
              <w:rPr>
                <w:b/>
                <w:color w:val="000000"/>
              </w:rPr>
              <w:tab/>
            </w:r>
          </w:hyperlink>
          <w:r>
            <w:fldChar w:fldCharType="begin"/>
          </w:r>
          <w:r>
            <w:instrText xml:space="preserve"> PAGEREF _heading=h.3rdcrjn \h </w:instrText>
          </w:r>
          <w:r>
            <w:fldChar w:fldCharType="separate"/>
          </w:r>
          <w:r>
            <w:rPr>
              <w:b/>
            </w:rPr>
            <w:t>22</w:t>
          </w:r>
          <w:r>
            <w:fldChar w:fldCharType="end"/>
          </w:r>
        </w:p>
        <w:p w:rsidR="009B5502" w:rsidRDefault="00DA7B14">
          <w:pPr>
            <w:widowControl w:val="0"/>
            <w:tabs>
              <w:tab w:val="right" w:leader="dot" w:pos="9025"/>
            </w:tabs>
            <w:spacing w:before="60" w:line="360" w:lineRule="auto"/>
            <w:jc w:val="left"/>
            <w:rPr>
              <w:b/>
              <w:color w:val="000000"/>
            </w:rPr>
          </w:pPr>
          <w:hyperlink w:anchor="_heading=h.26in1rg">
            <w:r>
              <w:rPr>
                <w:b/>
                <w:color w:val="000000"/>
              </w:rPr>
              <w:t>Appendix-1  SWOT of Barclays Plc</w:t>
            </w:r>
            <w:r>
              <w:rPr>
                <w:b/>
                <w:color w:val="000000"/>
              </w:rPr>
              <w:tab/>
            </w:r>
          </w:hyperlink>
          <w:r>
            <w:fldChar w:fldCharType="begin"/>
          </w:r>
          <w:r>
            <w:instrText xml:space="preserve"> PAGEREF _heading=h.26in1rg \h </w:instrText>
          </w:r>
          <w:r>
            <w:fldChar w:fldCharType="separate"/>
          </w:r>
          <w:r>
            <w:rPr>
              <w:b/>
            </w:rPr>
            <w:t>24</w:t>
          </w:r>
          <w:r>
            <w:fldChar w:fldCharType="end"/>
          </w:r>
        </w:p>
        <w:p w:rsidR="009B5502" w:rsidRDefault="00DA7B14">
          <w:pPr>
            <w:widowControl w:val="0"/>
            <w:tabs>
              <w:tab w:val="right" w:leader="dot" w:pos="9025"/>
            </w:tabs>
            <w:spacing w:before="60" w:line="360" w:lineRule="auto"/>
            <w:jc w:val="left"/>
            <w:rPr>
              <w:b/>
              <w:color w:val="000000"/>
            </w:rPr>
          </w:pPr>
          <w:hyperlink w:anchor="_heading=h.35nkun2">
            <w:r>
              <w:rPr>
                <w:b/>
                <w:color w:val="000000"/>
              </w:rPr>
              <w:t>Appendix-2 PESTEL Anlaysis of Banking sector of the UK</w:t>
            </w:r>
            <w:r>
              <w:rPr>
                <w:b/>
                <w:color w:val="000000"/>
              </w:rPr>
              <w:tab/>
            </w:r>
          </w:hyperlink>
          <w:r>
            <w:fldChar w:fldCharType="begin"/>
          </w:r>
          <w:r>
            <w:instrText xml:space="preserve"> PAGEREF _heading=h.35nkun2 \h </w:instrText>
          </w:r>
          <w:r>
            <w:fldChar w:fldCharType="separate"/>
          </w:r>
          <w:r>
            <w:rPr>
              <w:b/>
            </w:rPr>
            <w:t>26</w:t>
          </w:r>
          <w:r>
            <w:fldChar w:fldCharType="end"/>
          </w:r>
        </w:p>
        <w:p w:rsidR="009B5502" w:rsidRDefault="00DA7B14">
          <w:pPr>
            <w:widowControl w:val="0"/>
            <w:tabs>
              <w:tab w:val="right" w:leader="dot" w:pos="9025"/>
            </w:tabs>
            <w:spacing w:before="60" w:line="360" w:lineRule="auto"/>
            <w:jc w:val="left"/>
            <w:rPr>
              <w:b/>
              <w:color w:val="000000"/>
            </w:rPr>
          </w:pPr>
          <w:hyperlink w:anchor="_heading=h.1ksv4uv">
            <w:r>
              <w:rPr>
                <w:b/>
                <w:color w:val="000000"/>
              </w:rPr>
              <w:t>Appendix-3 Industry Five Forces Models of Barclays Plc</w:t>
            </w:r>
            <w:r>
              <w:rPr>
                <w:b/>
                <w:color w:val="000000"/>
              </w:rPr>
              <w:tab/>
            </w:r>
          </w:hyperlink>
          <w:r>
            <w:fldChar w:fldCharType="begin"/>
          </w:r>
          <w:r>
            <w:instrText xml:space="preserve"> PAGEREF _heading=h.1ksv4uv \h </w:instrText>
          </w:r>
          <w:r>
            <w:fldChar w:fldCharType="separate"/>
          </w:r>
          <w:r>
            <w:rPr>
              <w:b/>
            </w:rPr>
            <w:t>28</w:t>
          </w:r>
          <w:r>
            <w:fldChar w:fldCharType="end"/>
          </w:r>
          <w:r>
            <w:fldChar w:fldCharType="end"/>
          </w:r>
        </w:p>
      </w:sdtContent>
    </w:sdt>
    <w:p w:rsidR="009B5502" w:rsidRDefault="009B5502">
      <w:pPr>
        <w:pStyle w:val="Titlu1"/>
        <w:spacing w:line="360" w:lineRule="auto"/>
      </w:pPr>
      <w:bookmarkStart w:id="0" w:name="_heading=h.qhmfkylw4yt" w:colFirst="0" w:colLast="0"/>
      <w:bookmarkEnd w:id="0"/>
    </w:p>
    <w:p w:rsidR="009B5502" w:rsidRDefault="00DA7B14">
      <w:pPr>
        <w:pStyle w:val="Titlu1"/>
      </w:pPr>
      <w:bookmarkStart w:id="1" w:name="_heading=h.uibvxo9pxfdb" w:colFirst="0" w:colLast="0"/>
      <w:bookmarkEnd w:id="1"/>
      <w:r>
        <w:br w:type="page"/>
      </w:r>
    </w:p>
    <w:p w:rsidR="009B5502" w:rsidRDefault="00DA7B14">
      <w:pPr>
        <w:pStyle w:val="Titlu1"/>
      </w:pPr>
      <w:bookmarkStart w:id="2" w:name="_heading=h.gjdgxs" w:colFirst="0" w:colLast="0"/>
      <w:bookmarkEnd w:id="2"/>
      <w:r>
        <w:lastRenderedPageBreak/>
        <w:t>Introduction</w:t>
      </w:r>
    </w:p>
    <w:p w:rsidR="009B5502" w:rsidRDefault="00DA7B14">
      <w:r>
        <w:t>This report will discuss Barclays Plc's complex commercial enterprise and corporate strategies, analysing the frameworks that aid its strategic dreams. A whole SWOT evaluation of Barclays Plc could be provided, observed by using a PESTEL analysis of the UK banking enterprise. The research will use Porter's Five Forces Model to assess Barclays Plc's enterprise environment. It will review Barclays Plc's assets and talents, assessing their compatibility with current enterprise plans. In addition, the report wi</w:t>
      </w:r>
      <w:r>
        <w:t>ll assess Barclays Plc's efficacy in adopting these methods to advantage a competitive part. It will also describe how Barclays Plc tackles sustainability and environmental troubles, in addition to having a research future strategic pick. Recommendations will be made to enhance sustainable practices to be able to increase future competitive advantages.</w:t>
      </w:r>
    </w:p>
    <w:p w:rsidR="009B5502" w:rsidRDefault="00DA7B14">
      <w:pPr>
        <w:spacing w:after="160" w:line="259" w:lineRule="auto"/>
        <w:jc w:val="left"/>
      </w:pPr>
      <w:r>
        <w:br w:type="page"/>
      </w:r>
    </w:p>
    <w:p w:rsidR="009B5502" w:rsidRDefault="00DA7B14">
      <w:pPr>
        <w:pStyle w:val="Titlu2"/>
      </w:pPr>
      <w:bookmarkStart w:id="3" w:name="_heading=h.30j0zll" w:colFirst="0" w:colLast="0"/>
      <w:bookmarkEnd w:id="3"/>
      <w:r>
        <w:lastRenderedPageBreak/>
        <w:t>The key business and corporate strategies of Barclays Plc and frameworks to discuss why those strategies are pursued</w:t>
      </w:r>
    </w:p>
    <w:p w:rsidR="009B5502" w:rsidRDefault="00DA7B14">
      <w:r>
        <w:rPr>
          <w:b/>
          <w:i/>
        </w:rPr>
        <w:t>Digital Transformation:</w:t>
      </w:r>
      <w:r>
        <w:t xml:space="preserve"> Barclays has prioritised virtual innovation to enhance the consumer revel in, simplify approaches, and store costs. This method aims to fulfill the accelerated need for green, tech-driven banking solutions.</w:t>
      </w:r>
    </w:p>
    <w:p w:rsidR="009B5502" w:rsidRDefault="00DA7B14">
      <w:r>
        <w:rPr>
          <w:b/>
          <w:i/>
        </w:rPr>
        <w:t>Customer-Centric Approach:</w:t>
      </w:r>
      <w:r>
        <w:t xml:space="preserve"> The bank focuses on offering personalised services and products which can be perfect to each purchaser's particular requirements. This method tries to strengthen patron loyalty and set Barclays aside in a competitive market (</w:t>
      </w:r>
      <w:r>
        <w:rPr>
          <w:highlight w:val="white"/>
        </w:rPr>
        <w:t xml:space="preserve">Fuertes </w:t>
      </w:r>
      <w:r>
        <w:rPr>
          <w:i/>
          <w:highlight w:val="white"/>
        </w:rPr>
        <w:t>et al</w:t>
      </w:r>
      <w:r>
        <w:rPr>
          <w:highlight w:val="white"/>
        </w:rPr>
        <w:t>., 2020)</w:t>
      </w:r>
      <w:r>
        <w:t>.</w:t>
      </w:r>
    </w:p>
    <w:p w:rsidR="009B5502" w:rsidRDefault="00DA7B14">
      <w:r>
        <w:rPr>
          <w:b/>
          <w:i/>
        </w:rPr>
        <w:t>Sustainable Finance:</w:t>
      </w:r>
      <w:r>
        <w:t xml:space="preserve"> Barclays is dedicated to integrating sustainability into its operations and finance activities. Through financing green tasks and inspiring moral funding, the financial institution challenges environmental issues while also aligning with worldwide sustainability developments.</w:t>
      </w:r>
    </w:p>
    <w:p w:rsidR="009B5502" w:rsidRDefault="00DA7B14">
      <w:r>
        <w:rPr>
          <w:b/>
          <w:i/>
        </w:rPr>
        <w:t>Global Expansion:</w:t>
      </w:r>
      <w:r>
        <w:t xml:space="preserve"> Barclays intends to grow its presence in growing areas with the intention to diversify its profits assets and input excessive-boost sectors. This method is influenced by using the chance of progressed profitability and marketplace share (</w:t>
      </w:r>
      <w:r>
        <w:rPr>
          <w:highlight w:val="white"/>
        </w:rPr>
        <w:t xml:space="preserve">Fuertes </w:t>
      </w:r>
      <w:r>
        <w:rPr>
          <w:i/>
          <w:highlight w:val="white"/>
        </w:rPr>
        <w:t>et al</w:t>
      </w:r>
      <w:r>
        <w:rPr>
          <w:highlight w:val="white"/>
        </w:rPr>
        <w:t>., 2020)</w:t>
      </w:r>
      <w:r>
        <w:t>.</w:t>
      </w:r>
    </w:p>
    <w:p w:rsidR="009B5502" w:rsidRDefault="00DA7B14">
      <w:r>
        <w:rPr>
          <w:b/>
          <w:i/>
        </w:rPr>
        <w:t>Risk Management:</w:t>
      </w:r>
      <w:r>
        <w:t xml:space="preserve"> Improving risk management procedures is critical to making sure monetary balance and regulatory compliance. This technique ensures resistance to financial volatility and boosts stakeholder trust.</w:t>
      </w:r>
    </w:p>
    <w:p w:rsidR="009B5502" w:rsidRDefault="00DA7B14">
      <w:pPr>
        <w:pStyle w:val="Titlu3"/>
      </w:pPr>
      <w:bookmarkStart w:id="4" w:name="_heading=h.1fob9te" w:colFirst="0" w:colLast="0"/>
      <w:bookmarkEnd w:id="4"/>
      <w:r>
        <w:t>SWOT of Barclays Plc</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9B5502">
        <w:tc>
          <w:tcPr>
            <w:tcW w:w="4508" w:type="dxa"/>
          </w:tcPr>
          <w:p w:rsidR="009B5502" w:rsidRDefault="00DA7B14">
            <w:pPr>
              <w:jc w:val="center"/>
              <w:rPr>
                <w:b/>
              </w:rPr>
            </w:pPr>
            <w:r>
              <w:rPr>
                <w:b/>
              </w:rPr>
              <w:t xml:space="preserve">Strengths </w:t>
            </w:r>
          </w:p>
        </w:tc>
        <w:tc>
          <w:tcPr>
            <w:tcW w:w="4508" w:type="dxa"/>
          </w:tcPr>
          <w:p w:rsidR="009B5502" w:rsidRDefault="00DA7B14">
            <w:pPr>
              <w:jc w:val="center"/>
              <w:rPr>
                <w:b/>
              </w:rPr>
            </w:pPr>
            <w:r>
              <w:rPr>
                <w:b/>
              </w:rPr>
              <w:t>Weaknesses</w:t>
            </w:r>
          </w:p>
        </w:tc>
      </w:tr>
      <w:tr w:rsidR="009B5502">
        <w:tc>
          <w:tcPr>
            <w:tcW w:w="4508" w:type="dxa"/>
          </w:tcPr>
          <w:p w:rsidR="009B5502" w:rsidRDefault="00DA7B14">
            <w:r>
              <w:t xml:space="preserve">1. </w:t>
            </w:r>
            <w:r>
              <w:rPr>
                <w:b/>
              </w:rPr>
              <w:t>Strong Brand and Market Position:</w:t>
            </w:r>
            <w:r>
              <w:t xml:space="preserve"> Barclays Plc is a main UK banking corporation with a global footprint.</w:t>
            </w:r>
          </w:p>
          <w:p w:rsidR="009B5502" w:rsidRDefault="00DA7B14">
            <w:r>
              <w:lastRenderedPageBreak/>
              <w:t xml:space="preserve">2. </w:t>
            </w:r>
            <w:r>
              <w:rPr>
                <w:b/>
              </w:rPr>
              <w:t>Diverse Product Portfolio:</w:t>
            </w:r>
            <w:r>
              <w:t xml:space="preserve"> The firm provides a broad sort of financial services and products to diverse client classes.</w:t>
            </w:r>
          </w:p>
          <w:p w:rsidR="009B5502" w:rsidRDefault="00DA7B14">
            <w:r>
              <w:t xml:space="preserve">3. </w:t>
            </w:r>
            <w:r>
              <w:rPr>
                <w:b/>
              </w:rPr>
              <w:t>Robust Technology Infrastructure:</w:t>
            </w:r>
            <w:r>
              <w:t xml:space="preserve"> Investment in virtual banking and fintech technology has stepped forward the purchaser revel in and operational performance (</w:t>
            </w:r>
            <w:r>
              <w:rPr>
                <w:highlight w:val="white"/>
              </w:rPr>
              <w:t xml:space="preserve">Menz </w:t>
            </w:r>
            <w:r>
              <w:rPr>
                <w:i/>
                <w:highlight w:val="white"/>
              </w:rPr>
              <w:t>et al</w:t>
            </w:r>
            <w:r>
              <w:rPr>
                <w:highlight w:val="white"/>
              </w:rPr>
              <w:t>., 2021)</w:t>
            </w:r>
            <w:r>
              <w:t>.</w:t>
            </w:r>
          </w:p>
        </w:tc>
        <w:tc>
          <w:tcPr>
            <w:tcW w:w="4508" w:type="dxa"/>
          </w:tcPr>
          <w:p w:rsidR="009B5502" w:rsidRDefault="00DA7B14">
            <w:r>
              <w:lastRenderedPageBreak/>
              <w:t xml:space="preserve">1. </w:t>
            </w:r>
            <w:r>
              <w:rPr>
                <w:b/>
              </w:rPr>
              <w:t>Legal and Regulatory Challenges:</w:t>
            </w:r>
            <w:r>
              <w:t xml:space="preserve"> Legal and regulatory concerns have hampered the employer's image and led to hefty consequences.</w:t>
            </w:r>
          </w:p>
          <w:p w:rsidR="009B5502" w:rsidRDefault="00DA7B14">
            <w:r>
              <w:lastRenderedPageBreak/>
              <w:t xml:space="preserve">2. </w:t>
            </w:r>
            <w:r>
              <w:rPr>
                <w:b/>
              </w:rPr>
              <w:t>High operational prices:</w:t>
            </w:r>
            <w:r>
              <w:t xml:space="preserve"> Barclays' strolling expenses are pretty high, which would possibly have a power on profitability (</w:t>
            </w:r>
            <w:r>
              <w:rPr>
                <w:highlight w:val="white"/>
              </w:rPr>
              <w:t xml:space="preserve">Menz </w:t>
            </w:r>
            <w:r>
              <w:rPr>
                <w:i/>
                <w:highlight w:val="white"/>
              </w:rPr>
              <w:t>et al</w:t>
            </w:r>
            <w:r>
              <w:rPr>
                <w:highlight w:val="white"/>
              </w:rPr>
              <w:t>., 2021)</w:t>
            </w:r>
            <w:r>
              <w:t>.</w:t>
            </w:r>
          </w:p>
        </w:tc>
      </w:tr>
      <w:tr w:rsidR="009B5502">
        <w:tc>
          <w:tcPr>
            <w:tcW w:w="4508" w:type="dxa"/>
          </w:tcPr>
          <w:p w:rsidR="009B5502" w:rsidRDefault="00DA7B14">
            <w:pPr>
              <w:jc w:val="center"/>
              <w:rPr>
                <w:b/>
              </w:rPr>
            </w:pPr>
            <w:r>
              <w:rPr>
                <w:b/>
              </w:rPr>
              <w:lastRenderedPageBreak/>
              <w:t xml:space="preserve">Opportunities </w:t>
            </w:r>
          </w:p>
        </w:tc>
        <w:tc>
          <w:tcPr>
            <w:tcW w:w="4508" w:type="dxa"/>
          </w:tcPr>
          <w:p w:rsidR="009B5502" w:rsidRDefault="00DA7B14">
            <w:pPr>
              <w:jc w:val="center"/>
              <w:rPr>
                <w:b/>
              </w:rPr>
            </w:pPr>
            <w:r>
              <w:rPr>
                <w:b/>
              </w:rPr>
              <w:t xml:space="preserve">Threats </w:t>
            </w:r>
          </w:p>
        </w:tc>
      </w:tr>
      <w:tr w:rsidR="009B5502">
        <w:tc>
          <w:tcPr>
            <w:tcW w:w="4508" w:type="dxa"/>
          </w:tcPr>
          <w:p w:rsidR="009B5502" w:rsidRDefault="00DA7B14">
            <w:r>
              <w:t xml:space="preserve">1. </w:t>
            </w:r>
            <w:r>
              <w:rPr>
                <w:b/>
              </w:rPr>
              <w:t>Digital Transformation:</w:t>
            </w:r>
            <w:r>
              <w:t xml:space="preserve"> Continued funding in digital banking and fintech might also appeal to tech-savvy clients whilst improving operational efficiency.</w:t>
            </w:r>
          </w:p>
          <w:p w:rsidR="009B5502" w:rsidRDefault="00DA7B14">
            <w:r>
              <w:t xml:space="preserve">2. </w:t>
            </w:r>
            <w:r>
              <w:rPr>
                <w:b/>
              </w:rPr>
              <w:t>Expansion into Emerging Markets:</w:t>
            </w:r>
            <w:r>
              <w:t xml:space="preserve"> Increased presence in emerging markets gives prospects for revenue improvement (</w:t>
            </w:r>
            <w:r>
              <w:rPr>
                <w:highlight w:val="white"/>
              </w:rPr>
              <w:t xml:space="preserve">Menz </w:t>
            </w:r>
            <w:r>
              <w:rPr>
                <w:i/>
                <w:highlight w:val="white"/>
              </w:rPr>
              <w:t>et al</w:t>
            </w:r>
            <w:r>
              <w:rPr>
                <w:highlight w:val="white"/>
              </w:rPr>
              <w:t>., 2021)</w:t>
            </w:r>
            <w:r>
              <w:t>.</w:t>
            </w:r>
          </w:p>
          <w:p w:rsidR="009B5502" w:rsidRDefault="00DA7B14">
            <w:r>
              <w:t xml:space="preserve">3. </w:t>
            </w:r>
            <w:r>
              <w:rPr>
                <w:b/>
              </w:rPr>
              <w:t>Sustainability efforts:</w:t>
            </w:r>
            <w:r>
              <w:t xml:space="preserve"> Emphasising sustainable finance and green efforts may also increase the brand picture while meeting converting regulatory standards.</w:t>
            </w:r>
          </w:p>
        </w:tc>
        <w:tc>
          <w:tcPr>
            <w:tcW w:w="4508" w:type="dxa"/>
          </w:tcPr>
          <w:p w:rsidR="009B5502" w:rsidRDefault="00DA7B14">
            <w:r>
              <w:t xml:space="preserve">1. </w:t>
            </w:r>
            <w:r>
              <w:rPr>
                <w:b/>
              </w:rPr>
              <w:t>Economic Uncertainty:</w:t>
            </w:r>
            <w:r>
              <w:t xml:space="preserve"> Global economic fluctuations, consisting of Brexit-associated ramifications and geopolitical tensions, may have a power on Barclays' performance.</w:t>
            </w:r>
          </w:p>
          <w:p w:rsidR="009B5502" w:rsidRDefault="00DA7B14">
            <w:r>
              <w:t xml:space="preserve">2. </w:t>
            </w:r>
            <w:r>
              <w:rPr>
                <w:b/>
              </w:rPr>
              <w:t>Intense Competition:</w:t>
            </w:r>
            <w:r>
              <w:t xml:space="preserve"> Intense opposition exists within the economic industry, with engaged banks and fintech companies competing for marketplace percentage.</w:t>
            </w:r>
          </w:p>
        </w:tc>
      </w:tr>
    </w:tbl>
    <w:p w:rsidR="009B5502" w:rsidRDefault="009B5502"/>
    <w:p w:rsidR="009B5502" w:rsidRDefault="00DA7B14">
      <w:pPr>
        <w:pStyle w:val="Titlu3"/>
      </w:pPr>
      <w:bookmarkStart w:id="5" w:name="_heading=h.3znysh7" w:colFirst="0" w:colLast="0"/>
      <w:bookmarkEnd w:id="5"/>
      <w:r>
        <w:lastRenderedPageBreak/>
        <w:t>PESTEL of the Banking sector of the UK</w:t>
      </w:r>
    </w:p>
    <w:p w:rsidR="009B5502" w:rsidRDefault="00DA7B14">
      <w:pPr>
        <w:jc w:val="center"/>
      </w:pPr>
      <w:r>
        <w:rPr>
          <w:noProof/>
        </w:rPr>
        <w:drawing>
          <wp:inline distT="0" distB="0" distL="0" distR="0">
            <wp:extent cx="5731510" cy="3063240"/>
            <wp:effectExtent l="0" t="0" r="0" b="0"/>
            <wp:docPr id="1808100535" name="image5.jpg" descr="Marketing Theories – PESTEL Analysis"/>
            <wp:cNvGraphicFramePr/>
            <a:graphic xmlns:a="http://schemas.openxmlformats.org/drawingml/2006/main">
              <a:graphicData uri="http://schemas.openxmlformats.org/drawingml/2006/picture">
                <pic:pic xmlns:pic="http://schemas.openxmlformats.org/drawingml/2006/picture">
                  <pic:nvPicPr>
                    <pic:cNvPr id="0" name="image5.jpg" descr="Marketing Theories – PESTEL Analysis"/>
                    <pic:cNvPicPr preferRelativeResize="0"/>
                  </pic:nvPicPr>
                  <pic:blipFill>
                    <a:blip r:embed="rId8"/>
                    <a:srcRect/>
                    <a:stretch>
                      <a:fillRect/>
                    </a:stretch>
                  </pic:blipFill>
                  <pic:spPr>
                    <a:xfrm>
                      <a:off x="0" y="0"/>
                      <a:ext cx="5731510" cy="3063240"/>
                    </a:xfrm>
                    <a:prstGeom prst="rect">
                      <a:avLst/>
                    </a:prstGeom>
                    <a:ln/>
                  </pic:spPr>
                </pic:pic>
              </a:graphicData>
            </a:graphic>
          </wp:inline>
        </w:drawing>
      </w:r>
    </w:p>
    <w:p w:rsidR="009B5502" w:rsidRDefault="00DA7B14">
      <w:pPr>
        <w:jc w:val="center"/>
      </w:pPr>
      <w:r>
        <w:t>Figure: PESTEL analysis</w:t>
      </w:r>
    </w:p>
    <w:p w:rsidR="009B5502" w:rsidRDefault="00DA7B14">
      <w:pPr>
        <w:jc w:val="center"/>
      </w:pPr>
      <w:r>
        <w:t>Source: (</w:t>
      </w:r>
      <w:r>
        <w:rPr>
          <w:highlight w:val="white"/>
        </w:rPr>
        <w:t xml:space="preserve">Shams </w:t>
      </w:r>
      <w:r>
        <w:rPr>
          <w:i/>
          <w:highlight w:val="white"/>
        </w:rPr>
        <w:t>et al</w:t>
      </w:r>
      <w:r>
        <w:rPr>
          <w:highlight w:val="white"/>
        </w:rPr>
        <w:t>., 2021)</w:t>
      </w:r>
    </w:p>
    <w:p w:rsidR="009B5502" w:rsidRDefault="00DA7B14">
      <w:pPr>
        <w:rPr>
          <w:b/>
          <w:i/>
        </w:rPr>
      </w:pPr>
      <w:r>
        <w:rPr>
          <w:b/>
          <w:i/>
        </w:rPr>
        <w:t>Political factor:</w:t>
      </w:r>
    </w:p>
    <w:p w:rsidR="009B5502" w:rsidRDefault="00DA7B14">
      <w:r>
        <w:t>The UK's strict regulatory shape, overseen by using the Financial Conduct Authority (FCA) and Prudential Regulation Authority (PRA), promotes balance and customer safety, but increases compliance costs, generating a destructive situation. Political uncertainty after Brexit has resulted in feasible market access difficulties in addition to operational barriers for banks, each of which can be poor.</w:t>
      </w:r>
    </w:p>
    <w:p w:rsidR="009B5502" w:rsidRDefault="00DA7B14">
      <w:pPr>
        <w:rPr>
          <w:b/>
          <w:i/>
        </w:rPr>
      </w:pPr>
      <w:r>
        <w:rPr>
          <w:b/>
          <w:i/>
        </w:rPr>
        <w:t>Economic factor:</w:t>
      </w:r>
    </w:p>
    <w:p w:rsidR="009B5502" w:rsidRDefault="00DA7B14">
      <w:r>
        <w:t>Strong financial improvement in the UK can also increase lending and investment, benefiting the banking industry. However, low-interest prices may additionally lessen net interest margins, which is damaging to profitability (</w:t>
      </w:r>
      <w:r>
        <w:rPr>
          <w:highlight w:val="white"/>
        </w:rPr>
        <w:t xml:space="preserve">Shams </w:t>
      </w:r>
      <w:r>
        <w:rPr>
          <w:i/>
          <w:highlight w:val="white"/>
        </w:rPr>
        <w:t>et al</w:t>
      </w:r>
      <w:r>
        <w:rPr>
          <w:highlight w:val="white"/>
        </w:rPr>
        <w:t>., 2021)</w:t>
      </w:r>
      <w:r>
        <w:t>.</w:t>
      </w:r>
    </w:p>
    <w:p w:rsidR="009B5502" w:rsidRDefault="00DA7B14">
      <w:pPr>
        <w:rPr>
          <w:b/>
          <w:i/>
        </w:rPr>
      </w:pPr>
      <w:r>
        <w:rPr>
          <w:b/>
          <w:i/>
        </w:rPr>
        <w:t>Social factor:</w:t>
      </w:r>
    </w:p>
    <w:p w:rsidR="009B5502" w:rsidRDefault="00DA7B14">
      <w:r>
        <w:t xml:space="preserve">Increasing customer demand for virtual banking offerings and monetary inclusion creates possibilities for banks to innovate and grow their customer base. However, an elderly populace </w:t>
      </w:r>
      <w:r>
        <w:lastRenderedPageBreak/>
        <w:t>can also need more conventional banking services, posing an adverse impediment to digital transition.</w:t>
      </w:r>
    </w:p>
    <w:p w:rsidR="009B5502" w:rsidRDefault="00DA7B14">
      <w:pPr>
        <w:rPr>
          <w:b/>
          <w:i/>
        </w:rPr>
      </w:pPr>
      <w:r>
        <w:rPr>
          <w:b/>
          <w:i/>
        </w:rPr>
        <w:t>Technological factor:</w:t>
      </w:r>
    </w:p>
    <w:p w:rsidR="009B5502" w:rsidRDefault="00DA7B14">
      <w:r>
        <w:t>Rapid improvements in the financial era (fintech) might also improve consumer studies and operational performance, supplying a useful environment. Conversely, the quick velocity of technological development necessitates main funding and models, which may be difficult and disadvantageous (</w:t>
      </w:r>
      <w:r>
        <w:rPr>
          <w:highlight w:val="white"/>
        </w:rPr>
        <w:t xml:space="preserve">Shams </w:t>
      </w:r>
      <w:r>
        <w:rPr>
          <w:i/>
          <w:highlight w:val="white"/>
        </w:rPr>
        <w:t>et al</w:t>
      </w:r>
      <w:r>
        <w:rPr>
          <w:highlight w:val="white"/>
        </w:rPr>
        <w:t>., 2021)</w:t>
      </w:r>
      <w:r>
        <w:t>.</w:t>
      </w:r>
    </w:p>
    <w:p w:rsidR="009B5502" w:rsidRDefault="00DA7B14">
      <w:pPr>
        <w:rPr>
          <w:b/>
          <w:i/>
        </w:rPr>
      </w:pPr>
      <w:r>
        <w:rPr>
          <w:b/>
          <w:i/>
        </w:rPr>
        <w:t>Environmental factor:</w:t>
      </w:r>
    </w:p>
    <w:p w:rsidR="009B5502" w:rsidRDefault="00DA7B14">
      <w:r>
        <w:t>Banks are increasing the number of imposing green financing programs to enhance their image and recruit environmentally sensitive clients, which is an excellent development. However, transitioning to sustainable methods may be expensive and difficult, which is an adverse aspect.</w:t>
      </w:r>
    </w:p>
    <w:p w:rsidR="009B5502" w:rsidRDefault="00DA7B14">
      <w:pPr>
        <w:rPr>
          <w:b/>
          <w:i/>
        </w:rPr>
      </w:pPr>
      <w:r>
        <w:rPr>
          <w:b/>
          <w:i/>
        </w:rPr>
        <w:t>Legal factor:</w:t>
      </w:r>
    </w:p>
    <w:p w:rsidR="009B5502" w:rsidRDefault="00DA7B14">
      <w:r>
        <w:t>The UK banking industry ought to comply with several regulatory obligations which include anti-money laundering and facts safety regulations. Compliance with these legal guidelines keeps operational integrity and client self-belief, which is advantageous. However, compliance can be tough and expensive.</w:t>
      </w:r>
    </w:p>
    <w:p w:rsidR="009B5502" w:rsidRDefault="00DA7B14">
      <w:pPr>
        <w:pStyle w:val="Titlu3"/>
      </w:pPr>
      <w:bookmarkStart w:id="6" w:name="_heading=h.2et92p0" w:colFirst="0" w:colLast="0"/>
      <w:bookmarkEnd w:id="6"/>
      <w:r>
        <w:t>Industry Five Forces Models of Barclays Plc</w:t>
      </w:r>
    </w:p>
    <w:p w:rsidR="009B5502" w:rsidRDefault="00DA7B14">
      <w:pPr>
        <w:jc w:val="center"/>
      </w:pPr>
      <w:r>
        <w:rPr>
          <w:noProof/>
        </w:rPr>
        <w:drawing>
          <wp:inline distT="0" distB="0" distL="0" distR="0">
            <wp:extent cx="5478780" cy="2804160"/>
            <wp:effectExtent l="0" t="0" r="0" b="0"/>
            <wp:docPr id="1808100538" name="image6.jpg" descr="Porter's Five Forces Analysis: Assessing The Competitive Environment -  Planium Pro"/>
            <wp:cNvGraphicFramePr/>
            <a:graphic xmlns:a="http://schemas.openxmlformats.org/drawingml/2006/main">
              <a:graphicData uri="http://schemas.openxmlformats.org/drawingml/2006/picture">
                <pic:pic xmlns:pic="http://schemas.openxmlformats.org/drawingml/2006/picture">
                  <pic:nvPicPr>
                    <pic:cNvPr id="0" name="image6.jpg" descr="Porter's Five Forces Analysis: Assessing The Competitive Environment -  Planium Pro"/>
                    <pic:cNvPicPr preferRelativeResize="0"/>
                  </pic:nvPicPr>
                  <pic:blipFill>
                    <a:blip r:embed="rId9"/>
                    <a:srcRect/>
                    <a:stretch>
                      <a:fillRect/>
                    </a:stretch>
                  </pic:blipFill>
                  <pic:spPr>
                    <a:xfrm>
                      <a:off x="0" y="0"/>
                      <a:ext cx="5478780" cy="2804160"/>
                    </a:xfrm>
                    <a:prstGeom prst="rect">
                      <a:avLst/>
                    </a:prstGeom>
                    <a:ln/>
                  </pic:spPr>
                </pic:pic>
              </a:graphicData>
            </a:graphic>
          </wp:inline>
        </w:drawing>
      </w:r>
    </w:p>
    <w:p w:rsidR="009B5502" w:rsidRDefault="00DA7B14">
      <w:pPr>
        <w:jc w:val="center"/>
      </w:pPr>
      <w:r>
        <w:lastRenderedPageBreak/>
        <w:t>Figure: Industry Five Forces Models</w:t>
      </w:r>
    </w:p>
    <w:p w:rsidR="009B5502" w:rsidRDefault="00DA7B14">
      <w:pPr>
        <w:jc w:val="center"/>
      </w:pPr>
      <w:r>
        <w:t>Source: (</w:t>
      </w:r>
      <w:r>
        <w:rPr>
          <w:highlight w:val="white"/>
        </w:rPr>
        <w:t>Kristoffersen, 2020)</w:t>
      </w:r>
    </w:p>
    <w:p w:rsidR="009B5502" w:rsidRDefault="00DA7B14">
      <w:r>
        <w:rPr>
          <w:b/>
          <w:i/>
        </w:rPr>
        <w:t>The threat of New Entrants:</w:t>
      </w:r>
      <w:r>
        <w:t xml:space="preserve"> The banking sector's significant capital necessities, high regulatory requirements, and engagement to brand loyalty make it tough for brand spanking new entrants to compete, lessening Barclays' hazard. However, finance companies that use current technology constitute a modest risk.</w:t>
      </w:r>
    </w:p>
    <w:p w:rsidR="009B5502" w:rsidRDefault="00DA7B14">
      <w:r>
        <w:rPr>
          <w:b/>
          <w:i/>
        </w:rPr>
        <w:t>Supplier Bargaining Power:</w:t>
      </w:r>
      <w:r>
        <w:t xml:space="preserve"> The banking industry's number one assets of capital are regulatory government and generation carriers. Barclays' huge length and diverse companies reduce reliance on a single dealer, reducing their negotiating electricity (</w:t>
      </w:r>
      <w:r>
        <w:rPr>
          <w:highlight w:val="white"/>
        </w:rPr>
        <w:t xml:space="preserve">Kristoffersen </w:t>
      </w:r>
      <w:r>
        <w:rPr>
          <w:i/>
          <w:highlight w:val="white"/>
        </w:rPr>
        <w:t>et al</w:t>
      </w:r>
      <w:r>
        <w:rPr>
          <w:highlight w:val="white"/>
        </w:rPr>
        <w:t>., 2020)</w:t>
      </w:r>
      <w:r>
        <w:t>.</w:t>
      </w:r>
    </w:p>
    <w:p w:rsidR="009B5502" w:rsidRDefault="00DA7B14">
      <w:r>
        <w:rPr>
          <w:b/>
          <w:i/>
        </w:rPr>
        <w:t>Customers' negotiating Power:</w:t>
      </w:r>
      <w:r>
        <w:t xml:space="preserve"> Customers expect competitive interest prices, personalised services, and new digital solutions which strengthens their negotiating position. While shifting banks might be bulky, the abundance of alternatives enhances this power.</w:t>
      </w:r>
    </w:p>
    <w:p w:rsidR="009B5502" w:rsidRDefault="00DA7B14">
      <w:r>
        <w:rPr>
          <w:b/>
          <w:i/>
        </w:rPr>
        <w:t>Threat of Substitutes:</w:t>
      </w:r>
      <w:r>
        <w:t xml:space="preserve"> The emergence of fintech businesses and alternative monetary offerings, which include peer-to-peer lending and cryptocurrencies, presents clients with alternatives, developing a minor risk to traditional banking services provided through Barclays (</w:t>
      </w:r>
      <w:r>
        <w:rPr>
          <w:highlight w:val="white"/>
        </w:rPr>
        <w:t xml:space="preserve">Costa </w:t>
      </w:r>
      <w:r>
        <w:rPr>
          <w:i/>
          <w:highlight w:val="white"/>
        </w:rPr>
        <w:t>et al</w:t>
      </w:r>
      <w:r>
        <w:rPr>
          <w:highlight w:val="white"/>
        </w:rPr>
        <w:t>., 2020)</w:t>
      </w:r>
      <w:r>
        <w:t>.</w:t>
      </w:r>
    </w:p>
    <w:p w:rsidR="009B5502" w:rsidRDefault="00DA7B14">
      <w:r>
        <w:rPr>
          <w:b/>
          <w:i/>
        </w:rPr>
        <w:t>Industry Rivalry:</w:t>
      </w:r>
      <w:r>
        <w:t xml:space="preserve"> The UK banking commercial enterprise is extraordinarily competitive, with huge competitors like HSBC, Lloyds, and RBS competing for market proportion. In order to preserve a competitive advantage in the face of such fierce opposition, Barclays must constantly innovate and enhance its offers.</w:t>
      </w:r>
    </w:p>
    <w:p w:rsidR="009B5502" w:rsidRDefault="00DA7B14">
      <w:pPr>
        <w:pStyle w:val="Titlu1"/>
      </w:pPr>
      <w:bookmarkStart w:id="7" w:name="_heading=h.422x8e8ei6oc" w:colFirst="0" w:colLast="0"/>
      <w:bookmarkEnd w:id="7"/>
      <w:r>
        <w:br w:type="page"/>
      </w:r>
    </w:p>
    <w:p w:rsidR="009B5502" w:rsidRDefault="00DA7B14">
      <w:pPr>
        <w:pStyle w:val="Titlu2"/>
      </w:pPr>
      <w:bookmarkStart w:id="8" w:name="_heading=h.tyjcwt" w:colFirst="0" w:colLast="0"/>
      <w:bookmarkEnd w:id="8"/>
      <w:r>
        <w:lastRenderedPageBreak/>
        <w:t>The resources and capabilities of Barclays Plc and analyse to what extent the company has aligned its resources and capabilities to its current corporate strategies.</w:t>
      </w:r>
    </w:p>
    <w:p w:rsidR="009B5502" w:rsidRDefault="00DA7B14">
      <w:pPr>
        <w:jc w:val="center"/>
      </w:pPr>
      <w:r>
        <w:rPr>
          <w:noProof/>
        </w:rPr>
        <w:drawing>
          <wp:inline distT="0" distB="0" distL="0" distR="0">
            <wp:extent cx="5692140" cy="2964180"/>
            <wp:effectExtent l="0" t="0" r="0" b="0"/>
            <wp:docPr id="1808100537" name="image4.gif" descr="Chapter 3: Internal resources, capabilities and competences"/>
            <wp:cNvGraphicFramePr/>
            <a:graphic xmlns:a="http://schemas.openxmlformats.org/drawingml/2006/main">
              <a:graphicData uri="http://schemas.openxmlformats.org/drawingml/2006/picture">
                <pic:pic xmlns:pic="http://schemas.openxmlformats.org/drawingml/2006/picture">
                  <pic:nvPicPr>
                    <pic:cNvPr id="0" name="image4.gif" descr="Chapter 3: Internal resources, capabilities and competences"/>
                    <pic:cNvPicPr preferRelativeResize="0"/>
                  </pic:nvPicPr>
                  <pic:blipFill>
                    <a:blip r:embed="rId10"/>
                    <a:srcRect/>
                    <a:stretch>
                      <a:fillRect/>
                    </a:stretch>
                  </pic:blipFill>
                  <pic:spPr>
                    <a:xfrm>
                      <a:off x="0" y="0"/>
                      <a:ext cx="5692140" cy="2964180"/>
                    </a:xfrm>
                    <a:prstGeom prst="rect">
                      <a:avLst/>
                    </a:prstGeom>
                    <a:ln/>
                  </pic:spPr>
                </pic:pic>
              </a:graphicData>
            </a:graphic>
          </wp:inline>
        </w:drawing>
      </w:r>
    </w:p>
    <w:p w:rsidR="009B5502" w:rsidRDefault="00DA7B14">
      <w:pPr>
        <w:jc w:val="center"/>
      </w:pPr>
      <w:r>
        <w:t>Figure: The resources and capabilities of the company</w:t>
      </w:r>
    </w:p>
    <w:p w:rsidR="009B5502" w:rsidRDefault="00DA7B14">
      <w:pPr>
        <w:jc w:val="center"/>
      </w:pPr>
      <w:r>
        <w:t>Source: (</w:t>
      </w:r>
      <w:r>
        <w:rPr>
          <w:highlight w:val="white"/>
        </w:rPr>
        <w:t>Jacobs, 2020)</w:t>
      </w:r>
    </w:p>
    <w:p w:rsidR="009B5502" w:rsidRDefault="00DA7B14">
      <w:r>
        <w:rPr>
          <w:b/>
          <w:i/>
        </w:rPr>
        <w:t>Financial Resources:</w:t>
      </w:r>
      <w:r>
        <w:t xml:space="preserve"> Barclays has a sturdy capital foundation and standard financial reserves, allowing for good-sized investment in strategic initiatives along with virtual transformation and worldwide development.</w:t>
      </w:r>
    </w:p>
    <w:p w:rsidR="009B5502" w:rsidRDefault="00DA7B14">
      <w:r>
        <w:rPr>
          <w:b/>
          <w:i/>
        </w:rPr>
        <w:t>Technology Capabilities:</w:t>
      </w:r>
      <w:r>
        <w:t xml:space="preserve"> In order to guide its virtual innovation aim, the financial institution has mounted state-of-the-art generation infrastructure including strong virtual banking systems and cybersecurity safeguards (</w:t>
      </w:r>
      <w:r>
        <w:rPr>
          <w:highlight w:val="white"/>
        </w:rPr>
        <w:t>Jacobs and Pretorius, 2020)</w:t>
      </w:r>
      <w:r>
        <w:t>.</w:t>
      </w:r>
    </w:p>
    <w:p w:rsidR="009B5502" w:rsidRDefault="00DA7B14">
      <w:r>
        <w:rPr>
          <w:b/>
          <w:i/>
        </w:rPr>
        <w:t xml:space="preserve">Human Capital: </w:t>
      </w:r>
      <w:r>
        <w:t>Barclays employs a distinctly qualified group of workers with backgrounds in finance, technology, and risk control, which is important for sporting out its consumer-centric and change management goals.</w:t>
      </w:r>
    </w:p>
    <w:p w:rsidR="009B5502" w:rsidRDefault="00DA7B14">
      <w:r>
        <w:rPr>
          <w:b/>
          <w:i/>
        </w:rPr>
        <w:t>Brand Reputation:</w:t>
      </w:r>
      <w:r>
        <w:t xml:space="preserve"> As a well-set up and reputable economic group, Barclays uses its strong brand to recruit and retain customers, consistent with its consumer-centric method.</w:t>
      </w:r>
    </w:p>
    <w:p w:rsidR="009B5502" w:rsidRDefault="00DA7B14">
      <w:r>
        <w:rPr>
          <w:b/>
          <w:i/>
        </w:rPr>
        <w:lastRenderedPageBreak/>
        <w:t>Global Network:</w:t>
      </w:r>
      <w:r>
        <w:t xml:space="preserve"> With its substantial global presence and various activities, Barclays has a massive consumer base and marketplace, which supports its worldwide boost plan.</w:t>
      </w:r>
    </w:p>
    <w:p w:rsidR="009B5502" w:rsidRDefault="00DA7B14">
      <w:r>
        <w:rPr>
          <w:b/>
          <w:i/>
        </w:rPr>
        <w:t>Sustainability Initiatives:</w:t>
      </w:r>
      <w:r>
        <w:t xml:space="preserve"> The financial institution's dedication to sustainable financing is proven via its investments in green tasks and accountable lending practices, which are in shape with its sustainability method (</w:t>
      </w:r>
      <w:r>
        <w:rPr>
          <w:highlight w:val="white"/>
        </w:rPr>
        <w:t>Jacobs and Pretorius, 2020)</w:t>
      </w:r>
      <w:r>
        <w:t>.</w:t>
      </w:r>
    </w:p>
    <w:p w:rsidR="009B5502" w:rsidRDefault="00DA7B14">
      <w:pPr>
        <w:rPr>
          <w:b/>
          <w:i/>
          <w:u w:val="single"/>
        </w:rPr>
      </w:pPr>
      <w:r>
        <w:rPr>
          <w:b/>
          <w:i/>
          <w:u w:val="single"/>
        </w:rPr>
        <w:t>Alignment with Corporate Strategy:</w:t>
      </w:r>
    </w:p>
    <w:p w:rsidR="009B5502" w:rsidRDefault="00DA7B14">
      <w:r>
        <w:rPr>
          <w:b/>
          <w:i/>
        </w:rPr>
        <w:t>Digital Transformation:</w:t>
      </w:r>
      <w:r>
        <w:t xml:space="preserve"> Barclays' investment in generation and trained labor is steady with their objective of improving virtual banking services.</w:t>
      </w:r>
    </w:p>
    <w:p w:rsidR="009B5502" w:rsidRDefault="00DA7B14">
      <w:r>
        <w:rPr>
          <w:b/>
          <w:i/>
        </w:rPr>
        <w:t>Customer-Centric Approach:</w:t>
      </w:r>
      <w:r>
        <w:t xml:space="preserve"> The brand's wonderful popularity and emphasis on customized offerings show its dedication to client pleasure.</w:t>
      </w:r>
    </w:p>
    <w:p w:rsidR="009B5502" w:rsidRDefault="00DA7B14">
      <w:r>
        <w:rPr>
          <w:b/>
          <w:i/>
        </w:rPr>
        <w:t>Sustainable Finance:</w:t>
      </w:r>
      <w:r>
        <w:t xml:space="preserve"> Barclays' financial sources and sustainability efforts replicate its dedication to responsible banking practices.</w:t>
      </w:r>
    </w:p>
    <w:p w:rsidR="009B5502" w:rsidRDefault="00DA7B14">
      <w:r>
        <w:rPr>
          <w:b/>
          <w:i/>
        </w:rPr>
        <w:t>Global Expansion:</w:t>
      </w:r>
      <w:r>
        <w:t xml:space="preserve"> The financial institution's huge international network and monetary energy facilitate its access and growth in new areas.</w:t>
      </w:r>
    </w:p>
    <w:p w:rsidR="009B5502" w:rsidRDefault="00DA7B14">
      <w:r>
        <w:rPr>
          <w:b/>
          <w:i/>
        </w:rPr>
        <w:t>Risk Management:</w:t>
      </w:r>
      <w:r>
        <w:t xml:space="preserve"> Advanced technological skills and human assets in threat management allow robust compliance and financial stability which might be steady with the hazard management plan (</w:t>
      </w:r>
      <w:r>
        <w:rPr>
          <w:highlight w:val="white"/>
        </w:rPr>
        <w:t>Hellvig and Nobre, 2024)</w:t>
      </w:r>
      <w:r>
        <w:t>.</w:t>
      </w:r>
    </w:p>
    <w:p w:rsidR="009B5502" w:rsidRDefault="00DA7B14">
      <w:pPr>
        <w:pStyle w:val="Titlu1"/>
      </w:pPr>
      <w:bookmarkStart w:id="9" w:name="_heading=h.n1h0wclwkmkq" w:colFirst="0" w:colLast="0"/>
      <w:bookmarkEnd w:id="9"/>
      <w:r>
        <w:br w:type="page"/>
      </w:r>
    </w:p>
    <w:p w:rsidR="009B5502" w:rsidRDefault="00DA7B14">
      <w:pPr>
        <w:pStyle w:val="Titlu2"/>
      </w:pPr>
      <w:bookmarkStart w:id="10" w:name="_heading=h.3dy6vkm" w:colFirst="0" w:colLast="0"/>
      <w:bookmarkEnd w:id="10"/>
      <w:r>
        <w:t>How successful is Barclays Plc in implementing selected business and corporate strategies to compete in the market and create competitive advantages over rivals.</w:t>
      </w:r>
    </w:p>
    <w:p w:rsidR="009B5502" w:rsidRDefault="00DA7B14">
      <w:r>
        <w:rPr>
          <w:b/>
          <w:i/>
        </w:rPr>
        <w:t>Digital Transformation:</w:t>
      </w:r>
      <w:r>
        <w:t xml:space="preserve"> Barclays has succeeded in improving its digital banking services, as visible through growing client use of its cellular and net structures. Investments in fintech collaborations and improvements, together with the Barclays Mobile Banking app, have greater customer experience and operational efficiency, supplying a competitive benefit (</w:t>
      </w:r>
      <w:r>
        <w:rPr>
          <w:highlight w:val="white"/>
        </w:rPr>
        <w:t>Hellvig and Nobre, 2024)</w:t>
      </w:r>
      <w:r>
        <w:t>.</w:t>
      </w:r>
    </w:p>
    <w:p w:rsidR="009B5502" w:rsidRDefault="00DA7B14">
      <w:pPr>
        <w:jc w:val="center"/>
      </w:pPr>
      <w:r>
        <w:rPr>
          <w:noProof/>
        </w:rPr>
        <w:drawing>
          <wp:inline distT="0" distB="0" distL="0" distR="0">
            <wp:extent cx="5722620" cy="3192780"/>
            <wp:effectExtent l="0" t="0" r="0" b="0"/>
            <wp:docPr id="1808100540" name="image2.jpg" descr="Competitive Advantage - What Is It, Example, Types"/>
            <wp:cNvGraphicFramePr/>
            <a:graphic xmlns:a="http://schemas.openxmlformats.org/drawingml/2006/main">
              <a:graphicData uri="http://schemas.openxmlformats.org/drawingml/2006/picture">
                <pic:pic xmlns:pic="http://schemas.openxmlformats.org/drawingml/2006/picture">
                  <pic:nvPicPr>
                    <pic:cNvPr id="0" name="image2.jpg" descr="Competitive Advantage - What Is It, Example, Types"/>
                    <pic:cNvPicPr preferRelativeResize="0"/>
                  </pic:nvPicPr>
                  <pic:blipFill>
                    <a:blip r:embed="rId11"/>
                    <a:srcRect/>
                    <a:stretch>
                      <a:fillRect/>
                    </a:stretch>
                  </pic:blipFill>
                  <pic:spPr>
                    <a:xfrm>
                      <a:off x="0" y="0"/>
                      <a:ext cx="5722620" cy="3192780"/>
                    </a:xfrm>
                    <a:prstGeom prst="rect">
                      <a:avLst/>
                    </a:prstGeom>
                    <a:ln/>
                  </pic:spPr>
                </pic:pic>
              </a:graphicData>
            </a:graphic>
          </wp:inline>
        </w:drawing>
      </w:r>
    </w:p>
    <w:p w:rsidR="009B5502" w:rsidRDefault="00DA7B14">
      <w:pPr>
        <w:jc w:val="center"/>
      </w:pPr>
      <w:r>
        <w:t>Figure: How successful Barclays Plc in implementing selected business and corporate strategies to compete in the market</w:t>
      </w:r>
    </w:p>
    <w:p w:rsidR="009B5502" w:rsidRDefault="00DA7B14">
      <w:pPr>
        <w:jc w:val="center"/>
      </w:pPr>
      <w:r>
        <w:t>Source: (</w:t>
      </w:r>
      <w:r>
        <w:rPr>
          <w:highlight w:val="white"/>
        </w:rPr>
        <w:t>Hellvig, 2024)</w:t>
      </w:r>
    </w:p>
    <w:p w:rsidR="009B5502" w:rsidRDefault="00DA7B14">
      <w:r>
        <w:rPr>
          <w:b/>
          <w:i/>
        </w:rPr>
        <w:t>Client-Centric Approach:</w:t>
      </w:r>
      <w:r>
        <w:t xml:space="preserve"> The bank's emphasis on personalised services has produced favorable benefits, including high customer satisfaction and loyalty. Initiatives together with the Barclays Blue Rewards programme and progressed customer service have boosted its market role, setting it apart from opponents.</w:t>
      </w:r>
    </w:p>
    <w:p w:rsidR="009B5502" w:rsidRDefault="00DA7B14">
      <w:r>
        <w:rPr>
          <w:b/>
          <w:i/>
        </w:rPr>
        <w:t>Sustainable Finance:</w:t>
      </w:r>
      <w:r>
        <w:t xml:space="preserve"> Barclays has made massive investments in green tasks and issued green bonds. This devotion has more suitable its brand and attracted environmentally aware buyers and customers, in line with global sustainability tendencies (</w:t>
      </w:r>
      <w:r>
        <w:rPr>
          <w:highlight w:val="white"/>
        </w:rPr>
        <w:t>Hellvig and Nobre, 2024)</w:t>
      </w:r>
      <w:r>
        <w:t>.</w:t>
      </w:r>
    </w:p>
    <w:p w:rsidR="009B5502" w:rsidRDefault="00DA7B14">
      <w:r>
        <w:rPr>
          <w:b/>
          <w:i/>
        </w:rPr>
        <w:t>Global increase:</w:t>
      </w:r>
      <w:r>
        <w:t xml:space="preserve"> Barclays' strategic increase into developing countries has broadened its income resources and reduced the risks associated with dependence on nearby markets. The financial institution's function in primary global economic centers has also helped it benefit worldwide competitiveness.</w:t>
      </w:r>
    </w:p>
    <w:p w:rsidR="009B5502" w:rsidRDefault="00DA7B14">
      <w:r>
        <w:rPr>
          <w:b/>
          <w:i/>
        </w:rPr>
        <w:t>Risk Management:</w:t>
      </w:r>
      <w:r>
        <w:t xml:space="preserve"> Improved risk management strategies have extended Barclays' resilience in the face of economic uncertainty. Effective regulatory compliance and powerful risk mitigation techniques have helped to retain stakeholder consideration and operational balance.</w:t>
      </w:r>
    </w:p>
    <w:p w:rsidR="009B5502" w:rsidRDefault="00DA7B14">
      <w:pPr>
        <w:rPr>
          <w:b/>
          <w:i/>
          <w:u w:val="single"/>
        </w:rPr>
      </w:pPr>
      <w:r>
        <w:rPr>
          <w:b/>
          <w:i/>
          <w:u w:val="single"/>
        </w:rPr>
        <w:t>Competitive Advantages:</w:t>
      </w:r>
    </w:p>
    <w:p w:rsidR="009B5502" w:rsidRDefault="00DA7B14">
      <w:r>
        <w:rPr>
          <w:b/>
          <w:i/>
        </w:rPr>
        <w:t>Innovative Digital Solutions:</w:t>
      </w:r>
      <w:r>
        <w:t xml:space="preserve"> Barclays' vast virtual banking skills distinguish it from conventional banks, attracting technologically conscious consumers (</w:t>
      </w:r>
      <w:r>
        <w:rPr>
          <w:highlight w:val="white"/>
        </w:rPr>
        <w:t>Hellvig and Nobre, 2024)</w:t>
      </w:r>
      <w:r>
        <w:t>.</w:t>
      </w:r>
    </w:p>
    <w:p w:rsidR="009B5502" w:rsidRDefault="00DA7B14">
      <w:r>
        <w:rPr>
          <w:b/>
          <w:i/>
        </w:rPr>
        <w:t>Strong Brand and Customer Loyalty:</w:t>
      </w:r>
      <w:r>
        <w:t xml:space="preserve"> The bank's well-known brand and consumer-focused activities boost loyalty and retention.</w:t>
      </w:r>
    </w:p>
    <w:p w:rsidR="009B5502" w:rsidRDefault="00DA7B14">
      <w:r>
        <w:rPr>
          <w:b/>
          <w:i/>
        </w:rPr>
        <w:t>Sustainability Leadership:</w:t>
      </w:r>
      <w:r>
        <w:t xml:space="preserve"> Barclays' proactive approach to sustainability units them aside in a marketplace more and more focused on ethical behaviors.</w:t>
      </w:r>
    </w:p>
    <w:p w:rsidR="009B5502" w:rsidRDefault="00DA7B14">
      <w:r>
        <w:rPr>
          <w:b/>
          <w:i/>
        </w:rPr>
        <w:t>Global Diversification:</w:t>
      </w:r>
      <w:r>
        <w:t xml:space="preserve"> Barclays' huge overseas presence minimises chance and creates new income opportunities, offering them an aspect over extra locally orientated competition (</w:t>
      </w:r>
      <w:r>
        <w:rPr>
          <w:highlight w:val="white"/>
        </w:rPr>
        <w:t xml:space="preserve">Abdulwase </w:t>
      </w:r>
      <w:r>
        <w:rPr>
          <w:i/>
          <w:highlight w:val="white"/>
        </w:rPr>
        <w:t>et al</w:t>
      </w:r>
      <w:r>
        <w:rPr>
          <w:highlight w:val="white"/>
        </w:rPr>
        <w:t>., 2020)</w:t>
      </w:r>
      <w:r>
        <w:t>.</w:t>
      </w:r>
    </w:p>
    <w:p w:rsidR="009B5502" w:rsidRDefault="00DA7B14">
      <w:pPr>
        <w:pStyle w:val="Titlu2"/>
      </w:pPr>
      <w:bookmarkStart w:id="11" w:name="_heading=h.1t3h5sf" w:colFirst="0" w:colLast="0"/>
      <w:bookmarkEnd w:id="11"/>
      <w:r>
        <w:t>How Barclays Plc has tried to become more competitive while taking into consideration sustainability and the environment</w:t>
      </w:r>
    </w:p>
    <w:p w:rsidR="009B5502" w:rsidRDefault="00DA7B14">
      <w:pPr>
        <w:jc w:val="center"/>
      </w:pPr>
      <w:r>
        <w:rPr>
          <w:noProof/>
        </w:rPr>
        <w:drawing>
          <wp:inline distT="0" distB="0" distL="0" distR="0">
            <wp:extent cx="5532120" cy="2865120"/>
            <wp:effectExtent l="0" t="0" r="0" b="0"/>
            <wp:docPr id="1808100539" name="image1.png" descr="Barclays: carbon emissions | Statista"/>
            <wp:cNvGraphicFramePr/>
            <a:graphic xmlns:a="http://schemas.openxmlformats.org/drawingml/2006/main">
              <a:graphicData uri="http://schemas.openxmlformats.org/drawingml/2006/picture">
                <pic:pic xmlns:pic="http://schemas.openxmlformats.org/drawingml/2006/picture">
                  <pic:nvPicPr>
                    <pic:cNvPr id="0" name="image1.png" descr="Barclays: carbon emissions | Statista"/>
                    <pic:cNvPicPr preferRelativeResize="0"/>
                  </pic:nvPicPr>
                  <pic:blipFill>
                    <a:blip r:embed="rId12"/>
                    <a:srcRect/>
                    <a:stretch>
                      <a:fillRect/>
                    </a:stretch>
                  </pic:blipFill>
                  <pic:spPr>
                    <a:xfrm>
                      <a:off x="0" y="0"/>
                      <a:ext cx="5532120" cy="2865120"/>
                    </a:xfrm>
                    <a:prstGeom prst="rect">
                      <a:avLst/>
                    </a:prstGeom>
                    <a:ln/>
                  </pic:spPr>
                </pic:pic>
              </a:graphicData>
            </a:graphic>
          </wp:inline>
        </w:drawing>
      </w:r>
    </w:p>
    <w:p w:rsidR="009B5502" w:rsidRDefault="00DA7B14">
      <w:pPr>
        <w:jc w:val="center"/>
      </w:pPr>
      <w:r>
        <w:t>Figure: How Barclays Plc has tried to become more competitive while taking into consideration sustainability and the environment</w:t>
      </w:r>
    </w:p>
    <w:p w:rsidR="009B5502" w:rsidRDefault="00DA7B14">
      <w:pPr>
        <w:jc w:val="center"/>
      </w:pPr>
      <w:r>
        <w:t>Source: (</w:t>
      </w:r>
      <w:r>
        <w:rPr>
          <w:highlight w:val="white"/>
        </w:rPr>
        <w:t>Farida, 2022)</w:t>
      </w:r>
    </w:p>
    <w:p w:rsidR="009B5502" w:rsidRDefault="00DA7B14">
      <w:r>
        <w:rPr>
          <w:b/>
          <w:i/>
        </w:rPr>
        <w:t xml:space="preserve">Green Financing Initiatives: </w:t>
      </w:r>
      <w:r>
        <w:t>Barclays has substantially boosted its funding for inexperienced initiatives, together with renewable electricity, sustainable infrastructure, and an environmentally friendly era. This provides the financial institution with a pioneer in sustainable finance, appealing to environmentally conscientious buyers and clients.</w:t>
      </w:r>
    </w:p>
    <w:p w:rsidR="009B5502" w:rsidRDefault="00DA7B14">
      <w:r>
        <w:rPr>
          <w:b/>
          <w:i/>
        </w:rPr>
        <w:t>Green Bonds:</w:t>
      </w:r>
      <w:r>
        <w:t xml:space="preserve"> The financial institution has issued inexperienced bonds to generate finances for weather-pleasant projects. This not simplest promotes worldwide environmental targets, but also diversifies Barclays' funding portfolio, increasing its competitiveness within the monetary markets.</w:t>
      </w:r>
    </w:p>
    <w:p w:rsidR="009B5502" w:rsidRDefault="00DA7B14">
      <w:r>
        <w:rPr>
          <w:b/>
          <w:i/>
        </w:rPr>
        <w:t>Sustainable Operations:</w:t>
      </w:r>
      <w:r>
        <w:t xml:space="preserve"> Barclays has followed energy-green techniques in organisation operations, including decreasing carbon emissions, increasing power efficiency in office buildings, and inspiring recycling and trash reduction. These measures are no longer the most effective store working prices, however additionally help the financial institution's image as an ecologically accountable business enterprise (</w:t>
      </w:r>
      <w:r>
        <w:rPr>
          <w:highlight w:val="white"/>
        </w:rPr>
        <w:t>Farida and Setiawan, 2022)</w:t>
      </w:r>
      <w:r>
        <w:t>.</w:t>
      </w:r>
    </w:p>
    <w:p w:rsidR="009B5502" w:rsidRDefault="00DA7B14">
      <w:r>
        <w:rPr>
          <w:b/>
          <w:i/>
        </w:rPr>
        <w:t>Responsible Investing:</w:t>
      </w:r>
      <w:r>
        <w:t xml:space="preserve"> Barclays' investment arm helps responsible making an investment with the aid of incorporating environmental, social, and governance (ESG) concerns into investment picks. This draws a growing region of sustainable buyers, giving asset managers a competitive advantage.</w:t>
      </w:r>
    </w:p>
    <w:p w:rsidR="009B5502" w:rsidRDefault="00DA7B14">
      <w:r>
        <w:rPr>
          <w:b/>
          <w:i/>
        </w:rPr>
        <w:t>Partnerships and Collaborations:</w:t>
      </w:r>
      <w:r>
        <w:t xml:space="preserve"> Barclays works with worldwide organisations and programmes that foster sustainability which includes the United Nations Principles for Responsible Banking. These collaborations boost Barclays' dedication to sustainability, enhancing its logo image and competitive advantage (</w:t>
      </w:r>
      <w:r>
        <w:rPr>
          <w:highlight w:val="white"/>
        </w:rPr>
        <w:t xml:space="preserve">Keskin </w:t>
      </w:r>
      <w:r>
        <w:rPr>
          <w:i/>
          <w:highlight w:val="white"/>
        </w:rPr>
        <w:t>et al</w:t>
      </w:r>
      <w:r>
        <w:rPr>
          <w:highlight w:val="white"/>
        </w:rPr>
        <w:t>., 2021)</w:t>
      </w:r>
      <w:r>
        <w:t>.</w:t>
      </w:r>
    </w:p>
    <w:p w:rsidR="009B5502" w:rsidRDefault="00DA7B14">
      <w:r>
        <w:rPr>
          <w:b/>
          <w:i/>
        </w:rPr>
        <w:t>Customer-Focused Sustainable Products:</w:t>
      </w:r>
      <w:r>
        <w:t xml:space="preserve"> In order to satisfy the developing demand for environmentally touchy financial merchandise, Barclays now presents inexperienced mortgages, green credit cards, and sustainable investment options. This method now not best addresses customers' needs, but also sets Barclays other from competitors.</w:t>
      </w:r>
    </w:p>
    <w:p w:rsidR="009B5502" w:rsidRDefault="00DA7B14">
      <w:r>
        <w:rPr>
          <w:b/>
          <w:i/>
        </w:rPr>
        <w:t>Public guarantees and Reporting:</w:t>
      </w:r>
      <w:r>
        <w:t xml:space="preserve"> Barclays has made public guarantees to obtain zero-internet carbon emissions and offers monthly updates on its development. Transparent reporting and accountability construct self-belief and display leadership in sustainability, attracting customers and buyers who value corporate obligation.</w:t>
      </w:r>
    </w:p>
    <w:p w:rsidR="009B5502" w:rsidRDefault="00DA7B14">
      <w:pPr>
        <w:pStyle w:val="Titlu2"/>
      </w:pPr>
      <w:bookmarkStart w:id="12" w:name="_heading=h.4d34og8" w:colFirst="0" w:colLast="0"/>
      <w:bookmarkEnd w:id="12"/>
      <w:r>
        <w:t>Evaluating the choices available for Barclays’s strategic direction in the future</w:t>
      </w:r>
    </w:p>
    <w:p w:rsidR="009B5502" w:rsidRDefault="00DA7B14">
      <w:pPr>
        <w:jc w:val="center"/>
      </w:pPr>
      <w:r>
        <w:rPr>
          <w:noProof/>
        </w:rPr>
        <w:drawing>
          <wp:inline distT="0" distB="0" distL="0" distR="0">
            <wp:extent cx="5676900" cy="2903220"/>
            <wp:effectExtent l="0" t="0" r="0" b="0"/>
            <wp:docPr id="1808100534" name="image3.jpg" descr="Our Board Responsibilities | Barclays"/>
            <wp:cNvGraphicFramePr/>
            <a:graphic xmlns:a="http://schemas.openxmlformats.org/drawingml/2006/main">
              <a:graphicData uri="http://schemas.openxmlformats.org/drawingml/2006/picture">
                <pic:pic xmlns:pic="http://schemas.openxmlformats.org/drawingml/2006/picture">
                  <pic:nvPicPr>
                    <pic:cNvPr id="0" name="image3.jpg" descr="Our Board Responsibilities | Barclays"/>
                    <pic:cNvPicPr preferRelativeResize="0"/>
                  </pic:nvPicPr>
                  <pic:blipFill>
                    <a:blip r:embed="rId13"/>
                    <a:srcRect/>
                    <a:stretch>
                      <a:fillRect/>
                    </a:stretch>
                  </pic:blipFill>
                  <pic:spPr>
                    <a:xfrm>
                      <a:off x="0" y="0"/>
                      <a:ext cx="5676900" cy="2903220"/>
                    </a:xfrm>
                    <a:prstGeom prst="rect">
                      <a:avLst/>
                    </a:prstGeom>
                    <a:ln/>
                  </pic:spPr>
                </pic:pic>
              </a:graphicData>
            </a:graphic>
          </wp:inline>
        </w:drawing>
      </w:r>
    </w:p>
    <w:p w:rsidR="009B5502" w:rsidRDefault="00DA7B14">
      <w:pPr>
        <w:jc w:val="center"/>
      </w:pPr>
      <w:r>
        <w:t>Figure: Evaluating the choices available for the Barclays’s strategic direction in the future</w:t>
      </w:r>
    </w:p>
    <w:p w:rsidR="009B5502" w:rsidRDefault="00DA7B14">
      <w:pPr>
        <w:jc w:val="center"/>
      </w:pPr>
      <w:r>
        <w:t>Source: (</w:t>
      </w:r>
      <w:r>
        <w:rPr>
          <w:highlight w:val="white"/>
        </w:rPr>
        <w:t>Hartani, 2020)</w:t>
      </w:r>
    </w:p>
    <w:p w:rsidR="009B5502" w:rsidRDefault="00DA7B14">
      <w:r>
        <w:rPr>
          <w:b/>
          <w:i/>
        </w:rPr>
        <w:t xml:space="preserve">Further Digital Innovation: </w:t>
      </w:r>
      <w:r>
        <w:t>Barclays may continue to spend money on a progressive virtual era to enhance the patron experience and operational performance. This might involve using artificial intelligence (AI) for personalised banking services and increasing mobile price options to fit changing consumer expectancies within the digital age.</w:t>
      </w:r>
    </w:p>
    <w:p w:rsidR="009B5502" w:rsidRDefault="00DA7B14">
      <w:r>
        <w:rPr>
          <w:b/>
          <w:i/>
        </w:rPr>
        <w:t>Expansion in Emerging Markets:</w:t>
      </w:r>
      <w:r>
        <w:t xml:space="preserve"> Looking for possibilities in emerging economies may help diversify income assets and lessen reliance on installed markets. To gain market share in high-increase countries, enlargement activities might consist of forming strategic alliances, shopping nearby banks, or introducing specialised financial merchandise (</w:t>
      </w:r>
      <w:r>
        <w:rPr>
          <w:highlight w:val="white"/>
        </w:rPr>
        <w:t xml:space="preserve">Hartani </w:t>
      </w:r>
      <w:r>
        <w:rPr>
          <w:i/>
          <w:highlight w:val="white"/>
        </w:rPr>
        <w:t>et al</w:t>
      </w:r>
      <w:r>
        <w:rPr>
          <w:highlight w:val="white"/>
        </w:rPr>
        <w:t>., 2020)</w:t>
      </w:r>
      <w:r>
        <w:t>.</w:t>
      </w:r>
    </w:p>
    <w:p w:rsidR="009B5502" w:rsidRDefault="00DA7B14">
      <w:r>
        <w:rPr>
          <w:b/>
          <w:i/>
        </w:rPr>
        <w:t>Enhanced Sustainability Focus:</w:t>
      </w:r>
      <w:r>
        <w:t xml:space="preserve"> Through strengthening commitments to sustainable finance and ESG practices, Barclays can cement its position as a frontrunner in accountable banking. This includes boosting expenses in green tasks, broadening inexperienced finance alternatives, and incorporating sustainability measures into key corporation techniques (</w:t>
      </w:r>
      <w:r>
        <w:rPr>
          <w:highlight w:val="white"/>
        </w:rPr>
        <w:t xml:space="preserve">Devi </w:t>
      </w:r>
      <w:r>
        <w:rPr>
          <w:i/>
          <w:highlight w:val="white"/>
        </w:rPr>
        <w:t>et al</w:t>
      </w:r>
      <w:r>
        <w:rPr>
          <w:highlight w:val="white"/>
        </w:rPr>
        <w:t>., 2022)</w:t>
      </w:r>
      <w:r>
        <w:t>.</w:t>
      </w:r>
    </w:p>
    <w:p w:rsidR="009B5502" w:rsidRDefault="00DA7B14">
      <w:r>
        <w:rPr>
          <w:b/>
          <w:i/>
        </w:rPr>
        <w:t>Financial Services Innovation:</w:t>
      </w:r>
      <w:r>
        <w:t xml:space="preserve"> Continued fintech innovation, together with blockchain technology for safe transactions and smart contracts, will assist Barclays to distinguish itself inside the competitive economic services enterprise. Exploring prospects in digital currencies or decentralised finance (DeFi) may also assist Barclays in living at the vanguard of future economic innovation.</w:t>
      </w:r>
    </w:p>
    <w:p w:rsidR="009B5502" w:rsidRDefault="00DA7B14">
      <w:r>
        <w:rPr>
          <w:b/>
          <w:i/>
        </w:rPr>
        <w:t>Risk Management and Regulatory Compliance:</w:t>
      </w:r>
      <w:r>
        <w:t xml:space="preserve"> Given the converting regulatory panorama, Barclays have to prioritise strong risk management frameworks and compliance tasks. In order to manage operational threats, this includes improving data protection safeguards, and cybersecurity defences, and maintaining rigorous compliance with worldwide regulatory requirements.</w:t>
      </w:r>
    </w:p>
    <w:p w:rsidR="009B5502" w:rsidRDefault="00DA7B14">
      <w:r>
        <w:rPr>
          <w:b/>
          <w:i/>
        </w:rPr>
        <w:t>Customer-Centric Strategies:</w:t>
      </w:r>
      <w:r>
        <w:t xml:space="preserve"> In a trendy competitive environment, strengthening client engagement through personalised offerings, loyalty programs, and seamless omnichannel reports may develop long-term client connections and decorate retention charges.</w:t>
      </w:r>
    </w:p>
    <w:p w:rsidR="009B5502" w:rsidRDefault="00DA7B14">
      <w:r>
        <w:rPr>
          <w:b/>
          <w:i/>
        </w:rPr>
        <w:t>Partnerships and Collaborations:</w:t>
      </w:r>
      <w:r>
        <w:t xml:space="preserve"> Working with fintech startups, enterprise peers, and academic institutions might also raise innovation and accelerate digital transformation initiatives. Strategic collaborations can also help Barclays enhance its market agility and response to converting developments and patron demands.</w:t>
      </w:r>
    </w:p>
    <w:p w:rsidR="009B5502" w:rsidRDefault="00DA7B14">
      <w:pPr>
        <w:pStyle w:val="Titlu1"/>
      </w:pPr>
      <w:bookmarkStart w:id="13" w:name="_heading=h.voio54jauvzd" w:colFirst="0" w:colLast="0"/>
      <w:bookmarkEnd w:id="13"/>
      <w:r>
        <w:br w:type="page"/>
      </w:r>
    </w:p>
    <w:p w:rsidR="009B5502" w:rsidRDefault="00DA7B14">
      <w:pPr>
        <w:pStyle w:val="Titlu2"/>
      </w:pPr>
      <w:bookmarkStart w:id="14" w:name="_heading=h.2s8eyo1" w:colFirst="0" w:colLast="0"/>
      <w:bookmarkEnd w:id="14"/>
      <w:r>
        <w:t>Recommendations for Barclays on how to further sustainability practices can help the organisation to develop competitive advantages in the future</w:t>
      </w:r>
    </w:p>
    <w:p w:rsidR="009B5502" w:rsidRDefault="00DA7B14">
      <w:r>
        <w:rPr>
          <w:b/>
          <w:i/>
        </w:rPr>
        <w:t>Enhanced Green Financing Offerings:</w:t>
      </w:r>
      <w:r>
        <w:t xml:space="preserve"> Expand inexperienced finance selections to encompass new merchandise inclusive of green bonds, sustainable loans, and eco-friendly mortgages. This not only draws environmentally involved buyers but also benefits clients who are committed to sustainable boosts (</w:t>
      </w:r>
      <w:r>
        <w:rPr>
          <w:highlight w:val="white"/>
        </w:rPr>
        <w:t>Hermundsdottir and Aspelund, 2021)</w:t>
      </w:r>
      <w:r>
        <w:t>.</w:t>
      </w:r>
    </w:p>
    <w:p w:rsidR="009B5502" w:rsidRDefault="00DA7B14">
      <w:r>
        <w:rPr>
          <w:b/>
          <w:i/>
        </w:rPr>
        <w:t>Integration of ESG elements:</w:t>
      </w:r>
      <w:r>
        <w:t xml:space="preserve"> Improve the incorporation of Environmental, Social, and Governance (ESG) elements into funding and lending picks. Create comprehensive ESG score structures to degree the sustainability overall performance of clients and investments, consequently enhancing danger management and popularity.</w:t>
      </w:r>
    </w:p>
    <w:p w:rsidR="009B5502" w:rsidRDefault="00DA7B14">
      <w:r>
        <w:rPr>
          <w:b/>
          <w:i/>
        </w:rPr>
        <w:t>Sustainable Technology Advancement:</w:t>
      </w:r>
      <w:r>
        <w:t xml:space="preserve"> Make investments in sustainable technology internal operations, such as renewable power solutions for information centers and strength-efficient structures. This lowers the carbon footprint and working fees while exhibiting management in sustainable commercial enterprise practices (</w:t>
      </w:r>
      <w:r>
        <w:rPr>
          <w:highlight w:val="white"/>
        </w:rPr>
        <w:t>Padilla-Lozano and Collazzo, 2022)</w:t>
      </w:r>
      <w:r>
        <w:t>.</w:t>
      </w:r>
    </w:p>
    <w:p w:rsidR="009B5502" w:rsidRDefault="00DA7B14">
      <w:r>
        <w:rPr>
          <w:b/>
          <w:i/>
        </w:rPr>
        <w:t>Transparency and Reporting:</w:t>
      </w:r>
      <w:r>
        <w:t xml:space="preserve"> Increase transparency by way of periodically publishing environmental consequences, development towards sustainability objectives, and compliance with global standards inclusive of the Task Force on Climate-related Financial Disclosures (TCFD). Transparent reporting fosters confidence amongst stakeholders and traders interested in sustainable investments.</w:t>
      </w:r>
    </w:p>
    <w:p w:rsidR="009B5502" w:rsidRDefault="00DA7B14">
      <w:r>
        <w:rPr>
          <w:b/>
          <w:i/>
        </w:rPr>
        <w:t>Employee Engagement and Education:</w:t>
      </w:r>
      <w:r>
        <w:t xml:space="preserve"> Implement sustainability schooling programs for the workforce to boost focus and integrate sustainable principles across the enterprise. Engaged workers may foster innovation in environmental projects even as also improving Barclays' agency culture.</w:t>
      </w:r>
    </w:p>
    <w:p w:rsidR="009B5502" w:rsidRDefault="00DA7B14">
      <w:r>
        <w:rPr>
          <w:b/>
          <w:i/>
        </w:rPr>
        <w:t>Partnerships for Impact:</w:t>
      </w:r>
      <w:r>
        <w:t xml:space="preserve"> Work with NGOs, instructional establishments, and enterprise leaders to solve global sustainability concerns collectively. Strategic alliances may also increase Barclays' effect on environmental and socially demanding situations at the same time as additionally encouraging knowledge sharing and innovation (</w:t>
      </w:r>
      <w:r>
        <w:rPr>
          <w:highlight w:val="white"/>
        </w:rPr>
        <w:t>Padilla-Lozano and Collazzo, 2022)</w:t>
      </w:r>
      <w:r>
        <w:t>.</w:t>
      </w:r>
    </w:p>
    <w:p w:rsidR="009B5502" w:rsidRDefault="00DA7B14">
      <w:r>
        <w:rPr>
          <w:b/>
          <w:i/>
        </w:rPr>
        <w:t xml:space="preserve">Long-Term Commitment: </w:t>
      </w:r>
      <w:r>
        <w:t>Set sturdy aims for sustainability, together with attaining internet-zero carbon emissions or supporting global biodiversity efforts. Consistent management in sustainability may also assist Barclays stand out within the competitive financial offerings market and appeal to environmentally conscious customers and investors.</w:t>
      </w:r>
    </w:p>
    <w:p w:rsidR="009B5502" w:rsidRDefault="00DA7B14">
      <w:pPr>
        <w:spacing w:after="160" w:line="259" w:lineRule="auto"/>
        <w:jc w:val="left"/>
        <w:rPr>
          <w:b/>
          <w:sz w:val="28"/>
          <w:szCs w:val="28"/>
          <w:highlight w:val="white"/>
        </w:rPr>
      </w:pPr>
      <w:r>
        <w:br w:type="page"/>
      </w:r>
    </w:p>
    <w:p w:rsidR="009B5502" w:rsidRDefault="00DA7B14">
      <w:pPr>
        <w:pStyle w:val="Titlu1"/>
      </w:pPr>
      <w:bookmarkStart w:id="15" w:name="_heading=h.17dp8vu" w:colFirst="0" w:colLast="0"/>
      <w:bookmarkEnd w:id="15"/>
      <w:r>
        <w:t xml:space="preserve">Conclusion </w:t>
      </w:r>
    </w:p>
    <w:p w:rsidR="009B5502" w:rsidRDefault="00DA7B14">
      <w:r>
        <w:t>Barclays Plc has to enlarge its digital innovation projects to enhance customer revel and operational efficiency as a part of its future strategic method. Emphasising sustainability measures, together with green finance and ESG integration, could now not most effectively boost the organisation's company responsibility but also appeal to environmentally worried investors. Strengthening global increase into growing regions enables diversified income sources, while powerful risk control and compliance measures</w:t>
      </w:r>
      <w:r>
        <w:t xml:space="preserve"> can hold the balance in the face of regulatory changes. Through prioritising customer-centric solutions and cultivating strategic alliances, Barclays can fortify its competitive role inside the converting economic services quarter whilst last committed to long-term improvement.</w:t>
      </w:r>
    </w:p>
    <w:p w:rsidR="009B5502" w:rsidRDefault="00DA7B14">
      <w:pPr>
        <w:spacing w:after="160" w:line="259" w:lineRule="auto"/>
        <w:jc w:val="left"/>
        <w:rPr>
          <w:b/>
          <w:sz w:val="28"/>
          <w:szCs w:val="28"/>
          <w:highlight w:val="white"/>
        </w:rPr>
      </w:pPr>
      <w:r>
        <w:br w:type="page"/>
      </w:r>
    </w:p>
    <w:p w:rsidR="009B5502" w:rsidRDefault="00DA7B14">
      <w:pPr>
        <w:pStyle w:val="Titlu1"/>
      </w:pPr>
      <w:bookmarkStart w:id="16" w:name="_heading=h.3rdcrjn" w:colFirst="0" w:colLast="0"/>
      <w:bookmarkEnd w:id="16"/>
      <w:r>
        <w:t>References</w:t>
      </w:r>
    </w:p>
    <w:p w:rsidR="009B5502" w:rsidRDefault="00DA7B14">
      <w:pPr>
        <w:rPr>
          <w:highlight w:val="white"/>
        </w:rPr>
      </w:pPr>
      <w:r>
        <w:rPr>
          <w:highlight w:val="white"/>
        </w:rPr>
        <w:t>Abdulwase, R., Ahmed, F., Nasr, F., Abdulwase, A., Alyousofi, A. and Yan, S., (2020). The role of business strategy to create a competitive advantage in the organization. </w:t>
      </w:r>
      <w:r>
        <w:rPr>
          <w:i/>
          <w:highlight w:val="white"/>
        </w:rPr>
        <w:t>Open Access J Sci</w:t>
      </w:r>
      <w:r>
        <w:rPr>
          <w:highlight w:val="white"/>
        </w:rPr>
        <w:t>, </w:t>
      </w:r>
      <w:r>
        <w:rPr>
          <w:i/>
          <w:highlight w:val="white"/>
        </w:rPr>
        <w:t>4</w:t>
      </w:r>
      <w:r>
        <w:rPr>
          <w:highlight w:val="white"/>
        </w:rPr>
        <w:t>(4), pp.135-138.</w:t>
      </w:r>
    </w:p>
    <w:p w:rsidR="009B5502" w:rsidRDefault="00DA7B14">
      <w:pPr>
        <w:rPr>
          <w:highlight w:val="white"/>
        </w:rPr>
      </w:pPr>
      <w:r>
        <w:rPr>
          <w:highlight w:val="white"/>
        </w:rPr>
        <w:t>Costa, R.L.D., Ramos, S. and Antonio, N.S., (2020). The role of Portuguese companies in the development of corporate strategies: case study. </w:t>
      </w:r>
      <w:r>
        <w:rPr>
          <w:i/>
          <w:highlight w:val="white"/>
        </w:rPr>
        <w:t>International Journal of Learning and Change</w:t>
      </w:r>
      <w:r>
        <w:rPr>
          <w:highlight w:val="white"/>
        </w:rPr>
        <w:t>, </w:t>
      </w:r>
      <w:r>
        <w:rPr>
          <w:i/>
          <w:highlight w:val="white"/>
        </w:rPr>
        <w:t>12</w:t>
      </w:r>
      <w:r>
        <w:rPr>
          <w:highlight w:val="white"/>
        </w:rPr>
        <w:t>(3), pp.231-247.</w:t>
      </w:r>
    </w:p>
    <w:p w:rsidR="009B5502" w:rsidRDefault="00DA7B14">
      <w:pPr>
        <w:rPr>
          <w:highlight w:val="white"/>
        </w:rPr>
      </w:pPr>
      <w:r>
        <w:rPr>
          <w:highlight w:val="white"/>
        </w:rPr>
        <w:t>Devi, W.S.G.R., Pringgandinie, D.R., Yulina, H. and Hadiansah, D., (2022). SWOT Analysis as a Competitive Strategy at Primkop Kartika Ardagusema Cimahi City, West Java, Indonesia. </w:t>
      </w:r>
      <w:r>
        <w:rPr>
          <w:i/>
          <w:highlight w:val="white"/>
        </w:rPr>
        <w:t>International Journal of Science, Technology &amp; Management</w:t>
      </w:r>
      <w:r>
        <w:rPr>
          <w:highlight w:val="white"/>
        </w:rPr>
        <w:t>, </w:t>
      </w:r>
      <w:r>
        <w:rPr>
          <w:i/>
          <w:highlight w:val="white"/>
        </w:rPr>
        <w:t>3</w:t>
      </w:r>
      <w:r>
        <w:rPr>
          <w:highlight w:val="white"/>
        </w:rPr>
        <w:t>(1), pp.134-143.</w:t>
      </w:r>
    </w:p>
    <w:p w:rsidR="009B5502" w:rsidRDefault="00DA7B14">
      <w:pPr>
        <w:rPr>
          <w:highlight w:val="white"/>
        </w:rPr>
      </w:pPr>
      <w:r>
        <w:rPr>
          <w:highlight w:val="white"/>
        </w:rPr>
        <w:t>Farida, I. and Setiawan, D., (2022). Business strategies and competitive advantage: the role of performance and innovation. </w:t>
      </w:r>
      <w:r>
        <w:rPr>
          <w:i/>
          <w:highlight w:val="white"/>
        </w:rPr>
        <w:t>Journal of Open Innovation: Technology, Market, and Complexity</w:t>
      </w:r>
      <w:r>
        <w:rPr>
          <w:highlight w:val="white"/>
        </w:rPr>
        <w:t>, </w:t>
      </w:r>
      <w:r>
        <w:rPr>
          <w:i/>
          <w:highlight w:val="white"/>
        </w:rPr>
        <w:t>8</w:t>
      </w:r>
      <w:r>
        <w:rPr>
          <w:highlight w:val="white"/>
        </w:rPr>
        <w:t>(3), p.163.</w:t>
      </w:r>
    </w:p>
    <w:p w:rsidR="009B5502" w:rsidRDefault="00DA7B14">
      <w:pPr>
        <w:rPr>
          <w:highlight w:val="white"/>
        </w:rPr>
      </w:pPr>
      <w:r>
        <w:rPr>
          <w:highlight w:val="white"/>
        </w:rPr>
        <w:t>Fuertes, G., Alfaro, M., Vargas, M., Gutierrez, S., Ternero, R. and Sabattin, J., (2020). Conceptual framework for the strategic management: a literature review—descriptive. </w:t>
      </w:r>
      <w:r>
        <w:rPr>
          <w:i/>
          <w:highlight w:val="white"/>
        </w:rPr>
        <w:t>Journal of engineering</w:t>
      </w:r>
      <w:r>
        <w:rPr>
          <w:highlight w:val="white"/>
        </w:rPr>
        <w:t>, </w:t>
      </w:r>
      <w:r>
        <w:rPr>
          <w:i/>
          <w:highlight w:val="white"/>
        </w:rPr>
        <w:t>2020</w:t>
      </w:r>
      <w:r>
        <w:rPr>
          <w:highlight w:val="white"/>
        </w:rPr>
        <w:t>(1), p.6253013.</w:t>
      </w:r>
    </w:p>
    <w:p w:rsidR="009B5502" w:rsidRDefault="00DA7B14">
      <w:pPr>
        <w:rPr>
          <w:highlight w:val="white"/>
        </w:rPr>
      </w:pPr>
      <w:r>
        <w:rPr>
          <w:highlight w:val="white"/>
        </w:rPr>
        <w:t>Hartani, N.H., Haron, N. and Tajuddin, N.I.I., (2021). The impact of strategic alignment on the sustainable competitive advantages: Mediating role of it implementation success and it managerial resource. </w:t>
      </w:r>
      <w:r>
        <w:rPr>
          <w:i/>
          <w:highlight w:val="white"/>
        </w:rPr>
        <w:t>International Journal of eBusiness and eGovernment Studies</w:t>
      </w:r>
      <w:r>
        <w:rPr>
          <w:highlight w:val="white"/>
        </w:rPr>
        <w:t>, </w:t>
      </w:r>
      <w:r>
        <w:rPr>
          <w:i/>
          <w:highlight w:val="white"/>
        </w:rPr>
        <w:t>13</w:t>
      </w:r>
      <w:r>
        <w:rPr>
          <w:highlight w:val="white"/>
        </w:rPr>
        <w:t>(1), pp.78-96.</w:t>
      </w:r>
    </w:p>
    <w:p w:rsidR="009B5502" w:rsidRDefault="00DA7B14">
      <w:pPr>
        <w:rPr>
          <w:highlight w:val="white"/>
        </w:rPr>
      </w:pPr>
      <w:r>
        <w:rPr>
          <w:highlight w:val="white"/>
        </w:rPr>
        <w:t>Hellvig, J. and Nobre, F.S.M., (2024). Organizing capabilities and performance in the scope of business sustainability. </w:t>
      </w:r>
      <w:r>
        <w:rPr>
          <w:i/>
          <w:highlight w:val="white"/>
        </w:rPr>
        <w:t>RAM. Revista de Administração Mackenzie</w:t>
      </w:r>
      <w:r>
        <w:rPr>
          <w:highlight w:val="white"/>
        </w:rPr>
        <w:t>, </w:t>
      </w:r>
      <w:r>
        <w:rPr>
          <w:i/>
          <w:highlight w:val="white"/>
        </w:rPr>
        <w:t>25</w:t>
      </w:r>
      <w:r>
        <w:rPr>
          <w:highlight w:val="white"/>
        </w:rPr>
        <w:t>, p.eRAMC240126.</w:t>
      </w:r>
    </w:p>
    <w:p w:rsidR="009B5502" w:rsidRDefault="00DA7B14">
      <w:pPr>
        <w:rPr>
          <w:highlight w:val="white"/>
        </w:rPr>
      </w:pPr>
      <w:r>
        <w:rPr>
          <w:highlight w:val="white"/>
        </w:rPr>
        <w:t>Hermundsdottir, F. and Aspelund, A., (2021). Sustainability innovations and firm competitiveness: A review. </w:t>
      </w:r>
      <w:r>
        <w:rPr>
          <w:i/>
          <w:highlight w:val="white"/>
        </w:rPr>
        <w:t>Journal of Cleaner Production</w:t>
      </w:r>
      <w:r>
        <w:rPr>
          <w:highlight w:val="white"/>
        </w:rPr>
        <w:t>, </w:t>
      </w:r>
      <w:r>
        <w:rPr>
          <w:i/>
          <w:highlight w:val="white"/>
        </w:rPr>
        <w:t>280</w:t>
      </w:r>
      <w:r>
        <w:rPr>
          <w:highlight w:val="white"/>
        </w:rPr>
        <w:t>, p.124715.</w:t>
      </w:r>
    </w:p>
    <w:p w:rsidR="009B5502" w:rsidRDefault="00DA7B14">
      <w:pPr>
        <w:rPr>
          <w:highlight w:val="white"/>
        </w:rPr>
      </w:pPr>
      <w:r>
        <w:rPr>
          <w:highlight w:val="white"/>
        </w:rPr>
        <w:t>Jacobs, J. and Pretorius, M.W., (2020). The major challenges facing organisations to create technology-enabled value in the fourth industrial revolution: a dynamic capabilities perspective in South Africa. </w:t>
      </w:r>
      <w:r>
        <w:rPr>
          <w:i/>
          <w:highlight w:val="white"/>
        </w:rPr>
        <w:t>South African Journal of Industrial Engineering</w:t>
      </w:r>
      <w:r>
        <w:rPr>
          <w:highlight w:val="white"/>
        </w:rPr>
        <w:t>, </w:t>
      </w:r>
      <w:r>
        <w:rPr>
          <w:i/>
          <w:highlight w:val="white"/>
        </w:rPr>
        <w:t>31</w:t>
      </w:r>
      <w:r>
        <w:rPr>
          <w:highlight w:val="white"/>
        </w:rPr>
        <w:t>(2), pp.40-61.</w:t>
      </w:r>
    </w:p>
    <w:p w:rsidR="009B5502" w:rsidRDefault="00DA7B14">
      <w:pPr>
        <w:rPr>
          <w:highlight w:val="white"/>
        </w:rPr>
      </w:pPr>
      <w:r>
        <w:rPr>
          <w:highlight w:val="white"/>
        </w:rPr>
        <w:t>Keskin, H., Ayar Şentürk, H., Tatoglu, E., Gölgeci, I., Kalaycioglu, O. and Etlioglu, H.T., (2021). The simultaneous effect of firm capabilities and competitive strategies on export performance: the role of competitive advantages and competitive intensity. </w:t>
      </w:r>
      <w:r>
        <w:rPr>
          <w:i/>
          <w:highlight w:val="white"/>
        </w:rPr>
        <w:t>International Marketing Review</w:t>
      </w:r>
      <w:r>
        <w:rPr>
          <w:highlight w:val="white"/>
        </w:rPr>
        <w:t>, </w:t>
      </w:r>
      <w:r>
        <w:rPr>
          <w:i/>
          <w:highlight w:val="white"/>
        </w:rPr>
        <w:t>38</w:t>
      </w:r>
      <w:r>
        <w:rPr>
          <w:highlight w:val="white"/>
        </w:rPr>
        <w:t>(6), pp.1242-1266.</w:t>
      </w:r>
    </w:p>
    <w:p w:rsidR="009B5502" w:rsidRDefault="00DA7B14">
      <w:pPr>
        <w:rPr>
          <w:highlight w:val="white"/>
        </w:rPr>
      </w:pPr>
      <w:r>
        <w:rPr>
          <w:highlight w:val="white"/>
        </w:rPr>
        <w:t>Kristoffersen, E., Blomsma, F., Mikalef, P. and Li, J., (2020). The smart circular economy: A digital-enabled circular strategies framework for manufacturing companies. </w:t>
      </w:r>
      <w:r>
        <w:rPr>
          <w:i/>
          <w:highlight w:val="white"/>
        </w:rPr>
        <w:t>Journal of business research</w:t>
      </w:r>
      <w:r>
        <w:rPr>
          <w:highlight w:val="white"/>
        </w:rPr>
        <w:t>, </w:t>
      </w:r>
      <w:r>
        <w:rPr>
          <w:i/>
          <w:highlight w:val="white"/>
        </w:rPr>
        <w:t>120</w:t>
      </w:r>
      <w:r>
        <w:rPr>
          <w:highlight w:val="white"/>
        </w:rPr>
        <w:t>, pp.241-261.</w:t>
      </w:r>
    </w:p>
    <w:p w:rsidR="009B5502" w:rsidRDefault="00DA7B14">
      <w:pPr>
        <w:rPr>
          <w:highlight w:val="white"/>
        </w:rPr>
      </w:pPr>
      <w:r>
        <w:rPr>
          <w:highlight w:val="white"/>
        </w:rPr>
        <w:t>Menz, M., Kunisch, S., Birkinshaw, J., Collis, D.J., Foss, N.J., Hoskisson, R.E. and Prescott, J.E., (2021). Corporate Strategy and the Theory of the Firm in the Digital Age. </w:t>
      </w:r>
      <w:r>
        <w:rPr>
          <w:i/>
          <w:highlight w:val="white"/>
        </w:rPr>
        <w:t>Journal of Management Studies</w:t>
      </w:r>
      <w:r>
        <w:rPr>
          <w:highlight w:val="white"/>
        </w:rPr>
        <w:t>, </w:t>
      </w:r>
      <w:r>
        <w:rPr>
          <w:i/>
          <w:highlight w:val="white"/>
        </w:rPr>
        <w:t>58</w:t>
      </w:r>
      <w:r>
        <w:rPr>
          <w:highlight w:val="white"/>
        </w:rPr>
        <w:t>(7), pp.1695-1720.</w:t>
      </w:r>
    </w:p>
    <w:p w:rsidR="009B5502" w:rsidRDefault="00DA7B14">
      <w:r>
        <w:rPr>
          <w:highlight w:val="white"/>
        </w:rPr>
        <w:t>Padilla-Lozano, C.P. and Collazzo, P., (2022). Corporate social responsibility, green innovation and competitiveness–causality in manufacturing. </w:t>
      </w:r>
      <w:r>
        <w:rPr>
          <w:i/>
          <w:highlight w:val="white"/>
        </w:rPr>
        <w:t>Competitiveness Review: An International Business Journal</w:t>
      </w:r>
      <w:r>
        <w:rPr>
          <w:highlight w:val="white"/>
        </w:rPr>
        <w:t>, </w:t>
      </w:r>
      <w:r>
        <w:rPr>
          <w:i/>
          <w:highlight w:val="white"/>
        </w:rPr>
        <w:t>32</w:t>
      </w:r>
      <w:r>
        <w:rPr>
          <w:highlight w:val="white"/>
        </w:rPr>
        <w:t>(7), pp.21-39.</w:t>
      </w:r>
    </w:p>
    <w:p w:rsidR="009B5502" w:rsidRDefault="00DA7B14">
      <w:pPr>
        <w:rPr>
          <w:highlight w:val="white"/>
        </w:rPr>
      </w:pPr>
      <w:r>
        <w:rPr>
          <w:highlight w:val="white"/>
        </w:rPr>
        <w:t>Shams, R., Vrontis, D., Belyaeva, Z., Ferraris, A. and Czinkota, M.R., (2021). Strategic agility in international business: A conceptual framework for “agile” multinationals. </w:t>
      </w:r>
      <w:r>
        <w:rPr>
          <w:i/>
          <w:highlight w:val="white"/>
        </w:rPr>
        <w:t>Journal of International Management</w:t>
      </w:r>
      <w:r>
        <w:rPr>
          <w:highlight w:val="white"/>
        </w:rPr>
        <w:t>, </w:t>
      </w:r>
      <w:r>
        <w:rPr>
          <w:i/>
          <w:highlight w:val="white"/>
        </w:rPr>
        <w:t>27</w:t>
      </w:r>
      <w:r>
        <w:rPr>
          <w:highlight w:val="white"/>
        </w:rPr>
        <w:t>(1), p.100737.</w:t>
      </w:r>
    </w:p>
    <w:p w:rsidR="009B5502" w:rsidRDefault="00DA7B14">
      <w:pPr>
        <w:rPr>
          <w:highlight w:val="white"/>
        </w:rPr>
      </w:pPr>
      <w:r>
        <w:rPr>
          <w:highlight w:val="white"/>
        </w:rPr>
        <w:t>Sheehy, B. and Farneti, F., (2021). Corporate social responsibility, sustainability, sustainable development and corporate sustainability: What is the difference, and does it matter?. </w:t>
      </w:r>
      <w:r>
        <w:rPr>
          <w:i/>
          <w:highlight w:val="white"/>
        </w:rPr>
        <w:t>Sustainability</w:t>
      </w:r>
      <w:r>
        <w:rPr>
          <w:highlight w:val="white"/>
        </w:rPr>
        <w:t>, </w:t>
      </w:r>
      <w:r>
        <w:rPr>
          <w:i/>
          <w:highlight w:val="white"/>
        </w:rPr>
        <w:t>13</w:t>
      </w:r>
      <w:r>
        <w:rPr>
          <w:highlight w:val="white"/>
        </w:rPr>
        <w:t>(11), p.5965.</w:t>
      </w:r>
    </w:p>
    <w:p w:rsidR="009B5502" w:rsidRDefault="00DA7B14">
      <w:pPr>
        <w:spacing w:after="160" w:line="259" w:lineRule="auto"/>
        <w:jc w:val="left"/>
        <w:rPr>
          <w:b/>
          <w:sz w:val="28"/>
          <w:szCs w:val="28"/>
          <w:highlight w:val="white"/>
        </w:rPr>
      </w:pPr>
      <w:r>
        <w:br w:type="page"/>
      </w:r>
    </w:p>
    <w:p w:rsidR="009B5502" w:rsidRDefault="00DA7B14">
      <w:pPr>
        <w:pStyle w:val="Titlu1"/>
      </w:pPr>
      <w:bookmarkStart w:id="17" w:name="_heading=h.26in1rg" w:colFirst="0" w:colLast="0"/>
      <w:bookmarkEnd w:id="17"/>
      <w:r>
        <w:t>Appendix-1  SWOT of Barclays Plc</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9B5502">
        <w:tc>
          <w:tcPr>
            <w:tcW w:w="4508" w:type="dxa"/>
          </w:tcPr>
          <w:p w:rsidR="009B5502" w:rsidRDefault="00DA7B14">
            <w:pPr>
              <w:rPr>
                <w:b/>
              </w:rPr>
            </w:pPr>
            <w:r>
              <w:rPr>
                <w:b/>
              </w:rPr>
              <w:t xml:space="preserve">Strengths </w:t>
            </w:r>
          </w:p>
        </w:tc>
        <w:tc>
          <w:tcPr>
            <w:tcW w:w="4508" w:type="dxa"/>
          </w:tcPr>
          <w:p w:rsidR="009B5502" w:rsidRDefault="00DA7B14">
            <w:pPr>
              <w:rPr>
                <w:b/>
              </w:rPr>
            </w:pPr>
            <w:r>
              <w:rPr>
                <w:b/>
              </w:rPr>
              <w:t>Weaknesses</w:t>
            </w:r>
          </w:p>
        </w:tc>
      </w:tr>
      <w:tr w:rsidR="009B5502">
        <w:tc>
          <w:tcPr>
            <w:tcW w:w="4508" w:type="dxa"/>
          </w:tcPr>
          <w:p w:rsidR="009B5502" w:rsidRDefault="00DA7B14">
            <w:r>
              <w:t xml:space="preserve">1. </w:t>
            </w:r>
            <w:r>
              <w:rPr>
                <w:b/>
              </w:rPr>
              <w:t>Strong Brand and Market Position:</w:t>
            </w:r>
            <w:r>
              <w:t xml:space="preserve"> Barclays Plc is a main UK banking corporation with a global footprint.</w:t>
            </w:r>
          </w:p>
          <w:p w:rsidR="009B5502" w:rsidRDefault="00DA7B14">
            <w:r>
              <w:t xml:space="preserve">2. </w:t>
            </w:r>
            <w:r>
              <w:rPr>
                <w:b/>
              </w:rPr>
              <w:t>Diverse Product Portfolio:</w:t>
            </w:r>
            <w:r>
              <w:t xml:space="preserve"> The firm provides a broad sort of financial services and products to diverse client classes.</w:t>
            </w:r>
          </w:p>
          <w:p w:rsidR="009B5502" w:rsidRDefault="00DA7B14">
            <w:r>
              <w:t xml:space="preserve">3. </w:t>
            </w:r>
            <w:r>
              <w:rPr>
                <w:b/>
              </w:rPr>
              <w:t>Robust Technology Infrastructure:</w:t>
            </w:r>
            <w:r>
              <w:t xml:space="preserve"> Investment in virtual banking and fintech technology has stepped forward the purchaser revel in and operational performance.</w:t>
            </w:r>
          </w:p>
        </w:tc>
        <w:tc>
          <w:tcPr>
            <w:tcW w:w="4508" w:type="dxa"/>
          </w:tcPr>
          <w:p w:rsidR="009B5502" w:rsidRDefault="00DA7B14">
            <w:r>
              <w:t xml:space="preserve">1. </w:t>
            </w:r>
            <w:r>
              <w:rPr>
                <w:b/>
              </w:rPr>
              <w:t>Legal and Regulatory Challenges:</w:t>
            </w:r>
            <w:r>
              <w:t xml:space="preserve"> Legal and regulatory concerns have hampered the employer's photo and led to hefty consequences.</w:t>
            </w:r>
          </w:p>
          <w:p w:rsidR="009B5502" w:rsidRDefault="00DA7B14">
            <w:r>
              <w:t xml:space="preserve">2. </w:t>
            </w:r>
            <w:r>
              <w:rPr>
                <w:b/>
              </w:rPr>
              <w:t>High operational prices:</w:t>
            </w:r>
            <w:r>
              <w:t xml:space="preserve"> Barclays' strolling expenses are pretty high, which would possibly have a power on profitability.</w:t>
            </w:r>
          </w:p>
          <w:p w:rsidR="009B5502" w:rsidRDefault="009B5502"/>
        </w:tc>
      </w:tr>
      <w:tr w:rsidR="009B5502">
        <w:tc>
          <w:tcPr>
            <w:tcW w:w="4508" w:type="dxa"/>
          </w:tcPr>
          <w:p w:rsidR="009B5502" w:rsidRDefault="00DA7B14">
            <w:pPr>
              <w:rPr>
                <w:b/>
              </w:rPr>
            </w:pPr>
            <w:r>
              <w:rPr>
                <w:b/>
              </w:rPr>
              <w:t xml:space="preserve">Opportunities </w:t>
            </w:r>
          </w:p>
        </w:tc>
        <w:tc>
          <w:tcPr>
            <w:tcW w:w="4508" w:type="dxa"/>
          </w:tcPr>
          <w:p w:rsidR="009B5502" w:rsidRDefault="00DA7B14">
            <w:pPr>
              <w:rPr>
                <w:b/>
              </w:rPr>
            </w:pPr>
            <w:r>
              <w:rPr>
                <w:b/>
              </w:rPr>
              <w:t xml:space="preserve">Threats </w:t>
            </w:r>
          </w:p>
        </w:tc>
      </w:tr>
      <w:tr w:rsidR="009B5502">
        <w:tc>
          <w:tcPr>
            <w:tcW w:w="4508" w:type="dxa"/>
          </w:tcPr>
          <w:p w:rsidR="009B5502" w:rsidRDefault="00DA7B14">
            <w:r>
              <w:t xml:space="preserve">1. </w:t>
            </w:r>
            <w:r>
              <w:rPr>
                <w:b/>
              </w:rPr>
              <w:t>Digital Transformation:</w:t>
            </w:r>
            <w:r>
              <w:t xml:space="preserve"> Continued funding in digital banking and fintech might also appeal to tech-savvy clients whilst improving operational efficiency.</w:t>
            </w:r>
          </w:p>
          <w:p w:rsidR="009B5502" w:rsidRDefault="00DA7B14">
            <w:r>
              <w:t xml:space="preserve">2. </w:t>
            </w:r>
            <w:r>
              <w:rPr>
                <w:b/>
              </w:rPr>
              <w:t>Expansion into Emerging Markets:</w:t>
            </w:r>
            <w:r>
              <w:t xml:space="preserve"> Increased presence in emerging markets gives prospects for revenue improvement.</w:t>
            </w:r>
          </w:p>
          <w:p w:rsidR="009B5502" w:rsidRDefault="00DA7B14">
            <w:r>
              <w:t xml:space="preserve">3. </w:t>
            </w:r>
            <w:r>
              <w:rPr>
                <w:b/>
              </w:rPr>
              <w:t>Sustainability efforts:</w:t>
            </w:r>
            <w:r>
              <w:t xml:space="preserve"> Emphasising sustainable finance and green efforts may also increase emblem picture while meeting converting regulatory standards.</w:t>
            </w:r>
          </w:p>
        </w:tc>
        <w:tc>
          <w:tcPr>
            <w:tcW w:w="4508" w:type="dxa"/>
          </w:tcPr>
          <w:p w:rsidR="009B5502" w:rsidRDefault="00DA7B14">
            <w:r>
              <w:t xml:space="preserve">1. </w:t>
            </w:r>
            <w:r>
              <w:rPr>
                <w:b/>
              </w:rPr>
              <w:t>Economic Uncertainty:</w:t>
            </w:r>
            <w:r>
              <w:t xml:space="preserve"> Global economic fluctuations, consisting of Brexit-associated ramifications and geopolitical tensions, may have a power on Barclays' performance.</w:t>
            </w:r>
          </w:p>
          <w:p w:rsidR="009B5502" w:rsidRDefault="00DA7B14">
            <w:r>
              <w:t xml:space="preserve">2. </w:t>
            </w:r>
            <w:r>
              <w:rPr>
                <w:b/>
              </w:rPr>
              <w:t>Intense Competition:</w:t>
            </w:r>
            <w:r>
              <w:t xml:space="preserve"> Intense opposition exists within the economic industry, with engaged to the banks and fintech companies competing for marketplace percentage.</w:t>
            </w:r>
          </w:p>
        </w:tc>
      </w:tr>
    </w:tbl>
    <w:p w:rsidR="009B5502" w:rsidRDefault="009B5502"/>
    <w:p w:rsidR="009B5502" w:rsidRDefault="00DA7B14">
      <w:pPr>
        <w:pStyle w:val="Titlu2"/>
      </w:pPr>
      <w:bookmarkStart w:id="18" w:name="_heading=h.i18ubhlz63h6" w:colFirst="0" w:colLast="0"/>
      <w:bookmarkEnd w:id="18"/>
      <w:r>
        <w:br w:type="page"/>
      </w:r>
    </w:p>
    <w:p w:rsidR="009B5502" w:rsidRDefault="00DA7B14">
      <w:pPr>
        <w:pStyle w:val="Titlu1"/>
      </w:pPr>
      <w:bookmarkStart w:id="19" w:name="_heading=h.35nkun2" w:colFirst="0" w:colLast="0"/>
      <w:bookmarkEnd w:id="19"/>
      <w:r>
        <w:rPr>
          <w:szCs w:val="28"/>
          <w:highlight w:val="white"/>
        </w:rPr>
        <w:t xml:space="preserve">Appendix-2 </w:t>
      </w:r>
      <w:r>
        <w:t>PESTEL Anlaysis of Banking sector of the UK</w:t>
      </w:r>
    </w:p>
    <w:p w:rsidR="009B5502" w:rsidRDefault="00DA7B14">
      <w:pPr>
        <w:rPr>
          <w:b/>
          <w:i/>
        </w:rPr>
      </w:pPr>
      <w:r>
        <w:rPr>
          <w:b/>
          <w:i/>
        </w:rPr>
        <w:t>Political factor:</w:t>
      </w:r>
    </w:p>
    <w:p w:rsidR="009B5502" w:rsidRDefault="00DA7B14">
      <w:r>
        <w:t>The UK's strict regulatory shape, overseen by using the Financial Conduct Authority (FCA) and Prudential Regulation Authority (PRA), promotes balance and customer safety, but increases compliance costs, generating a destructive situation. Political uncertainty after Brexit have resulted in feasible market access difficulties in addition to operational barriers for banks, each of which can be poor.</w:t>
      </w:r>
    </w:p>
    <w:p w:rsidR="009B5502" w:rsidRDefault="00DA7B14">
      <w:pPr>
        <w:rPr>
          <w:b/>
          <w:i/>
        </w:rPr>
      </w:pPr>
      <w:r>
        <w:rPr>
          <w:b/>
          <w:i/>
        </w:rPr>
        <w:t>Economic factor:</w:t>
      </w:r>
    </w:p>
    <w:p w:rsidR="009B5502" w:rsidRDefault="00DA7B14">
      <w:r>
        <w:t>Strong financial improvement in the UK can also increase lending and investment, benefiting the banking industry. However, low interest prices may additionally lessen net interest margins, which is damaging to profitability.</w:t>
      </w:r>
    </w:p>
    <w:p w:rsidR="009B5502" w:rsidRDefault="00DA7B14">
      <w:pPr>
        <w:rPr>
          <w:b/>
          <w:i/>
        </w:rPr>
      </w:pPr>
      <w:r>
        <w:rPr>
          <w:b/>
          <w:i/>
        </w:rPr>
        <w:t>Social factor:</w:t>
      </w:r>
    </w:p>
    <w:p w:rsidR="009B5502" w:rsidRDefault="00DA7B14">
      <w:r>
        <w:t>Increasing customer demand virtual banking offerings and monetary inclusion creates possibilities for banks to innovate and growth their customer base. However, an elderly populace can also need more conventional banking services, posing an adverse impediment to digital transition.</w:t>
      </w:r>
    </w:p>
    <w:p w:rsidR="009B5502" w:rsidRDefault="00DA7B14">
      <w:pPr>
        <w:rPr>
          <w:b/>
          <w:i/>
        </w:rPr>
      </w:pPr>
      <w:r>
        <w:rPr>
          <w:b/>
          <w:i/>
        </w:rPr>
        <w:t>Technological factor:</w:t>
      </w:r>
    </w:p>
    <w:p w:rsidR="009B5502" w:rsidRDefault="00DA7B14">
      <w:r>
        <w:t>Rapid improvements in financial era (fintech) might also improve consumer studies and operational performance, supplying a useful environment. Conversely, the quick velocity of technological development necessitates main funding and model, which may be difficult and disadvantageous.</w:t>
      </w:r>
    </w:p>
    <w:p w:rsidR="009B5502" w:rsidRDefault="00DA7B14">
      <w:pPr>
        <w:rPr>
          <w:b/>
          <w:i/>
        </w:rPr>
      </w:pPr>
      <w:r>
        <w:rPr>
          <w:b/>
          <w:i/>
        </w:rPr>
        <w:t>Environmental factor:</w:t>
      </w:r>
    </w:p>
    <w:p w:rsidR="009B5502" w:rsidRDefault="00DA7B14">
      <w:r>
        <w:t>Banks are an increasing number of imposing green financing programmes to enhance their image and recruit environmentally sensitive clients, that is an excellent development. However, transitioning to sustainable methods may be expensive and difficult, which is an adverse aspect.</w:t>
      </w:r>
    </w:p>
    <w:p w:rsidR="009B5502" w:rsidRDefault="00DA7B14">
      <w:pPr>
        <w:rPr>
          <w:b/>
          <w:i/>
        </w:rPr>
      </w:pPr>
      <w:r>
        <w:rPr>
          <w:b/>
          <w:i/>
        </w:rPr>
        <w:t>Legal factor:</w:t>
      </w:r>
    </w:p>
    <w:p w:rsidR="009B5502" w:rsidRDefault="00DA7B14">
      <w:r>
        <w:t>The UK banking industry ought to comply with several regulatory obligations which includes anti-money laundering and facts safety regulations. Compliance with these legal guidelines keeps operational integrity and client self-belief, that is advantageous. However, compliance can be tough and expensive.</w:t>
      </w:r>
    </w:p>
    <w:p w:rsidR="009B5502" w:rsidRDefault="00DA7B14">
      <w:pPr>
        <w:pStyle w:val="Titlu2"/>
      </w:pPr>
      <w:bookmarkStart w:id="20" w:name="_heading=h.grx0ps1sgkm" w:colFirst="0" w:colLast="0"/>
      <w:bookmarkEnd w:id="20"/>
      <w:r>
        <w:br w:type="page"/>
      </w:r>
    </w:p>
    <w:p w:rsidR="009B5502" w:rsidRDefault="00DA7B14">
      <w:pPr>
        <w:pStyle w:val="Titlu1"/>
      </w:pPr>
      <w:bookmarkStart w:id="21" w:name="_heading=h.1ksv4uv" w:colFirst="0" w:colLast="0"/>
      <w:bookmarkEnd w:id="21"/>
      <w:r>
        <w:rPr>
          <w:szCs w:val="28"/>
          <w:highlight w:val="white"/>
        </w:rPr>
        <w:t xml:space="preserve">Appendix-3 </w:t>
      </w:r>
      <w:r>
        <w:t>Industry Five Forces Models of Barclays Plc</w:t>
      </w:r>
    </w:p>
    <w:p w:rsidR="009B5502" w:rsidRDefault="00DA7B14">
      <w:r>
        <w:rPr>
          <w:b/>
          <w:i/>
        </w:rPr>
        <w:t>Threat of New Entrants:</w:t>
      </w:r>
      <w:r>
        <w:t xml:space="preserve"> The banking sector's significant capital necessities, high regulatory requirements, and engaged to brand loyalty make it tough for brand spanking new entrants to compete, lessening Barclays' hazard. However, finance companies that use current technology constitute a modest risk.</w:t>
      </w:r>
    </w:p>
    <w:p w:rsidR="009B5502" w:rsidRDefault="00DA7B14">
      <w:r>
        <w:rPr>
          <w:b/>
          <w:i/>
        </w:rPr>
        <w:t>Supplier Bargaining Power:</w:t>
      </w:r>
      <w:r>
        <w:t xml:space="preserve"> The banking industry's number one assets of capital are regulatory government and generation carriers. Barclays' huge length and diverse companies reduce reliance on a single dealer, reducing their negotiating electricity.</w:t>
      </w:r>
    </w:p>
    <w:p w:rsidR="009B5502" w:rsidRDefault="00DA7B14">
      <w:r>
        <w:rPr>
          <w:b/>
          <w:i/>
        </w:rPr>
        <w:t>Customers' negotiating Power:</w:t>
      </w:r>
      <w:r>
        <w:t xml:space="preserve"> Customers expect competitive interest prices, personalised services, and new digital solutions which strengthens their negotiating position. While shifting banks might be bulky, the abundance of alternatives enhances this power.</w:t>
      </w:r>
    </w:p>
    <w:p w:rsidR="009B5502" w:rsidRDefault="00DA7B14">
      <w:r>
        <w:rPr>
          <w:b/>
          <w:i/>
        </w:rPr>
        <w:t>Threat of Substitutes:</w:t>
      </w:r>
      <w:r>
        <w:t xml:space="preserve"> The emergence of fintech businesses and alternative monetary offerings, which include peer-to-peer lending and cryptocurrencies, presents clients with alternatives, developing a minor risk to traditional banking services provided through Barclays.</w:t>
      </w:r>
    </w:p>
    <w:p w:rsidR="009B5502" w:rsidRDefault="00DA7B14">
      <w:r>
        <w:rPr>
          <w:b/>
          <w:i/>
        </w:rPr>
        <w:t>Industry Rivalry:</w:t>
      </w:r>
      <w:r>
        <w:t xml:space="preserve"> The UK banking commercial enterprise is extraordinarily competitive, with huge competitors like HSBC, Lloyds, and RBS competing for market proportion. In order to preserve a competitive advantage within the face of such fierce opposition, Barclays must constantly innovate and enhance its offers.</w:t>
      </w:r>
    </w:p>
    <w:p w:rsidR="009B5502" w:rsidRDefault="009B5502"/>
    <w:p w:rsidR="009B5502" w:rsidRDefault="009B5502"/>
    <w:p w:rsidR="009B5502" w:rsidRDefault="009B5502"/>
    <w:p w:rsidR="009B5502" w:rsidRDefault="009B5502"/>
    <w:sectPr w:rsidR="009B5502">
      <w:headerReference w:type="default" r:id="rId14"/>
      <w:footerReference w:type="default" r:id="rId15"/>
      <w:pgSz w:w="11906" w:h="16838"/>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A7B14" w:rsidRDefault="00DA7B14">
      <w:pPr>
        <w:spacing w:line="240" w:lineRule="auto"/>
      </w:pPr>
      <w:r>
        <w:separator/>
      </w:r>
    </w:p>
  </w:endnote>
  <w:endnote w:type="continuationSeparator" w:id="0">
    <w:p w:rsidR="00DA7B14" w:rsidRDefault="00DA7B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9B5502" w:rsidRDefault="00DA7B14">
    <w:pPr>
      <w:pBdr>
        <w:top w:val="nil"/>
        <w:left w:val="nil"/>
        <w:bottom w:val="nil"/>
        <w:right w:val="nil"/>
        <w:between w:val="nil"/>
      </w:pBdr>
      <w:tabs>
        <w:tab w:val="center" w:pos="4513"/>
        <w:tab w:val="right" w:pos="9026"/>
      </w:tabs>
      <w:spacing w:line="240" w:lineRule="auto"/>
      <w:jc w:val="right"/>
      <w:rPr>
        <w:rFonts w:cs="Times New Roman"/>
        <w:color w:val="000000"/>
      </w:rPr>
    </w:pPr>
    <w:r>
      <w:rPr>
        <w:rFonts w:cs="Times New Roman"/>
        <w:color w:val="000000"/>
      </w:rPr>
      <w:t xml:space="preserve">Page </w:t>
    </w:r>
    <w:r>
      <w:rPr>
        <w:rFonts w:cs="Times New Roman"/>
        <w:b/>
        <w:color w:val="000000"/>
      </w:rPr>
      <w:fldChar w:fldCharType="begin"/>
    </w:r>
    <w:r>
      <w:rPr>
        <w:rFonts w:cs="Times New Roman"/>
        <w:b/>
        <w:color w:val="000000"/>
      </w:rPr>
      <w:instrText>PAGE</w:instrText>
    </w:r>
    <w:r>
      <w:rPr>
        <w:rFonts w:cs="Times New Roman"/>
        <w:b/>
        <w:color w:val="000000"/>
      </w:rPr>
      <w:fldChar w:fldCharType="separate"/>
    </w:r>
    <w:r w:rsidR="00DA4A24">
      <w:rPr>
        <w:rFonts w:cs="Times New Roman"/>
        <w:b/>
        <w:noProof/>
        <w:color w:val="000000"/>
      </w:rPr>
      <w:t>2</w:t>
    </w:r>
    <w:r>
      <w:rPr>
        <w:rFonts w:cs="Times New Roman"/>
        <w:b/>
        <w:color w:val="000000"/>
      </w:rPr>
      <w:fldChar w:fldCharType="end"/>
    </w:r>
    <w:r>
      <w:rPr>
        <w:rFonts w:cs="Times New Roman"/>
        <w:color w:val="000000"/>
      </w:rPr>
      <w:t xml:space="preserve"> of </w:t>
    </w:r>
    <w:r>
      <w:rPr>
        <w:rFonts w:cs="Times New Roman"/>
        <w:b/>
        <w:color w:val="000000"/>
      </w:rPr>
      <w:fldChar w:fldCharType="begin"/>
    </w:r>
    <w:r>
      <w:rPr>
        <w:rFonts w:cs="Times New Roman"/>
        <w:b/>
        <w:color w:val="000000"/>
      </w:rPr>
      <w:instrText>NUMPAGES</w:instrText>
    </w:r>
    <w:r>
      <w:rPr>
        <w:rFonts w:cs="Times New Roman"/>
        <w:b/>
        <w:color w:val="000000"/>
      </w:rPr>
      <w:fldChar w:fldCharType="separate"/>
    </w:r>
    <w:r w:rsidR="00DA4A24">
      <w:rPr>
        <w:rFonts w:cs="Times New Roman"/>
        <w:b/>
        <w:noProof/>
        <w:color w:val="000000"/>
      </w:rPr>
      <w:t>3</w:t>
    </w:r>
    <w:r>
      <w:rPr>
        <w:rFonts w:cs="Times New Roman"/>
        <w:b/>
        <w:color w:val="000000"/>
      </w:rPr>
      <w:fldChar w:fldCharType="end"/>
    </w:r>
  </w:p>
  <w:p w:rsidR="009B5502" w:rsidRDefault="009B5502">
    <w:pPr>
      <w:pBdr>
        <w:top w:val="nil"/>
        <w:left w:val="nil"/>
        <w:bottom w:val="nil"/>
        <w:right w:val="nil"/>
        <w:between w:val="nil"/>
      </w:pBdr>
      <w:tabs>
        <w:tab w:val="center" w:pos="4513"/>
        <w:tab w:val="right" w:pos="9026"/>
      </w:tabs>
      <w:spacing w:line="240" w:lineRule="auto"/>
      <w:rPr>
        <w:rFonts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A7B14" w:rsidRDefault="00DA7B14">
      <w:pPr>
        <w:spacing w:line="240" w:lineRule="auto"/>
      </w:pPr>
      <w:r>
        <w:separator/>
      </w:r>
    </w:p>
  </w:footnote>
  <w:footnote w:type="continuationSeparator" w:id="0">
    <w:p w:rsidR="00DA7B14" w:rsidRDefault="00DA7B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9B5502" w:rsidRDefault="00DA7B14">
    <w:pPr>
      <w:pBdr>
        <w:top w:val="nil"/>
        <w:left w:val="nil"/>
        <w:bottom w:val="nil"/>
        <w:right w:val="nil"/>
        <w:between w:val="nil"/>
      </w:pBdr>
      <w:tabs>
        <w:tab w:val="center" w:pos="4513"/>
        <w:tab w:val="right" w:pos="9026"/>
      </w:tabs>
      <w:spacing w:line="240" w:lineRule="auto"/>
      <w:jc w:val="right"/>
      <w:rPr>
        <w:rFonts w:cs="Times New Roman"/>
        <w:color w:val="000000"/>
      </w:rPr>
    </w:pPr>
    <w:r>
      <w:rPr>
        <w:rFonts w:cs="Times New Roman"/>
        <w:color w:val="000000"/>
      </w:rPr>
      <w:t>Strategic Management &amp;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5502"/>
    <w:rsid w:val="008A6AC1"/>
    <w:rsid w:val="009B5502"/>
    <w:rsid w:val="009D22ED"/>
    <w:rsid w:val="009E4BAA"/>
    <w:rsid w:val="00C74E8B"/>
    <w:rsid w:val="00DA4A24"/>
    <w:rsid w:val="00DA7B1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2907589C"/>
  <w15:docId w15:val="{28ABCE2B-7379-2447-A9FE-6B4D3212E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ro-RO"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9A8"/>
    <w:rPr>
      <w:rFonts w:cs="Arial"/>
      <w:lang w:eastAsia="en-GB"/>
    </w:rPr>
  </w:style>
  <w:style w:type="paragraph" w:styleId="Titlu1">
    <w:name w:val="heading 1"/>
    <w:basedOn w:val="Normal"/>
    <w:next w:val="Normal"/>
    <w:link w:val="Titlu1Caracter"/>
    <w:uiPriority w:val="9"/>
    <w:qFormat/>
    <w:rsid w:val="00C56173"/>
    <w:pPr>
      <w:keepNext/>
      <w:keepLines/>
      <w:spacing w:before="240"/>
      <w:outlineLvl w:val="0"/>
    </w:pPr>
    <w:rPr>
      <w:rFonts w:eastAsiaTheme="majorEastAsia" w:cs="Times New Roman"/>
      <w:b/>
      <w:iCs/>
      <w:sz w:val="28"/>
      <w:shd w:val="clear" w:color="auto" w:fill="FFFFFF"/>
    </w:rPr>
  </w:style>
  <w:style w:type="paragraph" w:styleId="Titlu2">
    <w:name w:val="heading 2"/>
    <w:basedOn w:val="Normal"/>
    <w:next w:val="Normal"/>
    <w:link w:val="Titlu2Caracter"/>
    <w:uiPriority w:val="9"/>
    <w:unhideWhenUsed/>
    <w:qFormat/>
    <w:rsid w:val="006A3A7B"/>
    <w:pPr>
      <w:keepNext/>
      <w:keepLines/>
      <w:spacing w:before="40"/>
      <w:outlineLvl w:val="1"/>
    </w:pPr>
    <w:rPr>
      <w:rFonts w:eastAsiaTheme="majorEastAsia" w:cstheme="majorBidi"/>
      <w:b/>
      <w:sz w:val="26"/>
      <w:szCs w:val="33"/>
      <w:lang w:val="en-IN"/>
    </w:rPr>
  </w:style>
  <w:style w:type="paragraph" w:styleId="Titlu3">
    <w:name w:val="heading 3"/>
    <w:basedOn w:val="Normal"/>
    <w:next w:val="Normal"/>
    <w:uiPriority w:val="9"/>
    <w:unhideWhenUsed/>
    <w:qFormat/>
    <w:pPr>
      <w:keepNext/>
      <w:keepLines/>
      <w:spacing w:before="280" w:after="80"/>
      <w:outlineLvl w:val="2"/>
    </w:pPr>
    <w:rPr>
      <w:i/>
      <w:u w:val="single"/>
    </w:rPr>
  </w:style>
  <w:style w:type="paragraph" w:styleId="Titlu4">
    <w:name w:val="heading 4"/>
    <w:basedOn w:val="Normal"/>
    <w:next w:val="Normal"/>
    <w:uiPriority w:val="9"/>
    <w:semiHidden/>
    <w:unhideWhenUsed/>
    <w:qFormat/>
    <w:pPr>
      <w:keepNext/>
      <w:keepLines/>
      <w:spacing w:before="240" w:after="40"/>
      <w:outlineLvl w:val="3"/>
    </w:pPr>
    <w:rPr>
      <w:b/>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before="480" w:after="120"/>
    </w:pPr>
    <w:rPr>
      <w:b/>
      <w:sz w:val="72"/>
      <w:szCs w:val="72"/>
    </w:rPr>
  </w:style>
  <w:style w:type="character" w:customStyle="1" w:styleId="Titlu1Caracter">
    <w:name w:val="Titlu 1 Caracter"/>
    <w:basedOn w:val="Fontdeparagrafimplicit"/>
    <w:link w:val="Titlu1"/>
    <w:uiPriority w:val="9"/>
    <w:rsid w:val="00C56173"/>
    <w:rPr>
      <w:rFonts w:ascii="Times New Roman" w:eastAsiaTheme="majorEastAsia" w:hAnsi="Times New Roman" w:cs="Times New Roman"/>
      <w:b/>
      <w:iCs/>
      <w:kern w:val="0"/>
      <w:sz w:val="28"/>
      <w:szCs w:val="24"/>
      <w:lang w:val="en-GB" w:bidi="ar-SA"/>
    </w:rPr>
  </w:style>
  <w:style w:type="character" w:customStyle="1" w:styleId="Titlu2Caracter">
    <w:name w:val="Titlu 2 Caracter"/>
    <w:basedOn w:val="Fontdeparagrafimplicit"/>
    <w:link w:val="Titlu2"/>
    <w:uiPriority w:val="9"/>
    <w:rsid w:val="006A3A7B"/>
    <w:rPr>
      <w:rFonts w:ascii="Times New Roman" w:eastAsiaTheme="majorEastAsia" w:hAnsi="Times New Roman" w:cstheme="majorBidi"/>
      <w:b/>
      <w:sz w:val="26"/>
      <w:szCs w:val="33"/>
    </w:rPr>
  </w:style>
  <w:style w:type="paragraph" w:styleId="Antet">
    <w:name w:val="header"/>
    <w:basedOn w:val="Normal"/>
    <w:link w:val="AntetCaracter"/>
    <w:uiPriority w:val="99"/>
    <w:unhideWhenUsed/>
    <w:rsid w:val="005639A8"/>
    <w:pPr>
      <w:tabs>
        <w:tab w:val="center" w:pos="4513"/>
        <w:tab w:val="right" w:pos="9026"/>
      </w:tabs>
      <w:spacing w:line="240" w:lineRule="auto"/>
    </w:pPr>
  </w:style>
  <w:style w:type="character" w:customStyle="1" w:styleId="AntetCaracter">
    <w:name w:val="Antet Caracter"/>
    <w:basedOn w:val="Fontdeparagrafimplicit"/>
    <w:link w:val="Antet"/>
    <w:uiPriority w:val="99"/>
    <w:rsid w:val="005639A8"/>
    <w:rPr>
      <w:rFonts w:ascii="Times New Roman" w:hAnsi="Times New Roman" w:cs="Arial"/>
      <w:kern w:val="0"/>
      <w:sz w:val="24"/>
      <w:szCs w:val="24"/>
      <w:lang w:val="en-GB" w:eastAsia="en-GB" w:bidi="ar-SA"/>
    </w:rPr>
  </w:style>
  <w:style w:type="paragraph" w:styleId="Subsol">
    <w:name w:val="footer"/>
    <w:basedOn w:val="Normal"/>
    <w:link w:val="SubsolCaracter"/>
    <w:uiPriority w:val="99"/>
    <w:unhideWhenUsed/>
    <w:rsid w:val="005639A8"/>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639A8"/>
    <w:rPr>
      <w:rFonts w:ascii="Times New Roman" w:hAnsi="Times New Roman" w:cs="Arial"/>
      <w:kern w:val="0"/>
      <w:sz w:val="24"/>
      <w:szCs w:val="24"/>
      <w:lang w:val="en-GB" w:eastAsia="en-GB" w:bidi="ar-SA"/>
    </w:rPr>
  </w:style>
  <w:style w:type="paragraph" w:styleId="Frspaiere">
    <w:name w:val="No Spacing"/>
    <w:uiPriority w:val="1"/>
    <w:qFormat/>
    <w:rsid w:val="008051B6"/>
    <w:pPr>
      <w:spacing w:line="240" w:lineRule="auto"/>
    </w:pPr>
    <w:rPr>
      <w:rFonts w:cs="Arial"/>
      <w:lang w:eastAsia="en-GB"/>
    </w:rPr>
  </w:style>
  <w:style w:type="table" w:styleId="Tabelgril">
    <w:name w:val="Table Grid"/>
    <w:basedOn w:val="TabelNormal"/>
    <w:uiPriority w:val="39"/>
    <w:rsid w:val="00A87B3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A87B3E"/>
    <w:pPr>
      <w:ind w:left="720"/>
      <w:contextualSpacing/>
    </w:pPr>
  </w:style>
  <w:style w:type="paragraph" w:styleId="Titlucuprins">
    <w:name w:val="TOC Heading"/>
    <w:basedOn w:val="Titlu1"/>
    <w:next w:val="Normal"/>
    <w:uiPriority w:val="39"/>
    <w:unhideWhenUsed/>
    <w:qFormat/>
    <w:rsid w:val="0019209F"/>
    <w:pPr>
      <w:spacing w:line="259" w:lineRule="auto"/>
      <w:jc w:val="left"/>
      <w:outlineLvl w:val="9"/>
    </w:pPr>
    <w:rPr>
      <w:rFonts w:asciiTheme="majorHAnsi" w:hAnsiTheme="majorHAnsi" w:cstheme="majorBidi"/>
      <w:b w:val="0"/>
      <w:iCs w:val="0"/>
      <w:color w:val="2F5496" w:themeColor="accent1" w:themeShade="BF"/>
      <w:sz w:val="32"/>
      <w:szCs w:val="32"/>
      <w:shd w:val="clear" w:color="auto" w:fill="auto"/>
      <w:lang w:val="en-IN" w:eastAsia="en-IN" w:bidi="bn-IN"/>
    </w:rPr>
  </w:style>
  <w:style w:type="paragraph" w:styleId="Cuprins1">
    <w:name w:val="toc 1"/>
    <w:basedOn w:val="Normal"/>
    <w:next w:val="Normal"/>
    <w:autoRedefine/>
    <w:uiPriority w:val="39"/>
    <w:unhideWhenUsed/>
    <w:rsid w:val="0019209F"/>
    <w:pPr>
      <w:spacing w:after="100"/>
    </w:pPr>
  </w:style>
  <w:style w:type="paragraph" w:styleId="Cuprins2">
    <w:name w:val="toc 2"/>
    <w:basedOn w:val="Normal"/>
    <w:next w:val="Normal"/>
    <w:autoRedefine/>
    <w:uiPriority w:val="39"/>
    <w:unhideWhenUsed/>
    <w:rsid w:val="0019209F"/>
    <w:pPr>
      <w:spacing w:after="100"/>
      <w:ind w:left="240"/>
    </w:pPr>
  </w:style>
  <w:style w:type="character" w:styleId="Hyperlink">
    <w:name w:val="Hyperlink"/>
    <w:basedOn w:val="Fontdeparagrafimplicit"/>
    <w:uiPriority w:val="99"/>
    <w:unhideWhenUsed/>
    <w:rsid w:val="0019209F"/>
    <w:rPr>
      <w:color w:val="0563C1" w:themeColor="hyperlink"/>
      <w:u w:val="single"/>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elNormal"/>
    <w:pPr>
      <w:spacing w:line="240" w:lineRule="auto"/>
    </w:pPr>
    <w:tblPr>
      <w:tblStyleRowBandSize w:val="1"/>
      <w:tblStyleColBandSize w:val="1"/>
    </w:tblPr>
  </w:style>
  <w:style w:type="table" w:customStyle="1" w:styleId="a0">
    <w:basedOn w:val="Tabel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g" /><Relationship Id="rId13" Type="http://schemas.openxmlformats.org/officeDocument/2006/relationships/image" Target="media/image7.jp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g"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image" Target="media/image4.gif" /><Relationship Id="rId4" Type="http://schemas.openxmlformats.org/officeDocument/2006/relationships/webSettings" Target="webSettings.xml" /><Relationship Id="rId9" Type="http://schemas.openxmlformats.org/officeDocument/2006/relationships/image" Target="media/image3.jpg"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0+Z5s9A9SUhyq0YFjZlLe5Bdbmg==">CgMxLjAyDWgucWhtZmt5bHc0eXQyDmgudWlidnhvOXB4ZmRiMghoLmdqZGd4czIJaC4zMGowemxsMgloLjFmb2I5dGUyCWguM3pueXNoNzIJaC4yZXQ5MnAwMg5oLjQyMng4ZThlaTZvYzIIaC50eWpjd3QyDmgubjFoMHdjbHdrbWtxMgloLjNkeTZ2a20yCWguMXQzaDVzZjIJaC40ZDM0b2c4Mg5oLnZvaW81NGphdXZ6ZDIJaC4yczhleW8xMgloLjE3ZHA4dnUyCWguM3JkY3JqbjIJaC4yNmluMXJnMg5oLmkxOHViaGx6NjNoNjIJaC4zNW5rdW4yMg1oLmdyeDBwczFzZ2ttMgloLjFrc3Y0dXY4AHIhMWJmTVFvNFpTemQ3QUZ3MC1vWXZMeDdzUVMtYnVyenB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4789</Words>
  <Characters>27781</Characters>
  <Application>Microsoft Office Word</Application>
  <DocSecurity>0</DocSecurity>
  <Lines>231</Lines>
  <Paragraphs>65</Paragraphs>
  <ScaleCrop>false</ScaleCrop>
  <Company/>
  <LinksUpToDate>false</LinksUpToDate>
  <CharactersWithSpaces>32505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Petronela Hurmuzache</cp:lastModifiedBy>
  <cp:revision>2</cp:revision>
  <dcterms:created xsi:type="dcterms:W3CDTF">2024-08-13T10:24:00Z</dcterms:created>
  <dcterms:modified xsi:type="dcterms:W3CDTF">2024-08-13T10:24:00Z</dcterms:modified>
</cp:coreProperties>
</file>