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55FC4" w14:textId="77777777" w:rsidR="00CC03B4" w:rsidRPr="00EE5BC3" w:rsidRDefault="00CC03B4" w:rsidP="00CC03B4">
      <w:pPr>
        <w:jc w:val="center"/>
        <w:rPr>
          <w:b/>
          <w:sz w:val="28"/>
          <w:szCs w:val="28"/>
        </w:rPr>
      </w:pPr>
      <w:r w:rsidRPr="00EE5BC3">
        <w:rPr>
          <w:b/>
          <w:sz w:val="28"/>
          <w:szCs w:val="28"/>
        </w:rPr>
        <w:t>Task 4</w:t>
      </w:r>
    </w:p>
    <w:p w14:paraId="7127C269" w14:textId="77777777" w:rsidR="00CC03B4" w:rsidRPr="00EE5BC3" w:rsidRDefault="00CC03B4" w:rsidP="00CC03B4">
      <w:pPr>
        <w:jc w:val="center"/>
        <w:rPr>
          <w:b/>
          <w:sz w:val="28"/>
          <w:szCs w:val="28"/>
        </w:rPr>
      </w:pPr>
    </w:p>
    <w:p w14:paraId="1D5A18AD" w14:textId="77777777" w:rsidR="00CC03B4" w:rsidRPr="00EE5BC3" w:rsidRDefault="00CC03B4" w:rsidP="00CC03B4">
      <w:pPr>
        <w:jc w:val="center"/>
        <w:rPr>
          <w:b/>
          <w:sz w:val="28"/>
          <w:szCs w:val="28"/>
        </w:rPr>
      </w:pPr>
      <w:r w:rsidRPr="00EE5BC3">
        <w:rPr>
          <w:b/>
          <w:sz w:val="28"/>
          <w:szCs w:val="28"/>
        </w:rPr>
        <w:t>Safeguarding</w:t>
      </w:r>
      <w:r>
        <w:rPr>
          <w:b/>
          <w:sz w:val="28"/>
          <w:szCs w:val="28"/>
        </w:rPr>
        <w:t xml:space="preserve"> in an area which is not your main area of </w:t>
      </w:r>
      <w:proofErr w:type="gramStart"/>
      <w:r>
        <w:rPr>
          <w:b/>
          <w:sz w:val="28"/>
          <w:szCs w:val="28"/>
        </w:rPr>
        <w:t>work</w:t>
      </w:r>
      <w:proofErr w:type="gramEnd"/>
    </w:p>
    <w:p w14:paraId="2471794B" w14:textId="77777777" w:rsidR="00CC03B4" w:rsidRPr="008B28E7" w:rsidRDefault="00CC03B4" w:rsidP="00CC03B4">
      <w:pPr>
        <w:jc w:val="both"/>
        <w:rPr>
          <w:b/>
          <w:sz w:val="24"/>
          <w:szCs w:val="24"/>
        </w:rPr>
      </w:pPr>
    </w:p>
    <w:p w14:paraId="304700EC" w14:textId="77777777" w:rsidR="00CC03B4" w:rsidRPr="00EE5BC3" w:rsidRDefault="00CC03B4" w:rsidP="00CC03B4">
      <w:pPr>
        <w:ind w:left="-90"/>
        <w:jc w:val="both"/>
        <w:rPr>
          <w:b/>
          <w:i/>
          <w:sz w:val="24"/>
          <w:szCs w:val="24"/>
        </w:rPr>
      </w:pPr>
      <w:r w:rsidRPr="00EE5BC3">
        <w:rPr>
          <w:b/>
          <w:i/>
          <w:sz w:val="24"/>
          <w:szCs w:val="24"/>
        </w:rPr>
        <w:t xml:space="preserve">Guidance: </w:t>
      </w:r>
    </w:p>
    <w:p w14:paraId="2EFB2CEF" w14:textId="77777777" w:rsidR="00CC03B4" w:rsidRPr="00706BB5" w:rsidRDefault="00CC03B4" w:rsidP="00CC03B4">
      <w:pPr>
        <w:ind w:left="-90"/>
        <w:jc w:val="both"/>
        <w:rPr>
          <w:i/>
          <w:iCs/>
          <w:sz w:val="24"/>
          <w:szCs w:val="24"/>
        </w:rPr>
      </w:pPr>
      <w:r w:rsidRPr="00F15354">
        <w:rPr>
          <w:i/>
          <w:iCs/>
          <w:sz w:val="24"/>
          <w:szCs w:val="24"/>
        </w:rPr>
        <w:t>Social Care Wales</w:t>
      </w:r>
      <w:r w:rsidRPr="006179BB">
        <w:rPr>
          <w:i/>
          <w:iCs/>
          <w:sz w:val="24"/>
          <w:szCs w:val="24"/>
        </w:rPr>
        <w:t xml:space="preserve"> require newly qualified social workers to provide evidence of </w:t>
      </w:r>
      <w:r w:rsidRPr="00A5656A">
        <w:rPr>
          <w:i/>
          <w:iCs/>
          <w:sz w:val="24"/>
          <w:szCs w:val="24"/>
        </w:rPr>
        <w:t>their understanding of safeguarding work with adults and children</w:t>
      </w:r>
      <w:r w:rsidRPr="009C7342">
        <w:rPr>
          <w:i/>
          <w:iCs/>
          <w:sz w:val="24"/>
          <w:szCs w:val="24"/>
        </w:rPr>
        <w:t xml:space="preserve">. </w:t>
      </w:r>
      <w:r w:rsidRPr="00706BB5">
        <w:rPr>
          <w:i/>
          <w:iCs/>
          <w:sz w:val="24"/>
          <w:szCs w:val="24"/>
        </w:rPr>
        <w:t xml:space="preserve">The assignment below will enable you to demonstrate this. </w:t>
      </w:r>
      <w:r w:rsidRPr="00706BB5">
        <w:rPr>
          <w:b/>
          <w:bCs/>
          <w:i/>
          <w:iCs/>
          <w:sz w:val="24"/>
          <w:szCs w:val="24"/>
        </w:rPr>
        <w:t>N.B</w:t>
      </w:r>
      <w:r w:rsidRPr="00706BB5">
        <w:rPr>
          <w:i/>
          <w:iCs/>
          <w:sz w:val="24"/>
          <w:szCs w:val="24"/>
        </w:rPr>
        <w:t xml:space="preserve">. if your usual area of work is with </w:t>
      </w:r>
      <w:proofErr w:type="gramStart"/>
      <w:r w:rsidRPr="00706BB5">
        <w:rPr>
          <w:i/>
          <w:iCs/>
          <w:sz w:val="24"/>
          <w:szCs w:val="24"/>
        </w:rPr>
        <w:t>children</w:t>
      </w:r>
      <w:proofErr w:type="gramEnd"/>
      <w:r w:rsidRPr="00706BB5">
        <w:rPr>
          <w:i/>
          <w:iCs/>
          <w:sz w:val="24"/>
          <w:szCs w:val="24"/>
        </w:rPr>
        <w:t xml:space="preserve"> please write about adult safeguarding. If you usually work with adults, then write about child safeguarding.  Ensure you meet the learning out comes for this task (see appendix </w:t>
      </w:r>
      <w:r>
        <w:rPr>
          <w:i/>
          <w:iCs/>
          <w:sz w:val="24"/>
          <w:szCs w:val="24"/>
        </w:rPr>
        <w:t>5</w:t>
      </w:r>
      <w:r w:rsidRPr="00706BB5">
        <w:rPr>
          <w:i/>
          <w:iCs/>
          <w:sz w:val="24"/>
          <w:szCs w:val="24"/>
        </w:rPr>
        <w:t xml:space="preserve"> </w:t>
      </w:r>
      <w:r w:rsidRPr="00F15354">
        <w:rPr>
          <w:i/>
          <w:iCs/>
          <w:sz w:val="24"/>
          <w:szCs w:val="24"/>
        </w:rPr>
        <w:t>of the</w:t>
      </w:r>
      <w:r w:rsidRPr="4EC15626">
        <w:rPr>
          <w:i/>
          <w:iCs/>
          <w:sz w:val="24"/>
          <w:szCs w:val="24"/>
        </w:rPr>
        <w:t xml:space="preserve"> h</w:t>
      </w:r>
      <w:r w:rsidRPr="00F15354">
        <w:rPr>
          <w:i/>
          <w:iCs/>
          <w:sz w:val="24"/>
          <w:szCs w:val="24"/>
        </w:rPr>
        <w:t>andbook</w:t>
      </w:r>
      <w:r w:rsidRPr="006179BB">
        <w:rPr>
          <w:i/>
          <w:iCs/>
          <w:sz w:val="24"/>
          <w:szCs w:val="24"/>
        </w:rPr>
        <w:t>).</w:t>
      </w:r>
    </w:p>
    <w:p w14:paraId="74F7A670" w14:textId="77777777" w:rsidR="00CC03B4" w:rsidRPr="008B28E7" w:rsidRDefault="00CC03B4" w:rsidP="00CC03B4">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C03B4" w:rsidRPr="008B28E7" w14:paraId="70A45EEE" w14:textId="77777777" w:rsidTr="00C55E5C">
        <w:tc>
          <w:tcPr>
            <w:tcW w:w="10188" w:type="dxa"/>
            <w:shd w:val="clear" w:color="auto" w:fill="auto"/>
          </w:tcPr>
          <w:p w14:paraId="5BB8F9D1" w14:textId="77777777" w:rsidR="00CC03B4" w:rsidRPr="00EB695F" w:rsidRDefault="00CC03B4" w:rsidP="00C55E5C">
            <w:pPr>
              <w:jc w:val="both"/>
              <w:rPr>
                <w:b/>
                <w:sz w:val="24"/>
                <w:szCs w:val="24"/>
              </w:rPr>
            </w:pPr>
            <w:r w:rsidRPr="00EB695F">
              <w:rPr>
                <w:b/>
                <w:sz w:val="24"/>
                <w:szCs w:val="24"/>
              </w:rPr>
              <w:t>Question</w:t>
            </w:r>
            <w:r>
              <w:rPr>
                <w:b/>
                <w:sz w:val="24"/>
                <w:szCs w:val="24"/>
              </w:rPr>
              <w:t xml:space="preserve"> a:</w:t>
            </w:r>
          </w:p>
          <w:p w14:paraId="6254ACC0" w14:textId="77777777" w:rsidR="00CC03B4" w:rsidRDefault="00CC03B4" w:rsidP="00C55E5C">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65743C2E" w14:textId="77777777" w:rsidR="00CC03B4" w:rsidRDefault="00CC03B4" w:rsidP="00C55E5C">
            <w:pPr>
              <w:jc w:val="both"/>
              <w:rPr>
                <w:sz w:val="24"/>
                <w:szCs w:val="24"/>
              </w:rPr>
            </w:pPr>
          </w:p>
          <w:p w14:paraId="3735A945" w14:textId="77777777" w:rsidR="00CC03B4" w:rsidRDefault="00CC03B4" w:rsidP="00C55E5C">
            <w:pPr>
              <w:spacing w:line="360" w:lineRule="auto"/>
              <w:jc w:val="both"/>
              <w:rPr>
                <w:sz w:val="24"/>
                <w:szCs w:val="24"/>
              </w:rPr>
            </w:pPr>
            <w:r>
              <w:rPr>
                <w:sz w:val="24"/>
                <w:szCs w:val="24"/>
              </w:rPr>
              <w:t xml:space="preserve">Under the legislative framework in Wales, an adult is deemed to be anyone aged 18 and over as set out in S3(2) of the Social Services and Wellbeing (Wales) Act 2014 (SSWBA 2014). This legislation was introduced in 2016, replacing and repealing some of the previous adult legislation and policy framework in Wales such as the All-Wales Mental Handicap Strategy and The Carers Strategies (Wales) Measure 2010. S126 (1) of the SSWBA 2014 defines an “adult at risk” as some who “(a) is experiencing or is at risk of abuse or neglect, (b) has needs for care and support (whether or not the authority is meeting any of those needs), and (c) as a result of those needs in unable to protect himself or herself against the abuse of neglect or the risk of it”. Additionally, the Wales Safeguarding Procedures (SCW, 2019) provide the policies and guidance for practitioners to ensure that safeguarding measures are implemented in line with the legislative framework. </w:t>
            </w:r>
          </w:p>
          <w:p w14:paraId="20AB9FE0" w14:textId="77777777" w:rsidR="00CC03B4" w:rsidRDefault="00CC03B4" w:rsidP="00C55E5C">
            <w:pPr>
              <w:spacing w:line="360" w:lineRule="auto"/>
              <w:jc w:val="both"/>
              <w:rPr>
                <w:sz w:val="24"/>
                <w:szCs w:val="24"/>
              </w:rPr>
            </w:pPr>
          </w:p>
          <w:p w14:paraId="732105C0" w14:textId="77777777" w:rsidR="00CC03B4" w:rsidRDefault="00CC03B4" w:rsidP="00C55E5C">
            <w:pPr>
              <w:spacing w:line="360" w:lineRule="auto"/>
              <w:jc w:val="both"/>
              <w:rPr>
                <w:color w:val="1E1E1E"/>
                <w:sz w:val="24"/>
                <w:szCs w:val="24"/>
                <w:shd w:val="clear" w:color="auto" w:fill="FFFFFF"/>
              </w:rPr>
            </w:pPr>
            <w:r>
              <w:rPr>
                <w:sz w:val="24"/>
                <w:szCs w:val="24"/>
              </w:rPr>
              <w:t>The SSWBA 2014 is underpinned with a human rights approach, and S7 (1) clearly sets out that any person exercising functions from the duties relating to adults within this act must have due regard to the “</w:t>
            </w:r>
            <w:r w:rsidRPr="003B684B">
              <w:rPr>
                <w:color w:val="1E1E1E"/>
                <w:sz w:val="24"/>
                <w:szCs w:val="24"/>
                <w:shd w:val="clear" w:color="auto" w:fill="FFFFFF"/>
              </w:rPr>
              <w:t>United Nations Principles for Older Persons adopted by the General Assembly of the United Nations on 16 December 1991”</w:t>
            </w:r>
            <w:r>
              <w:rPr>
                <w:color w:val="1E1E1E"/>
                <w:sz w:val="24"/>
                <w:szCs w:val="24"/>
                <w:shd w:val="clear" w:color="auto" w:fill="FFFFFF"/>
              </w:rPr>
              <w:t xml:space="preserve">. Further rights set out in the Human Rights Act 1998, include absolute rights such as article 3, protecting adults against torture, inhumane or degrading treatment or punishment.  </w:t>
            </w:r>
          </w:p>
          <w:p w14:paraId="54E68B7D" w14:textId="77777777" w:rsidR="00CC03B4" w:rsidRDefault="00CC03B4" w:rsidP="00C55E5C">
            <w:pPr>
              <w:spacing w:line="360" w:lineRule="auto"/>
              <w:jc w:val="both"/>
            </w:pPr>
          </w:p>
          <w:p w14:paraId="2B821440" w14:textId="77777777" w:rsidR="00CC03B4" w:rsidRDefault="00CC03B4" w:rsidP="00C55E5C">
            <w:pPr>
              <w:spacing w:line="360" w:lineRule="auto"/>
              <w:jc w:val="both"/>
              <w:rPr>
                <w:sz w:val="24"/>
                <w:szCs w:val="24"/>
              </w:rPr>
            </w:pPr>
            <w:r w:rsidRPr="00A05EDD">
              <w:rPr>
                <w:sz w:val="24"/>
                <w:szCs w:val="24"/>
              </w:rPr>
              <w:lastRenderedPageBreak/>
              <w:t xml:space="preserve">Whilst the SSWBA 2014 reformed the legislative framework for adult care, it hasn’t replaced </w:t>
            </w:r>
            <w:proofErr w:type="gramStart"/>
            <w:r w:rsidRPr="00A05EDD">
              <w:rPr>
                <w:sz w:val="24"/>
                <w:szCs w:val="24"/>
              </w:rPr>
              <w:t>all of</w:t>
            </w:r>
            <w:proofErr w:type="gramEnd"/>
            <w:r w:rsidRPr="00A05EDD">
              <w:rPr>
                <w:sz w:val="24"/>
                <w:szCs w:val="24"/>
              </w:rPr>
              <w:t xml:space="preserve"> the legislation, with the Mental Capacity Act 2005</w:t>
            </w:r>
            <w:r>
              <w:rPr>
                <w:sz w:val="24"/>
                <w:szCs w:val="24"/>
              </w:rPr>
              <w:t xml:space="preserve"> (MCA 2005)</w:t>
            </w:r>
            <w:r w:rsidRPr="00A05EDD">
              <w:rPr>
                <w:sz w:val="24"/>
                <w:szCs w:val="24"/>
              </w:rPr>
              <w:t>, The Equality Act 2010 and the Mental Health Act 1983 and 2007 still forming part of t</w:t>
            </w:r>
            <w:r>
              <w:rPr>
                <w:sz w:val="24"/>
                <w:szCs w:val="24"/>
              </w:rPr>
              <w:t>his</w:t>
            </w:r>
            <w:r w:rsidRPr="00A05EDD">
              <w:rPr>
                <w:sz w:val="24"/>
                <w:szCs w:val="24"/>
              </w:rPr>
              <w:t xml:space="preserve"> framework. </w:t>
            </w:r>
            <w:r>
              <w:rPr>
                <w:sz w:val="24"/>
                <w:szCs w:val="24"/>
              </w:rPr>
              <w:t>The MCA 2005 is particularly important in relation to safeguarding adults in Wales. This act is underpinned with the assumption that an adult has capacity to make decisions, and outlines an individual has the right to make unwise decisions. This interacts with the SSWBA 2014 and provides ethical challenges for practitioners within adult services as despite an adult being at risk of harm, consent would need to be obtained to implement safeguarding procedures</w:t>
            </w:r>
            <w:r w:rsidRPr="00326C81">
              <w:rPr>
                <w:sz w:val="24"/>
                <w:szCs w:val="24"/>
              </w:rPr>
              <w:t xml:space="preserve"> (Banner, 2012, cited in Ratcliff &amp; Chapman, 2016).</w:t>
            </w:r>
            <w:r>
              <w:rPr>
                <w:sz w:val="24"/>
                <w:szCs w:val="24"/>
              </w:rPr>
              <w:t xml:space="preserve"> This applies unless the local authority can be satisfied under S20 (2) that the adult lacks capacity, and there is no authorised person to make the decision on the adult’s behalf, and the assessment would be in the adult’s best interests. The MCA Code of Practice (2005) sets out the guidance in determining capacity, and includes an adult’s ability to understand, retain and weigh up information, and to communicate the decision. </w:t>
            </w:r>
          </w:p>
          <w:p w14:paraId="384FACEC" w14:textId="77777777" w:rsidR="00CC03B4" w:rsidRDefault="00CC03B4" w:rsidP="00C55E5C">
            <w:pPr>
              <w:spacing w:line="360" w:lineRule="auto"/>
              <w:jc w:val="both"/>
              <w:rPr>
                <w:sz w:val="24"/>
                <w:szCs w:val="24"/>
              </w:rPr>
            </w:pPr>
          </w:p>
          <w:p w14:paraId="63A9B31F" w14:textId="77777777" w:rsidR="00CC03B4" w:rsidRDefault="00CC03B4" w:rsidP="00C55E5C">
            <w:pPr>
              <w:spacing w:line="360" w:lineRule="auto"/>
              <w:jc w:val="both"/>
              <w:rPr>
                <w:sz w:val="24"/>
                <w:szCs w:val="24"/>
              </w:rPr>
            </w:pPr>
            <w:r>
              <w:rPr>
                <w:sz w:val="24"/>
                <w:szCs w:val="24"/>
              </w:rPr>
              <w:t xml:space="preserve">S132 and 134 of the SSWBA 2014 sets out the requirement for both National Independent Safeguarding Boards, and regional Safeguarding Boards. The National board provides support and advice to safeguarding boards, reports on the effectiveness of safeguarding measures and make’s recommendations to the local government. The Local boards were established to promote, inform and support multi-agency safeguarding (X Safeguarding Board, 2024), and S134(2) set’s out the partners included within these boards.  </w:t>
            </w:r>
          </w:p>
          <w:p w14:paraId="0049A0DB" w14:textId="77777777" w:rsidR="00CC03B4" w:rsidRDefault="00CC03B4" w:rsidP="00C55E5C">
            <w:pPr>
              <w:spacing w:line="360" w:lineRule="auto"/>
              <w:jc w:val="both"/>
              <w:rPr>
                <w:sz w:val="24"/>
                <w:szCs w:val="24"/>
              </w:rPr>
            </w:pPr>
          </w:p>
          <w:p w14:paraId="23AC96F3" w14:textId="77777777" w:rsidR="00CC03B4" w:rsidRDefault="00CC03B4" w:rsidP="00C55E5C">
            <w:pPr>
              <w:spacing w:line="360" w:lineRule="auto"/>
              <w:jc w:val="both"/>
              <w:rPr>
                <w:sz w:val="24"/>
                <w:szCs w:val="24"/>
              </w:rPr>
            </w:pPr>
            <w:r>
              <w:rPr>
                <w:sz w:val="24"/>
                <w:szCs w:val="24"/>
              </w:rPr>
              <w:t>Word count 511</w:t>
            </w:r>
          </w:p>
          <w:p w14:paraId="2F27B442" w14:textId="77777777" w:rsidR="00CC03B4" w:rsidRDefault="00CC03B4" w:rsidP="00C55E5C">
            <w:pPr>
              <w:jc w:val="both"/>
              <w:rPr>
                <w:sz w:val="24"/>
                <w:szCs w:val="24"/>
              </w:rPr>
            </w:pPr>
          </w:p>
          <w:p w14:paraId="213B10E2" w14:textId="77777777" w:rsidR="00CC03B4" w:rsidRPr="006108C9" w:rsidRDefault="00CC03B4" w:rsidP="00C55E5C">
            <w:pPr>
              <w:jc w:val="both"/>
              <w:rPr>
                <w:sz w:val="24"/>
                <w:szCs w:val="24"/>
              </w:rPr>
            </w:pPr>
          </w:p>
          <w:p w14:paraId="72037DD3" w14:textId="77777777" w:rsidR="00CC03B4" w:rsidRDefault="00CC03B4" w:rsidP="00C55E5C">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0AFEEBAF" w14:textId="77777777" w:rsidR="00CC03B4" w:rsidRPr="008B28E7" w:rsidRDefault="00CC03B4" w:rsidP="00C55E5C">
            <w:pPr>
              <w:jc w:val="both"/>
              <w:rPr>
                <w:b/>
                <w:sz w:val="24"/>
                <w:szCs w:val="24"/>
              </w:rPr>
            </w:pPr>
          </w:p>
        </w:tc>
      </w:tr>
    </w:tbl>
    <w:p w14:paraId="6CDABFCD" w14:textId="77777777" w:rsidR="00CC03B4" w:rsidRDefault="00CC03B4" w:rsidP="00CC03B4">
      <w:pPr>
        <w:jc w:val="both"/>
        <w:rPr>
          <w:sz w:val="24"/>
          <w:szCs w:val="24"/>
        </w:rPr>
      </w:pPr>
    </w:p>
    <w:p w14:paraId="05B87FB2" w14:textId="77777777" w:rsidR="00CC03B4" w:rsidRDefault="00CC03B4" w:rsidP="00CC03B4">
      <w:pPr>
        <w:jc w:val="both"/>
        <w:rPr>
          <w:sz w:val="24"/>
          <w:szCs w:val="24"/>
        </w:rPr>
      </w:pPr>
    </w:p>
    <w:p w14:paraId="4458D819" w14:textId="77777777" w:rsidR="00CC03B4" w:rsidRDefault="00CC03B4" w:rsidP="00CC03B4">
      <w:pPr>
        <w:jc w:val="both"/>
        <w:rPr>
          <w:sz w:val="24"/>
          <w:szCs w:val="24"/>
        </w:rPr>
      </w:pPr>
    </w:p>
    <w:p w14:paraId="4D99DB15" w14:textId="77777777" w:rsidR="00CC03B4" w:rsidRDefault="00CC03B4" w:rsidP="00CC03B4">
      <w:pPr>
        <w:jc w:val="both"/>
        <w:rPr>
          <w:sz w:val="24"/>
          <w:szCs w:val="24"/>
        </w:rPr>
      </w:pPr>
    </w:p>
    <w:p w14:paraId="3921E4D1" w14:textId="77777777" w:rsidR="00CC03B4" w:rsidRDefault="00CC03B4" w:rsidP="00CC03B4">
      <w:pPr>
        <w:jc w:val="both"/>
        <w:rPr>
          <w:sz w:val="24"/>
          <w:szCs w:val="24"/>
        </w:rPr>
      </w:pPr>
    </w:p>
    <w:p w14:paraId="07200184" w14:textId="77777777" w:rsidR="00CC03B4" w:rsidRPr="008B28E7" w:rsidRDefault="00CC03B4" w:rsidP="00CC03B4">
      <w:pPr>
        <w:jc w:val="both"/>
        <w:rPr>
          <w:sz w:val="24"/>
          <w:szCs w:val="24"/>
        </w:rPr>
      </w:pPr>
    </w:p>
    <w:p w14:paraId="1EFD18AE" w14:textId="77777777" w:rsidR="00CC03B4" w:rsidRPr="008B28E7" w:rsidRDefault="00CC03B4" w:rsidP="00CC03B4">
      <w:pPr>
        <w:jc w:val="both"/>
        <w:rPr>
          <w:sz w:val="24"/>
          <w:szCs w:val="24"/>
        </w:rPr>
      </w:pPr>
    </w:p>
    <w:p w14:paraId="6EA892C4" w14:textId="77777777" w:rsidR="00CC03B4" w:rsidRDefault="00CC03B4" w:rsidP="00CC03B4">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CC03B4" w:rsidRPr="008B28E7" w14:paraId="0BFAE26D" w14:textId="77777777" w:rsidTr="00C55E5C">
        <w:tc>
          <w:tcPr>
            <w:tcW w:w="10278" w:type="dxa"/>
            <w:shd w:val="clear" w:color="auto" w:fill="auto"/>
          </w:tcPr>
          <w:p w14:paraId="541354F3" w14:textId="77777777" w:rsidR="00CC03B4" w:rsidRPr="00EB695F" w:rsidRDefault="00CC03B4" w:rsidP="00C55E5C">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04AECFEA" w14:textId="77777777" w:rsidR="00CC03B4" w:rsidRDefault="00CC03B4" w:rsidP="00C55E5C">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t>
            </w:r>
            <w:proofErr w:type="gramStart"/>
            <w:r w:rsidRPr="006108C9">
              <w:rPr>
                <w:sz w:val="24"/>
                <w:szCs w:val="24"/>
              </w:rPr>
              <w:t>work</w:t>
            </w:r>
            <w:proofErr w:type="gramEnd"/>
          </w:p>
          <w:p w14:paraId="416AEB1F" w14:textId="77777777" w:rsidR="00CC03B4" w:rsidRDefault="00CC03B4" w:rsidP="00C55E5C">
            <w:pPr>
              <w:jc w:val="both"/>
              <w:rPr>
                <w:sz w:val="24"/>
                <w:szCs w:val="24"/>
              </w:rPr>
            </w:pPr>
          </w:p>
          <w:p w14:paraId="3DCAD70F" w14:textId="77777777" w:rsidR="00CC03B4" w:rsidRDefault="00CC03B4" w:rsidP="00C55E5C">
            <w:pPr>
              <w:spacing w:line="360" w:lineRule="auto"/>
              <w:jc w:val="both"/>
              <w:rPr>
                <w:sz w:val="24"/>
                <w:szCs w:val="24"/>
              </w:rPr>
            </w:pPr>
            <w:r>
              <w:rPr>
                <w:sz w:val="24"/>
                <w:szCs w:val="24"/>
              </w:rPr>
              <w:t xml:space="preserve">The legislative framework for safeguarding in Wales is set out within the SSWBA 2014 and Wales Safeguarding Procedures (2019). The SSWBA 2014 is the overarching legislation that applies to safeguarding both adults and children, and there are very distinct differences between the duties to safeguard adults and children. Historically the practice of safeguarding has most often been accredited to protecting children, rather than adults. Children are often seen as vulnerable and in need of protection by adults (Eriksson &amp; Pringle, 2019). Adults on the other hand are provided with greater autonomy and self-determination. This therefore historically resulted in different definitions and considerable difference in safeguarding needs between children and adults (Shorrock, McManus &amp; Kirby, 2019, cited in McManus &amp; Boulton, 2020). The safeguarding procedures implemented by the SSWBA </w:t>
            </w:r>
            <w:proofErr w:type="gramStart"/>
            <w:r>
              <w:rPr>
                <w:sz w:val="24"/>
                <w:szCs w:val="24"/>
              </w:rPr>
              <w:t>2014</w:t>
            </w:r>
            <w:proofErr w:type="gramEnd"/>
            <w:r>
              <w:rPr>
                <w:sz w:val="24"/>
                <w:szCs w:val="24"/>
              </w:rPr>
              <w:t xml:space="preserve"> and the Wales Safeguarding Procedures have sought to bring equal statutory responsibilities for both groups McManus &amp; Boulton, 2020). </w:t>
            </w:r>
          </w:p>
          <w:p w14:paraId="29A92947" w14:textId="77777777" w:rsidR="00CC03B4" w:rsidRDefault="00CC03B4" w:rsidP="00C55E5C">
            <w:pPr>
              <w:spacing w:line="360" w:lineRule="auto"/>
              <w:jc w:val="both"/>
              <w:rPr>
                <w:sz w:val="24"/>
                <w:szCs w:val="24"/>
              </w:rPr>
            </w:pPr>
          </w:p>
          <w:p w14:paraId="59A13F90" w14:textId="77777777" w:rsidR="00CC03B4" w:rsidRDefault="00CC03B4" w:rsidP="00C55E5C">
            <w:pPr>
              <w:spacing w:line="360" w:lineRule="auto"/>
              <w:jc w:val="both"/>
              <w:rPr>
                <w:sz w:val="24"/>
                <w:szCs w:val="24"/>
              </w:rPr>
            </w:pPr>
          </w:p>
          <w:p w14:paraId="1A106F0D" w14:textId="77777777" w:rsidR="00CC03B4" w:rsidRDefault="00CC03B4" w:rsidP="00C55E5C">
            <w:pPr>
              <w:spacing w:line="360" w:lineRule="auto"/>
              <w:jc w:val="both"/>
              <w:rPr>
                <w:sz w:val="24"/>
                <w:szCs w:val="24"/>
              </w:rPr>
            </w:pPr>
            <w:r>
              <w:rPr>
                <w:sz w:val="24"/>
                <w:szCs w:val="24"/>
              </w:rPr>
              <w:t xml:space="preserve">One of the key differences between adult and children’s safeguarding is consent and capacity. Firstly, an adult is assumed to have capacity to make decisions, even if this is considered an unwise decision and not in their best interests. This means an adult </w:t>
            </w:r>
            <w:proofErr w:type="gramStart"/>
            <w:r>
              <w:rPr>
                <w:sz w:val="24"/>
                <w:szCs w:val="24"/>
              </w:rPr>
              <w:t>has to</w:t>
            </w:r>
            <w:proofErr w:type="gramEnd"/>
            <w:r>
              <w:rPr>
                <w:sz w:val="24"/>
                <w:szCs w:val="24"/>
              </w:rPr>
              <w:t xml:space="preserve"> consent to any safeguarding measures or interventions, unless they have been deemed not to have capacity under the MCA 2005. The capacity assessment would consider whether the </w:t>
            </w:r>
            <w:proofErr w:type="gramStart"/>
            <w:r>
              <w:rPr>
                <w:sz w:val="24"/>
                <w:szCs w:val="24"/>
              </w:rPr>
              <w:t>individuals</w:t>
            </w:r>
            <w:proofErr w:type="gramEnd"/>
            <w:r>
              <w:rPr>
                <w:sz w:val="24"/>
                <w:szCs w:val="24"/>
              </w:rPr>
              <w:t xml:space="preserve"> ability to understand information, retain information and weight this up to make a decision, and be able to communicate their decision.  Children on the other hand, are often seen as vulnerable and in need of protection, and as such are not considered to have capacity to make decisions. S130 of the SSWBA places a duty on local authorities and partner agencies to report incidents where they suspect a child is at risk, and S47 of the Children’s Act 1989 places a duty on local authorities to make enquiries to decide on whether any action is required to safeguard the child, all of which occurs without consent from the child. Whilst direct work is completed with children at risk of harm to identify their wishes and feelings, they are often left out of the formal </w:t>
            </w:r>
            <w:r>
              <w:rPr>
                <w:sz w:val="24"/>
                <w:szCs w:val="24"/>
              </w:rPr>
              <w:lastRenderedPageBreak/>
              <w:t xml:space="preserve">processes and decision-making mechanisms. I recognise from research that children’s involvement in safeguarding meetings such as child protection conferences is often non-existent or their participation is very tokenistic (Toros, 2020; Muench, Diaz &amp; Wright, 2017). Children are often left out of these formal processes, and it is important that their views are heard, and contribute to decision making in line with the UNCRC (UNICEF, 1989). </w:t>
            </w:r>
          </w:p>
          <w:p w14:paraId="0381033E" w14:textId="77777777" w:rsidR="00CC03B4" w:rsidRDefault="00CC03B4" w:rsidP="00C55E5C">
            <w:pPr>
              <w:spacing w:line="360" w:lineRule="auto"/>
              <w:jc w:val="both"/>
              <w:rPr>
                <w:sz w:val="24"/>
                <w:szCs w:val="24"/>
              </w:rPr>
            </w:pPr>
          </w:p>
          <w:p w14:paraId="076619E0" w14:textId="77777777" w:rsidR="00CC03B4" w:rsidRDefault="00CC03B4" w:rsidP="00C55E5C">
            <w:pPr>
              <w:spacing w:line="360" w:lineRule="auto"/>
              <w:jc w:val="both"/>
              <w:rPr>
                <w:sz w:val="24"/>
                <w:szCs w:val="24"/>
              </w:rPr>
            </w:pPr>
            <w:r>
              <w:rPr>
                <w:sz w:val="24"/>
                <w:szCs w:val="24"/>
              </w:rPr>
              <w:t>Word count 420</w:t>
            </w:r>
          </w:p>
          <w:p w14:paraId="72FB4A43" w14:textId="77777777" w:rsidR="00CC03B4" w:rsidRDefault="00CC03B4" w:rsidP="00C55E5C">
            <w:pPr>
              <w:jc w:val="both"/>
              <w:rPr>
                <w:sz w:val="24"/>
                <w:szCs w:val="24"/>
              </w:rPr>
            </w:pPr>
          </w:p>
          <w:p w14:paraId="2D5CECC5" w14:textId="77777777" w:rsidR="00CC03B4" w:rsidRDefault="00CC03B4" w:rsidP="00C55E5C">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60F401EE" w14:textId="77777777" w:rsidR="00CC03B4" w:rsidRPr="006108C9" w:rsidRDefault="00CC03B4" w:rsidP="00C55E5C">
            <w:pPr>
              <w:jc w:val="both"/>
              <w:rPr>
                <w:sz w:val="24"/>
                <w:szCs w:val="24"/>
              </w:rPr>
            </w:pPr>
          </w:p>
        </w:tc>
      </w:tr>
    </w:tbl>
    <w:p w14:paraId="56C07852" w14:textId="2AB9BCB8" w:rsidR="00033D6F" w:rsidRPr="00033D6F" w:rsidRDefault="00033D6F" w:rsidP="00033D6F">
      <w:pPr>
        <w:spacing w:line="360" w:lineRule="auto"/>
        <w:jc w:val="both"/>
        <w:rPr>
          <w:sz w:val="24"/>
          <w:szCs w:val="24"/>
        </w:rPr>
      </w:pPr>
    </w:p>
    <w:sectPr w:rsidR="00033D6F" w:rsidRPr="00033D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EDD"/>
    <w:rsid w:val="00025F3C"/>
    <w:rsid w:val="00033D6F"/>
    <w:rsid w:val="00087C13"/>
    <w:rsid w:val="00326C81"/>
    <w:rsid w:val="003E155C"/>
    <w:rsid w:val="004170DF"/>
    <w:rsid w:val="00576C49"/>
    <w:rsid w:val="00596AC3"/>
    <w:rsid w:val="005D2DE9"/>
    <w:rsid w:val="005F1D43"/>
    <w:rsid w:val="006B7900"/>
    <w:rsid w:val="006C7EF2"/>
    <w:rsid w:val="007F28A8"/>
    <w:rsid w:val="008C3B31"/>
    <w:rsid w:val="008D6D34"/>
    <w:rsid w:val="00946391"/>
    <w:rsid w:val="0098313C"/>
    <w:rsid w:val="00A0382A"/>
    <w:rsid w:val="00A05EDD"/>
    <w:rsid w:val="00A616EA"/>
    <w:rsid w:val="00B36514"/>
    <w:rsid w:val="00B775E8"/>
    <w:rsid w:val="00C24C90"/>
    <w:rsid w:val="00C81396"/>
    <w:rsid w:val="00CC03B4"/>
    <w:rsid w:val="00D35F36"/>
    <w:rsid w:val="00DC48F5"/>
    <w:rsid w:val="00E703E0"/>
    <w:rsid w:val="00EA0F56"/>
    <w:rsid w:val="00F51FF1"/>
    <w:rsid w:val="00FF62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5C2EF"/>
  <w15:chartTrackingRefBased/>
  <w15:docId w15:val="{79AF363C-8D16-4121-BB4D-61CEA33F1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EDD"/>
    <w:pPr>
      <w:overflowPunct w:val="0"/>
      <w:autoSpaceDE w:val="0"/>
      <w:autoSpaceDN w:val="0"/>
      <w:adjustRightInd w:val="0"/>
      <w:spacing w:after="0" w:line="240" w:lineRule="auto"/>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A05EDD"/>
    <w:pPr>
      <w:keepNext/>
      <w:keepLines/>
      <w:overflowPunct/>
      <w:autoSpaceDE/>
      <w:autoSpaceDN/>
      <w:adjustRightInd/>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A05EDD"/>
    <w:pPr>
      <w:keepNext/>
      <w:keepLines/>
      <w:overflowPunct/>
      <w:autoSpaceDE/>
      <w:autoSpaceDN/>
      <w:adjustRightInd/>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A05EDD"/>
    <w:pPr>
      <w:keepNext/>
      <w:keepLines/>
      <w:overflowPunct/>
      <w:autoSpaceDE/>
      <w:autoSpaceDN/>
      <w:adjustRightInd/>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A05EDD"/>
    <w:pPr>
      <w:keepNext/>
      <w:keepLines/>
      <w:overflowPunct/>
      <w:autoSpaceDE/>
      <w:autoSpaceDN/>
      <w:adjustRightInd/>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A05EDD"/>
    <w:pPr>
      <w:keepNext/>
      <w:keepLines/>
      <w:overflowPunct/>
      <w:autoSpaceDE/>
      <w:autoSpaceDN/>
      <w:adjustRightInd/>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A05EDD"/>
    <w:pPr>
      <w:keepNext/>
      <w:keepLines/>
      <w:overflowPunct/>
      <w:autoSpaceDE/>
      <w:autoSpaceDN/>
      <w:adjustRightInd/>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A05EDD"/>
    <w:pPr>
      <w:keepNext/>
      <w:keepLines/>
      <w:overflowPunct/>
      <w:autoSpaceDE/>
      <w:autoSpaceDN/>
      <w:adjustRightInd/>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A05EDD"/>
    <w:pPr>
      <w:keepNext/>
      <w:keepLines/>
      <w:overflowPunct/>
      <w:autoSpaceDE/>
      <w:autoSpaceDN/>
      <w:adjustRightInd/>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A05EDD"/>
    <w:pPr>
      <w:keepNext/>
      <w:keepLines/>
      <w:overflowPunct/>
      <w:autoSpaceDE/>
      <w:autoSpaceDN/>
      <w:adjustRightInd/>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5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5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5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5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5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5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5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5EDD"/>
    <w:rPr>
      <w:rFonts w:eastAsiaTheme="majorEastAsia" w:cstheme="majorBidi"/>
      <w:color w:val="272727" w:themeColor="text1" w:themeTint="D8"/>
    </w:rPr>
  </w:style>
  <w:style w:type="paragraph" w:styleId="Title">
    <w:name w:val="Title"/>
    <w:basedOn w:val="Normal"/>
    <w:next w:val="Normal"/>
    <w:link w:val="TitleChar"/>
    <w:uiPriority w:val="10"/>
    <w:qFormat/>
    <w:rsid w:val="00A05EDD"/>
    <w:pPr>
      <w:overflowPunct/>
      <w:autoSpaceDE/>
      <w:autoSpaceDN/>
      <w:adjustRightInd/>
      <w:spacing w:after="80"/>
      <w:contextualSpacing/>
    </w:pPr>
    <w:rPr>
      <w:rFonts w:asciiTheme="majorHAnsi" w:eastAsiaTheme="majorEastAsia" w:hAnsiTheme="majorHAnsi" w:cstheme="majorBidi"/>
      <w:color w:val="auto"/>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A05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5EDD"/>
    <w:pPr>
      <w:numPr>
        <w:ilvl w:val="1"/>
      </w:numPr>
      <w:overflowPunct/>
      <w:autoSpaceDE/>
      <w:autoSpaceDN/>
      <w:adjustRightInd/>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A05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5EDD"/>
    <w:pPr>
      <w:overflowPunct/>
      <w:autoSpaceDE/>
      <w:autoSpaceDN/>
      <w:adjustRightInd/>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A05EDD"/>
    <w:rPr>
      <w:i/>
      <w:iCs/>
      <w:color w:val="404040" w:themeColor="text1" w:themeTint="BF"/>
    </w:rPr>
  </w:style>
  <w:style w:type="paragraph" w:styleId="ListParagraph">
    <w:name w:val="List Paragraph"/>
    <w:basedOn w:val="Normal"/>
    <w:uiPriority w:val="34"/>
    <w:qFormat/>
    <w:rsid w:val="00A05EDD"/>
    <w:pPr>
      <w:overflowPunct/>
      <w:autoSpaceDE/>
      <w:autoSpaceDN/>
      <w:adjustRightInd/>
      <w:spacing w:after="160" w:line="259" w:lineRule="auto"/>
      <w:ind w:left="720"/>
      <w:contextualSpacing/>
    </w:pPr>
    <w:rPr>
      <w:rFonts w:asciiTheme="minorHAnsi" w:eastAsiaTheme="minorHAnsi" w:hAnsiTheme="minorHAnsi" w:cstheme="minorBidi"/>
      <w:color w:val="auto"/>
      <w:kern w:val="2"/>
      <w:sz w:val="22"/>
      <w:szCs w:val="22"/>
      <w:lang w:eastAsia="en-US"/>
      <w14:ligatures w14:val="standardContextual"/>
    </w:rPr>
  </w:style>
  <w:style w:type="character" w:styleId="IntenseEmphasis">
    <w:name w:val="Intense Emphasis"/>
    <w:basedOn w:val="DefaultParagraphFont"/>
    <w:uiPriority w:val="21"/>
    <w:qFormat/>
    <w:rsid w:val="00A05EDD"/>
    <w:rPr>
      <w:i/>
      <w:iCs/>
      <w:color w:val="0F4761" w:themeColor="accent1" w:themeShade="BF"/>
    </w:rPr>
  </w:style>
  <w:style w:type="paragraph" w:styleId="IntenseQuote">
    <w:name w:val="Intense Quote"/>
    <w:basedOn w:val="Normal"/>
    <w:next w:val="Normal"/>
    <w:link w:val="IntenseQuoteChar"/>
    <w:uiPriority w:val="30"/>
    <w:qFormat/>
    <w:rsid w:val="00A05EDD"/>
    <w:pPr>
      <w:pBdr>
        <w:top w:val="single" w:sz="4" w:space="10" w:color="0F4761" w:themeColor="accent1" w:themeShade="BF"/>
        <w:bottom w:val="single" w:sz="4" w:space="10" w:color="0F4761" w:themeColor="accent1" w:themeShade="BF"/>
      </w:pBdr>
      <w:overflowPunct/>
      <w:autoSpaceDE/>
      <w:autoSpaceDN/>
      <w:adjustRightInd/>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A05EDD"/>
    <w:rPr>
      <w:i/>
      <w:iCs/>
      <w:color w:val="0F4761" w:themeColor="accent1" w:themeShade="BF"/>
    </w:rPr>
  </w:style>
  <w:style w:type="character" w:styleId="IntenseReference">
    <w:name w:val="Intense Reference"/>
    <w:basedOn w:val="DefaultParagraphFont"/>
    <w:uiPriority w:val="32"/>
    <w:qFormat/>
    <w:rsid w:val="00A05EDD"/>
    <w:rPr>
      <w:b/>
      <w:bCs/>
      <w:smallCaps/>
      <w:color w:val="0F4761" w:themeColor="accent1" w:themeShade="BF"/>
      <w:spacing w:val="5"/>
    </w:rPr>
  </w:style>
  <w:style w:type="character" w:styleId="Hyperlink">
    <w:name w:val="Hyperlink"/>
    <w:basedOn w:val="DefaultParagraphFont"/>
    <w:uiPriority w:val="99"/>
    <w:unhideWhenUsed/>
    <w:rsid w:val="00B775E8"/>
    <w:rPr>
      <w:color w:val="0000FF"/>
      <w:u w:val="single"/>
    </w:rPr>
  </w:style>
  <w:style w:type="character" w:customStyle="1" w:styleId="vol">
    <w:name w:val="vol"/>
    <w:basedOn w:val="DefaultParagraphFont"/>
    <w:rsid w:val="00033D6F"/>
  </w:style>
  <w:style w:type="character" w:customStyle="1" w:styleId="citedissue">
    <w:name w:val="citedissue"/>
    <w:basedOn w:val="DefaultParagraphFont"/>
    <w:rsid w:val="00033D6F"/>
  </w:style>
  <w:style w:type="character" w:customStyle="1" w:styleId="pagefirst">
    <w:name w:val="pagefirst"/>
    <w:basedOn w:val="DefaultParagraphFont"/>
    <w:rsid w:val="00033D6F"/>
  </w:style>
  <w:style w:type="character" w:customStyle="1" w:styleId="pagelast">
    <w:name w:val="pagelast"/>
    <w:basedOn w:val="DefaultParagraphFont"/>
    <w:rsid w:val="00033D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4</Pages>
  <Words>1030</Words>
  <Characters>5873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3</cp:revision>
  <dcterms:created xsi:type="dcterms:W3CDTF">2024-01-29T19:13:00Z</dcterms:created>
  <dcterms:modified xsi:type="dcterms:W3CDTF">2024-02-12T16:48:00Z</dcterms:modified>
</cp:coreProperties>
</file>