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240" w:after="240" w:line="360" w:lineRule="auto"/>
        <w:rPr>
          <w:rFonts w:ascii="Times New Roman" w:hAnsi="Times New Roman" w:cs="Times New Roman"/>
          <w:b/>
          <w:sz w:val="32"/>
          <w:szCs w:val="32"/>
        </w:rPr>
      </w:pPr>
    </w:p>
    <w:p>
      <w:r>
        <w:t xml:space="preserve">                                              </w:t>
      </w:r>
      <w:r>
        <w:drawing>
          <wp:inline distT="0" distB="0" distL="0" distR="0">
            <wp:extent cx="2230755" cy="9626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30755" cy="962660"/>
                    </a:xfrm>
                    <a:prstGeom prst="rect">
                      <a:avLst/>
                    </a:prstGeom>
                    <a:noFill/>
                    <a:ln>
                      <a:noFill/>
                    </a:ln>
                  </pic:spPr>
                </pic:pic>
              </a:graphicData>
            </a:graphic>
          </wp:inline>
        </w:drawing>
      </w:r>
    </w:p>
    <w:p>
      <w:pPr>
        <w:pStyle w:val="3"/>
        <w:spacing w:before="240" w:after="240" w:line="360" w:lineRule="auto"/>
        <w:jc w:val="center"/>
        <w:rPr>
          <w:rFonts w:ascii="Times New Roman" w:hAnsi="Times New Roman" w:cs="Times New Roman"/>
          <w:b/>
          <w:sz w:val="32"/>
          <w:szCs w:val="32"/>
        </w:rPr>
      </w:pPr>
    </w:p>
    <w:p>
      <w:pPr>
        <w:pStyle w:val="3"/>
        <w:spacing w:before="240" w:after="240" w:line="360" w:lineRule="auto"/>
        <w:jc w:val="center"/>
        <w:rPr>
          <w:b/>
          <w:sz w:val="32"/>
          <w:szCs w:val="32"/>
          <w:u w:val="single"/>
        </w:rPr>
      </w:pPr>
      <w:r>
        <w:rPr>
          <w:b/>
          <w:sz w:val="32"/>
          <w:szCs w:val="32"/>
          <w:u w:val="single"/>
        </w:rPr>
        <w:t>LCMB7012 BANKING FINANCIAL MANAGEMENT AND FINANCIAL MARKETS</w:t>
      </w:r>
    </w:p>
    <w:p>
      <w:pPr>
        <w:pStyle w:val="3"/>
        <w:spacing w:before="240" w:after="240" w:line="360" w:lineRule="auto"/>
        <w:jc w:val="center"/>
        <w:rPr>
          <w:rFonts w:ascii="Times New Roman" w:hAnsi="Times New Roman" w:cs="Times New Roman"/>
          <w:b/>
          <w:sz w:val="32"/>
          <w:szCs w:val="32"/>
        </w:rPr>
      </w:pPr>
    </w:p>
    <w:p>
      <w:pPr>
        <w:spacing w:before="240"/>
        <w:jc w:val="center"/>
        <w:rPr>
          <w:b/>
          <w:bCs/>
          <w:sz w:val="36"/>
          <w:szCs w:val="36"/>
        </w:rPr>
      </w:pPr>
      <w:r>
        <w:rPr>
          <w:b/>
          <w:bCs/>
          <w:sz w:val="36"/>
          <w:szCs w:val="36"/>
        </w:rPr>
        <w:t>Name: KRISHIKA SANDIP PATEL</w:t>
      </w:r>
    </w:p>
    <w:p>
      <w:pPr>
        <w:spacing w:before="240"/>
        <w:jc w:val="center"/>
        <w:rPr>
          <w:b/>
          <w:bCs/>
          <w:sz w:val="36"/>
          <w:szCs w:val="36"/>
        </w:rPr>
      </w:pPr>
      <w:r>
        <w:rPr>
          <w:b/>
          <w:bCs/>
          <w:sz w:val="36"/>
          <w:szCs w:val="36"/>
        </w:rPr>
        <w:t>Course: MBA (Banking and Finance)</w:t>
      </w:r>
    </w:p>
    <w:p>
      <w:pPr>
        <w:spacing w:before="240"/>
        <w:jc w:val="center"/>
        <w:rPr>
          <w:b/>
          <w:bCs/>
          <w:sz w:val="36"/>
          <w:szCs w:val="36"/>
        </w:rPr>
      </w:pPr>
      <w:r>
        <w:rPr>
          <w:b/>
          <w:bCs/>
          <w:sz w:val="36"/>
          <w:szCs w:val="36"/>
        </w:rPr>
        <w:t xml:space="preserve">Module: </w:t>
      </w:r>
      <w:r>
        <w:rPr>
          <w:b/>
          <w:sz w:val="32"/>
          <w:szCs w:val="32"/>
        </w:rPr>
        <w:t>BANKING FINANCIAL MANAGEMENT AND FINANCIAL MARKETS</w:t>
      </w:r>
    </w:p>
    <w:p>
      <w:pPr>
        <w:spacing w:before="240"/>
        <w:jc w:val="center"/>
        <w:rPr>
          <w:b/>
          <w:bCs/>
          <w:sz w:val="36"/>
          <w:szCs w:val="36"/>
        </w:rPr>
      </w:pPr>
      <w:r>
        <w:rPr>
          <w:b/>
          <w:bCs/>
          <w:sz w:val="36"/>
          <w:szCs w:val="36"/>
        </w:rPr>
        <w:t>Student ID: 2216070</w:t>
      </w:r>
    </w:p>
    <w:p>
      <w:pPr>
        <w:pStyle w:val="3"/>
        <w:spacing w:before="240" w:after="240" w:line="360" w:lineRule="auto"/>
        <w:jc w:val="center"/>
        <w:rPr>
          <w:rFonts w:ascii="Times New Roman" w:hAnsi="Times New Roman" w:cs="Times New Roman"/>
          <w:b/>
          <w:sz w:val="32"/>
          <w:szCs w:val="32"/>
        </w:rPr>
      </w:pPr>
    </w:p>
    <w:p>
      <w:pPr>
        <w:pStyle w:val="3"/>
        <w:spacing w:before="240" w:after="240" w:line="360" w:lineRule="auto"/>
      </w:pPr>
      <w:r>
        <w:br w:type="page"/>
      </w:r>
    </w:p>
    <w:sdt>
      <w:sdtPr>
        <w:rPr>
          <w:rFonts w:ascii="Arial" w:hAnsi="Arial" w:eastAsia="Times New Roman" w:cs="Arial"/>
          <w:color w:val="auto"/>
          <w:sz w:val="22"/>
          <w:szCs w:val="22"/>
        </w:rPr>
        <w:id w:val="1175923389"/>
        <w:docPartObj>
          <w:docPartGallery w:val="AutoText"/>
        </w:docPartObj>
      </w:sdtPr>
      <w:sdtEndPr>
        <w:rPr>
          <w:rFonts w:ascii="Arial" w:hAnsi="Arial" w:eastAsia="Times New Roman" w:cs="Arial"/>
          <w:color w:val="auto"/>
          <w:sz w:val="22"/>
          <w:szCs w:val="22"/>
        </w:rPr>
      </w:sdtEndPr>
      <w:sdtContent>
        <w:p>
          <w:pPr>
            <w:pStyle w:val="12"/>
            <w:spacing w:line="360" w:lineRule="auto"/>
          </w:pPr>
          <w:r>
            <w:t>Table of Contents</w:t>
          </w:r>
        </w:p>
        <w:p>
          <w:pPr>
            <w:pStyle w:val="8"/>
            <w:spacing w:after="240" w:line="360" w:lineRule="auto"/>
            <w:jc w:val="both"/>
            <w:rPr>
              <w:rFonts w:ascii="Times New Roman" w:hAnsi="Times New Roman" w:eastAsia="Arial" w:cs="Times New Roman"/>
              <w:color w:val="000000"/>
              <w:sz w:val="24"/>
              <w:szCs w:val="24"/>
            </w:rPr>
          </w:pPr>
          <w:r>
            <w:fldChar w:fldCharType="begin"/>
          </w:r>
          <w:r>
            <w:instrText xml:space="preserve"> HYPERLINK "file:///C:\\Users\\krish\\Downloads\\LCMB7012%20.docx" \l "_Toc133944156" </w:instrText>
          </w:r>
          <w:r>
            <w:fldChar w:fldCharType="separate"/>
          </w:r>
          <w:r>
            <w:rPr>
              <w:rStyle w:val="13"/>
              <w:rFonts w:ascii="Times New Roman" w:hAnsi="Times New Roman" w:eastAsia="Arial" w:cs="Times New Roman"/>
              <w:color w:val="000000"/>
              <w:sz w:val="24"/>
              <w:szCs w:val="24"/>
            </w:rPr>
            <w:t>Introduction</w:t>
          </w:r>
          <w:r>
            <w:rPr>
              <w:rStyle w:val="7"/>
              <w:rFonts w:ascii="Times New Roman" w:hAnsi="Times New Roman" w:eastAsia="Arial" w:cs="Times New Roman"/>
              <w:color w:val="000000"/>
              <w:sz w:val="24"/>
              <w:szCs w:val="24"/>
            </w:rPr>
            <w:tab/>
          </w:r>
          <w:r>
            <w:rPr>
              <w:rStyle w:val="7"/>
              <w:rFonts w:ascii="Times New Roman" w:hAnsi="Times New Roman" w:eastAsia="Arial" w:cs="Times New Roman"/>
              <w:color w:val="000000"/>
              <w:sz w:val="24"/>
              <w:szCs w:val="24"/>
            </w:rPr>
            <w:fldChar w:fldCharType="begin"/>
          </w:r>
          <w:r>
            <w:rPr>
              <w:rStyle w:val="7"/>
              <w:rFonts w:ascii="Times New Roman" w:hAnsi="Times New Roman" w:eastAsia="Arial" w:cs="Times New Roman"/>
              <w:color w:val="000000"/>
              <w:sz w:val="24"/>
              <w:szCs w:val="24"/>
            </w:rPr>
            <w:instrText xml:space="preserve"> PAGEREF _Toc133944156 \h </w:instrText>
          </w:r>
          <w:r>
            <w:rPr>
              <w:rStyle w:val="7"/>
              <w:rFonts w:ascii="Times New Roman" w:hAnsi="Times New Roman" w:eastAsia="Arial" w:cs="Times New Roman"/>
              <w:color w:val="000000"/>
              <w:sz w:val="24"/>
              <w:szCs w:val="24"/>
            </w:rPr>
            <w:fldChar w:fldCharType="separate"/>
          </w:r>
          <w:r>
            <w:rPr>
              <w:rStyle w:val="7"/>
              <w:rFonts w:ascii="Times New Roman" w:hAnsi="Times New Roman" w:eastAsia="Arial" w:cs="Times New Roman"/>
              <w:color w:val="000000"/>
              <w:sz w:val="24"/>
              <w:szCs w:val="24"/>
            </w:rPr>
            <w:t>3</w:t>
          </w:r>
          <w:r>
            <w:rPr>
              <w:rStyle w:val="7"/>
              <w:rFonts w:ascii="Times New Roman" w:hAnsi="Times New Roman" w:eastAsia="Arial" w:cs="Times New Roman"/>
              <w:color w:val="000000"/>
              <w:sz w:val="24"/>
              <w:szCs w:val="24"/>
            </w:rPr>
            <w:fldChar w:fldCharType="end"/>
          </w:r>
          <w:r>
            <w:rPr>
              <w:rStyle w:val="7"/>
              <w:rFonts w:ascii="Times New Roman" w:hAnsi="Times New Roman" w:eastAsia="Arial" w:cs="Times New Roman"/>
              <w:color w:val="000000"/>
              <w:sz w:val="24"/>
              <w:szCs w:val="24"/>
            </w:rPr>
            <w:fldChar w:fldCharType="end"/>
          </w:r>
        </w:p>
        <w:p>
          <w:pPr>
            <w:pStyle w:val="8"/>
            <w:spacing w:after="240" w:line="360" w:lineRule="auto"/>
            <w:jc w:val="both"/>
            <w:rPr>
              <w:rFonts w:ascii="Times New Roman" w:hAnsi="Times New Roman" w:eastAsia="Arial" w:cs="Times New Roman"/>
              <w:color w:val="000000"/>
              <w:sz w:val="24"/>
              <w:szCs w:val="24"/>
            </w:rPr>
          </w:pPr>
          <w:r>
            <w:fldChar w:fldCharType="begin"/>
          </w:r>
          <w:r>
            <w:instrText xml:space="preserve"> HYPERLINK "file:///C:\\Users\\krish\\Downloads\\LCMB7012%20.docx" \l "_Toc133944157" </w:instrText>
          </w:r>
          <w:r>
            <w:fldChar w:fldCharType="separate"/>
          </w:r>
          <w:r>
            <w:rPr>
              <w:rStyle w:val="13"/>
              <w:rFonts w:ascii="Times New Roman" w:hAnsi="Times New Roman" w:eastAsia="Arial" w:cs="Times New Roman"/>
              <w:color w:val="000000"/>
              <w:sz w:val="24"/>
              <w:szCs w:val="24"/>
            </w:rPr>
            <w:t>Discussion and Analysis</w:t>
          </w:r>
          <w:r>
            <w:rPr>
              <w:rStyle w:val="7"/>
              <w:rFonts w:ascii="Times New Roman" w:hAnsi="Times New Roman" w:eastAsia="Arial" w:cs="Times New Roman"/>
              <w:color w:val="000000"/>
              <w:sz w:val="24"/>
              <w:szCs w:val="24"/>
            </w:rPr>
            <w:tab/>
          </w:r>
          <w:r>
            <w:rPr>
              <w:rStyle w:val="7"/>
              <w:rFonts w:ascii="Times New Roman" w:hAnsi="Times New Roman" w:eastAsia="Arial" w:cs="Times New Roman"/>
              <w:color w:val="000000"/>
              <w:sz w:val="24"/>
              <w:szCs w:val="24"/>
            </w:rPr>
            <w:fldChar w:fldCharType="begin"/>
          </w:r>
          <w:r>
            <w:rPr>
              <w:rStyle w:val="7"/>
              <w:rFonts w:ascii="Times New Roman" w:hAnsi="Times New Roman" w:eastAsia="Arial" w:cs="Times New Roman"/>
              <w:color w:val="000000"/>
              <w:sz w:val="24"/>
              <w:szCs w:val="24"/>
            </w:rPr>
            <w:instrText xml:space="preserve"> PAGEREF _Toc133944157 \h </w:instrText>
          </w:r>
          <w:r>
            <w:rPr>
              <w:rStyle w:val="7"/>
              <w:rFonts w:ascii="Times New Roman" w:hAnsi="Times New Roman" w:eastAsia="Arial" w:cs="Times New Roman"/>
              <w:color w:val="000000"/>
              <w:sz w:val="24"/>
              <w:szCs w:val="24"/>
            </w:rPr>
            <w:fldChar w:fldCharType="separate"/>
          </w:r>
          <w:r>
            <w:rPr>
              <w:rStyle w:val="7"/>
              <w:rFonts w:ascii="Times New Roman" w:hAnsi="Times New Roman" w:eastAsia="Arial" w:cs="Times New Roman"/>
              <w:color w:val="000000"/>
              <w:sz w:val="24"/>
              <w:szCs w:val="24"/>
            </w:rPr>
            <w:t>3</w:t>
          </w:r>
          <w:r>
            <w:rPr>
              <w:rStyle w:val="7"/>
              <w:rFonts w:ascii="Times New Roman" w:hAnsi="Times New Roman" w:eastAsia="Arial" w:cs="Times New Roman"/>
              <w:color w:val="000000"/>
              <w:sz w:val="24"/>
              <w:szCs w:val="24"/>
            </w:rPr>
            <w:fldChar w:fldCharType="end"/>
          </w:r>
          <w:r>
            <w:rPr>
              <w:rStyle w:val="7"/>
              <w:rFonts w:ascii="Times New Roman" w:hAnsi="Times New Roman" w:eastAsia="Arial" w:cs="Times New Roman"/>
              <w:color w:val="000000"/>
              <w:sz w:val="24"/>
              <w:szCs w:val="24"/>
            </w:rPr>
            <w:fldChar w:fldCharType="end"/>
          </w:r>
        </w:p>
        <w:p>
          <w:pPr>
            <w:pStyle w:val="9"/>
            <w:spacing w:after="240" w:line="360" w:lineRule="auto"/>
            <w:jc w:val="both"/>
            <w:rPr>
              <w:rFonts w:ascii="Times New Roman" w:hAnsi="Times New Roman" w:eastAsia="Arial" w:cs="Times New Roman"/>
              <w:color w:val="000000"/>
              <w:sz w:val="24"/>
              <w:szCs w:val="24"/>
            </w:rPr>
          </w:pPr>
          <w:r>
            <w:fldChar w:fldCharType="begin"/>
          </w:r>
          <w:r>
            <w:instrText xml:space="preserve"> HYPERLINK "file:///C:\\Users\\krish\\Downloads\\LCMB7012%20.docx" \l "_Toc133944158" </w:instrText>
          </w:r>
          <w:r>
            <w:fldChar w:fldCharType="separate"/>
          </w:r>
          <w:r>
            <w:rPr>
              <w:rStyle w:val="13"/>
              <w:rFonts w:ascii="Times New Roman" w:hAnsi="Times New Roman" w:eastAsia="Arial" w:cs="Times New Roman"/>
              <w:color w:val="000000"/>
              <w:sz w:val="24"/>
              <w:szCs w:val="24"/>
            </w:rPr>
            <w:t>Identification of key laws, regulations, and contracts enacted post-2008 crisis</w:t>
          </w:r>
          <w:r>
            <w:rPr>
              <w:rStyle w:val="7"/>
              <w:rFonts w:ascii="Times New Roman" w:hAnsi="Times New Roman" w:eastAsia="Arial" w:cs="Times New Roman"/>
              <w:color w:val="000000"/>
              <w:sz w:val="24"/>
              <w:szCs w:val="24"/>
            </w:rPr>
            <w:tab/>
          </w:r>
          <w:r>
            <w:rPr>
              <w:rStyle w:val="7"/>
              <w:rFonts w:ascii="Times New Roman" w:hAnsi="Times New Roman" w:eastAsia="Arial" w:cs="Times New Roman"/>
              <w:color w:val="000000"/>
              <w:sz w:val="24"/>
              <w:szCs w:val="24"/>
            </w:rPr>
            <w:fldChar w:fldCharType="begin"/>
          </w:r>
          <w:r>
            <w:rPr>
              <w:rStyle w:val="7"/>
              <w:rFonts w:ascii="Times New Roman" w:hAnsi="Times New Roman" w:eastAsia="Arial" w:cs="Times New Roman"/>
              <w:color w:val="000000"/>
              <w:sz w:val="24"/>
              <w:szCs w:val="24"/>
            </w:rPr>
            <w:instrText xml:space="preserve"> PAGEREF _Toc133944158 \h </w:instrText>
          </w:r>
          <w:r>
            <w:rPr>
              <w:rStyle w:val="7"/>
              <w:rFonts w:ascii="Times New Roman" w:hAnsi="Times New Roman" w:eastAsia="Arial" w:cs="Times New Roman"/>
              <w:color w:val="000000"/>
              <w:sz w:val="24"/>
              <w:szCs w:val="24"/>
            </w:rPr>
            <w:fldChar w:fldCharType="separate"/>
          </w:r>
          <w:r>
            <w:rPr>
              <w:rStyle w:val="7"/>
              <w:rFonts w:ascii="Times New Roman" w:hAnsi="Times New Roman" w:eastAsia="Arial" w:cs="Times New Roman"/>
              <w:color w:val="000000"/>
              <w:sz w:val="24"/>
              <w:szCs w:val="24"/>
            </w:rPr>
            <w:t>3</w:t>
          </w:r>
          <w:r>
            <w:rPr>
              <w:rStyle w:val="7"/>
              <w:rFonts w:ascii="Times New Roman" w:hAnsi="Times New Roman" w:eastAsia="Arial" w:cs="Times New Roman"/>
              <w:color w:val="000000"/>
              <w:sz w:val="24"/>
              <w:szCs w:val="24"/>
            </w:rPr>
            <w:fldChar w:fldCharType="end"/>
          </w:r>
          <w:r>
            <w:rPr>
              <w:rStyle w:val="7"/>
              <w:rFonts w:ascii="Times New Roman" w:hAnsi="Times New Roman" w:eastAsia="Arial" w:cs="Times New Roman"/>
              <w:color w:val="000000"/>
              <w:sz w:val="24"/>
              <w:szCs w:val="24"/>
            </w:rPr>
            <w:fldChar w:fldCharType="end"/>
          </w:r>
        </w:p>
        <w:p>
          <w:pPr>
            <w:pStyle w:val="9"/>
            <w:spacing w:after="240" w:line="360" w:lineRule="auto"/>
            <w:jc w:val="both"/>
            <w:rPr>
              <w:rFonts w:ascii="Times New Roman" w:hAnsi="Times New Roman" w:eastAsia="Arial" w:cs="Times New Roman"/>
              <w:color w:val="000000"/>
              <w:sz w:val="24"/>
              <w:szCs w:val="24"/>
            </w:rPr>
          </w:pPr>
          <w:r>
            <w:fldChar w:fldCharType="begin"/>
          </w:r>
          <w:r>
            <w:instrText xml:space="preserve"> HYPERLINK "file:///C:\\Users\\krish\\Downloads\\LCMB7012%20.docx" \l "_Toc133944159" </w:instrText>
          </w:r>
          <w:r>
            <w:fldChar w:fldCharType="separate"/>
          </w:r>
          <w:r>
            <w:rPr>
              <w:rStyle w:val="13"/>
              <w:rFonts w:ascii="Times New Roman" w:hAnsi="Times New Roman" w:eastAsia="Arial" w:cs="Times New Roman"/>
              <w:color w:val="000000"/>
              <w:sz w:val="24"/>
              <w:szCs w:val="24"/>
            </w:rPr>
            <w:t>Contribution of reforms toward stabilisation of the Financial System</w:t>
          </w:r>
          <w:r>
            <w:rPr>
              <w:rStyle w:val="7"/>
              <w:rFonts w:ascii="Times New Roman" w:hAnsi="Times New Roman" w:eastAsia="Arial" w:cs="Times New Roman"/>
              <w:color w:val="000000"/>
              <w:sz w:val="24"/>
              <w:szCs w:val="24"/>
            </w:rPr>
            <w:tab/>
          </w:r>
          <w:r>
            <w:rPr>
              <w:rStyle w:val="7"/>
              <w:rFonts w:ascii="Times New Roman" w:hAnsi="Times New Roman" w:eastAsia="Arial" w:cs="Times New Roman"/>
              <w:color w:val="000000"/>
              <w:sz w:val="24"/>
              <w:szCs w:val="24"/>
            </w:rPr>
            <w:fldChar w:fldCharType="begin"/>
          </w:r>
          <w:r>
            <w:rPr>
              <w:rStyle w:val="7"/>
              <w:rFonts w:ascii="Times New Roman" w:hAnsi="Times New Roman" w:eastAsia="Arial" w:cs="Times New Roman"/>
              <w:color w:val="000000"/>
              <w:sz w:val="24"/>
              <w:szCs w:val="24"/>
            </w:rPr>
            <w:instrText xml:space="preserve"> PAGEREF _Toc133944159 \h </w:instrText>
          </w:r>
          <w:r>
            <w:rPr>
              <w:rStyle w:val="7"/>
              <w:rFonts w:ascii="Times New Roman" w:hAnsi="Times New Roman" w:eastAsia="Arial" w:cs="Times New Roman"/>
              <w:color w:val="000000"/>
              <w:sz w:val="24"/>
              <w:szCs w:val="24"/>
            </w:rPr>
            <w:fldChar w:fldCharType="separate"/>
          </w:r>
          <w:r>
            <w:rPr>
              <w:rStyle w:val="7"/>
              <w:rFonts w:ascii="Times New Roman" w:hAnsi="Times New Roman" w:eastAsia="Arial" w:cs="Times New Roman"/>
              <w:color w:val="000000"/>
              <w:sz w:val="24"/>
              <w:szCs w:val="24"/>
            </w:rPr>
            <w:t>9</w:t>
          </w:r>
          <w:r>
            <w:rPr>
              <w:rStyle w:val="7"/>
              <w:rFonts w:ascii="Times New Roman" w:hAnsi="Times New Roman" w:eastAsia="Arial" w:cs="Times New Roman"/>
              <w:color w:val="000000"/>
              <w:sz w:val="24"/>
              <w:szCs w:val="24"/>
            </w:rPr>
            <w:fldChar w:fldCharType="end"/>
          </w:r>
          <w:r>
            <w:rPr>
              <w:rStyle w:val="7"/>
              <w:rFonts w:ascii="Times New Roman" w:hAnsi="Times New Roman" w:eastAsia="Arial" w:cs="Times New Roman"/>
              <w:color w:val="000000"/>
              <w:sz w:val="24"/>
              <w:szCs w:val="24"/>
            </w:rPr>
            <w:fldChar w:fldCharType="end"/>
          </w:r>
        </w:p>
        <w:p>
          <w:pPr>
            <w:pStyle w:val="9"/>
            <w:spacing w:after="240" w:line="360" w:lineRule="auto"/>
            <w:jc w:val="both"/>
            <w:rPr>
              <w:rFonts w:ascii="Times New Roman" w:hAnsi="Times New Roman" w:eastAsia="Arial" w:cs="Times New Roman"/>
              <w:color w:val="000000"/>
              <w:sz w:val="24"/>
              <w:szCs w:val="24"/>
            </w:rPr>
          </w:pPr>
          <w:r>
            <w:fldChar w:fldCharType="begin"/>
          </w:r>
          <w:r>
            <w:instrText xml:space="preserve"> HYPERLINK "file:///C:\\Users\\krish\\Downloads\\LCMB7012%20.docx" \l "_Toc133944160" </w:instrText>
          </w:r>
          <w:r>
            <w:fldChar w:fldCharType="separate"/>
          </w:r>
          <w:r>
            <w:rPr>
              <w:rStyle w:val="13"/>
              <w:rFonts w:ascii="Times New Roman" w:hAnsi="Times New Roman" w:eastAsia="Arial" w:cs="Times New Roman"/>
              <w:color w:val="000000"/>
              <w:sz w:val="24"/>
              <w:szCs w:val="24"/>
            </w:rPr>
            <w:t>Analysis of Reforms in a banking organisation and its Impact on the business model</w:t>
          </w:r>
          <w:r>
            <w:rPr>
              <w:rStyle w:val="7"/>
              <w:rFonts w:ascii="Times New Roman" w:hAnsi="Times New Roman" w:eastAsia="Arial" w:cs="Times New Roman"/>
              <w:color w:val="000000"/>
              <w:sz w:val="24"/>
              <w:szCs w:val="24"/>
            </w:rPr>
            <w:tab/>
          </w:r>
          <w:r>
            <w:rPr>
              <w:rStyle w:val="7"/>
              <w:rFonts w:ascii="Times New Roman" w:hAnsi="Times New Roman" w:eastAsia="Arial" w:cs="Times New Roman"/>
              <w:color w:val="000000"/>
              <w:sz w:val="24"/>
              <w:szCs w:val="24"/>
            </w:rPr>
            <w:fldChar w:fldCharType="begin"/>
          </w:r>
          <w:r>
            <w:rPr>
              <w:rStyle w:val="7"/>
              <w:rFonts w:ascii="Times New Roman" w:hAnsi="Times New Roman" w:eastAsia="Arial" w:cs="Times New Roman"/>
              <w:color w:val="000000"/>
              <w:sz w:val="24"/>
              <w:szCs w:val="24"/>
            </w:rPr>
            <w:instrText xml:space="preserve"> PAGEREF _Toc133944160 \h </w:instrText>
          </w:r>
          <w:r>
            <w:rPr>
              <w:rStyle w:val="7"/>
              <w:rFonts w:ascii="Times New Roman" w:hAnsi="Times New Roman" w:eastAsia="Arial" w:cs="Times New Roman"/>
              <w:color w:val="000000"/>
              <w:sz w:val="24"/>
              <w:szCs w:val="24"/>
            </w:rPr>
            <w:fldChar w:fldCharType="separate"/>
          </w:r>
          <w:r>
            <w:rPr>
              <w:rStyle w:val="7"/>
              <w:rFonts w:ascii="Times New Roman" w:hAnsi="Times New Roman" w:eastAsia="Arial" w:cs="Times New Roman"/>
              <w:color w:val="000000"/>
              <w:sz w:val="24"/>
              <w:szCs w:val="24"/>
            </w:rPr>
            <w:t>14</w:t>
          </w:r>
          <w:r>
            <w:rPr>
              <w:rStyle w:val="7"/>
              <w:rFonts w:ascii="Times New Roman" w:hAnsi="Times New Roman" w:eastAsia="Arial" w:cs="Times New Roman"/>
              <w:color w:val="000000"/>
              <w:sz w:val="24"/>
              <w:szCs w:val="24"/>
            </w:rPr>
            <w:fldChar w:fldCharType="end"/>
          </w:r>
          <w:r>
            <w:rPr>
              <w:rStyle w:val="7"/>
              <w:rFonts w:ascii="Times New Roman" w:hAnsi="Times New Roman" w:eastAsia="Arial" w:cs="Times New Roman"/>
              <w:color w:val="000000"/>
              <w:sz w:val="24"/>
              <w:szCs w:val="24"/>
            </w:rPr>
            <w:fldChar w:fldCharType="end"/>
          </w:r>
        </w:p>
        <w:p>
          <w:pPr>
            <w:pStyle w:val="8"/>
            <w:spacing w:after="240" w:line="360" w:lineRule="auto"/>
            <w:jc w:val="both"/>
            <w:rPr>
              <w:rFonts w:ascii="Times New Roman" w:hAnsi="Times New Roman" w:eastAsia="Arial" w:cs="Times New Roman"/>
              <w:color w:val="000000"/>
              <w:sz w:val="24"/>
              <w:szCs w:val="24"/>
            </w:rPr>
          </w:pPr>
          <w:r>
            <w:fldChar w:fldCharType="begin"/>
          </w:r>
          <w:r>
            <w:instrText xml:space="preserve"> HYPERLINK "file:///C:\\Users\\krish\\Downloads\\LCMB7012%20.docx" \l "_Toc133944161" </w:instrText>
          </w:r>
          <w:r>
            <w:fldChar w:fldCharType="separate"/>
          </w:r>
          <w:r>
            <w:rPr>
              <w:rStyle w:val="13"/>
              <w:rFonts w:ascii="Times New Roman" w:hAnsi="Times New Roman" w:eastAsia="Arial" w:cs="Times New Roman"/>
              <w:color w:val="000000"/>
              <w:sz w:val="24"/>
              <w:szCs w:val="24"/>
            </w:rPr>
            <w:t>Conclusion</w:t>
          </w:r>
          <w:r>
            <w:rPr>
              <w:rStyle w:val="7"/>
              <w:rFonts w:ascii="Times New Roman" w:hAnsi="Times New Roman" w:eastAsia="Arial" w:cs="Times New Roman"/>
              <w:color w:val="000000"/>
              <w:sz w:val="24"/>
              <w:szCs w:val="24"/>
            </w:rPr>
            <w:tab/>
          </w:r>
          <w:r>
            <w:rPr>
              <w:rStyle w:val="7"/>
              <w:rFonts w:ascii="Times New Roman" w:hAnsi="Times New Roman" w:eastAsia="Arial" w:cs="Times New Roman"/>
              <w:color w:val="000000"/>
              <w:sz w:val="24"/>
              <w:szCs w:val="24"/>
            </w:rPr>
            <w:fldChar w:fldCharType="begin"/>
          </w:r>
          <w:r>
            <w:rPr>
              <w:rStyle w:val="7"/>
              <w:rFonts w:ascii="Times New Roman" w:hAnsi="Times New Roman" w:eastAsia="Arial" w:cs="Times New Roman"/>
              <w:color w:val="000000"/>
              <w:sz w:val="24"/>
              <w:szCs w:val="24"/>
            </w:rPr>
            <w:instrText xml:space="preserve"> PAGEREF _Toc133944161 \h </w:instrText>
          </w:r>
          <w:r>
            <w:rPr>
              <w:rStyle w:val="7"/>
              <w:rFonts w:ascii="Times New Roman" w:hAnsi="Times New Roman" w:eastAsia="Arial" w:cs="Times New Roman"/>
              <w:color w:val="000000"/>
              <w:sz w:val="24"/>
              <w:szCs w:val="24"/>
            </w:rPr>
            <w:fldChar w:fldCharType="separate"/>
          </w:r>
          <w:r>
            <w:rPr>
              <w:rStyle w:val="7"/>
              <w:rFonts w:ascii="Times New Roman" w:hAnsi="Times New Roman" w:eastAsia="Arial" w:cs="Times New Roman"/>
              <w:color w:val="000000"/>
              <w:sz w:val="24"/>
              <w:szCs w:val="24"/>
            </w:rPr>
            <w:t>18</w:t>
          </w:r>
          <w:r>
            <w:rPr>
              <w:rStyle w:val="7"/>
              <w:rFonts w:ascii="Times New Roman" w:hAnsi="Times New Roman" w:eastAsia="Arial" w:cs="Times New Roman"/>
              <w:color w:val="000000"/>
              <w:sz w:val="24"/>
              <w:szCs w:val="24"/>
            </w:rPr>
            <w:fldChar w:fldCharType="end"/>
          </w:r>
          <w:r>
            <w:rPr>
              <w:rStyle w:val="7"/>
              <w:rFonts w:ascii="Times New Roman" w:hAnsi="Times New Roman" w:eastAsia="Arial" w:cs="Times New Roman"/>
              <w:color w:val="000000"/>
              <w:sz w:val="24"/>
              <w:szCs w:val="24"/>
            </w:rPr>
            <w:fldChar w:fldCharType="end"/>
          </w:r>
        </w:p>
        <w:p>
          <w:pPr>
            <w:pStyle w:val="8"/>
            <w:spacing w:after="240" w:line="360" w:lineRule="auto"/>
            <w:jc w:val="both"/>
            <w:rPr>
              <w:rFonts w:ascii="Times New Roman" w:hAnsi="Times New Roman" w:eastAsia="Arial" w:cs="Times New Roman"/>
              <w:color w:val="000000"/>
              <w:sz w:val="24"/>
              <w:szCs w:val="24"/>
            </w:rPr>
          </w:pPr>
          <w:r>
            <w:fldChar w:fldCharType="begin"/>
          </w:r>
          <w:r>
            <w:instrText xml:space="preserve"> HYPERLINK "file:///C:\\Users\\krish\\Downloads\\LCMB7012%20.docx" \l "_Toc133944162" </w:instrText>
          </w:r>
          <w:r>
            <w:fldChar w:fldCharType="separate"/>
          </w:r>
          <w:r>
            <w:rPr>
              <w:rStyle w:val="13"/>
              <w:rFonts w:ascii="Times New Roman" w:hAnsi="Times New Roman" w:eastAsia="Arial" w:cs="Times New Roman"/>
              <w:color w:val="000000"/>
              <w:sz w:val="24"/>
              <w:szCs w:val="24"/>
            </w:rPr>
            <w:t>Reference List</w:t>
          </w:r>
          <w:r>
            <w:rPr>
              <w:rStyle w:val="7"/>
              <w:rFonts w:ascii="Times New Roman" w:hAnsi="Times New Roman" w:eastAsia="Arial" w:cs="Times New Roman"/>
              <w:color w:val="000000"/>
              <w:sz w:val="24"/>
              <w:szCs w:val="24"/>
            </w:rPr>
            <w:tab/>
          </w:r>
          <w:r>
            <w:rPr>
              <w:rStyle w:val="7"/>
              <w:rFonts w:ascii="Times New Roman" w:hAnsi="Times New Roman" w:eastAsia="Arial" w:cs="Times New Roman"/>
              <w:color w:val="000000"/>
              <w:sz w:val="24"/>
              <w:szCs w:val="24"/>
            </w:rPr>
            <w:fldChar w:fldCharType="begin"/>
          </w:r>
          <w:r>
            <w:rPr>
              <w:rStyle w:val="7"/>
              <w:rFonts w:ascii="Times New Roman" w:hAnsi="Times New Roman" w:eastAsia="Arial" w:cs="Times New Roman"/>
              <w:color w:val="000000"/>
              <w:sz w:val="24"/>
              <w:szCs w:val="24"/>
            </w:rPr>
            <w:instrText xml:space="preserve"> PAGEREF _Toc133944162 \h </w:instrText>
          </w:r>
          <w:r>
            <w:rPr>
              <w:rStyle w:val="7"/>
              <w:rFonts w:ascii="Times New Roman" w:hAnsi="Times New Roman" w:eastAsia="Arial" w:cs="Times New Roman"/>
              <w:color w:val="000000"/>
              <w:sz w:val="24"/>
              <w:szCs w:val="24"/>
            </w:rPr>
            <w:fldChar w:fldCharType="separate"/>
          </w:r>
          <w:r>
            <w:rPr>
              <w:rStyle w:val="7"/>
              <w:rFonts w:ascii="Times New Roman" w:hAnsi="Times New Roman" w:eastAsia="Arial" w:cs="Times New Roman"/>
              <w:color w:val="000000"/>
              <w:sz w:val="24"/>
              <w:szCs w:val="24"/>
            </w:rPr>
            <w:t>20</w:t>
          </w:r>
          <w:r>
            <w:rPr>
              <w:rStyle w:val="7"/>
              <w:rFonts w:ascii="Times New Roman" w:hAnsi="Times New Roman" w:eastAsia="Arial" w:cs="Times New Roman"/>
              <w:color w:val="000000"/>
              <w:sz w:val="24"/>
              <w:szCs w:val="24"/>
            </w:rPr>
            <w:fldChar w:fldCharType="end"/>
          </w:r>
          <w:r>
            <w:rPr>
              <w:rStyle w:val="7"/>
              <w:rFonts w:ascii="Times New Roman" w:hAnsi="Times New Roman" w:eastAsia="Arial" w:cs="Times New Roman"/>
              <w:color w:val="000000"/>
              <w:sz w:val="24"/>
              <w:szCs w:val="24"/>
            </w:rPr>
            <w:fldChar w:fldCharType="end"/>
          </w:r>
        </w:p>
      </w:sdtContent>
    </w:sdt>
    <w:p>
      <w:pPr>
        <w:spacing w:after="24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 xml:space="preserve"> </w:t>
      </w:r>
    </w:p>
    <w:p>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pPr>
        <w:pStyle w:val="2"/>
        <w:rPr>
          <w:kern w:val="36"/>
        </w:rPr>
      </w:pPr>
      <w:bookmarkStart w:id="0" w:name="_Toc133944156"/>
      <w:bookmarkEnd w:id="0"/>
      <w:r>
        <w:rPr>
          <w:kern w:val="36"/>
        </w:rPr>
        <w:t>Introduction</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financial crisis in 2008 is one of the most significant events in the history of banking and financial sustainability of a country where it caused a major change in the strategic accommodation and performance of the banking industry. The influence of the financial crisis caused major destruction to the economy established in 2007 along with the failure of real estate and other industries where also reported. The study is based upon analysing and understanding the influence of the financial crisis in 2008 on various institutes with specific consideration about banking industries. The objective of the study is to provide justified and authentic Information about various legal regulations, criteria and guidelines proposed by different authoritative bodies across the European continent as well as within the UK to sustain the changes and re-establishment of banking infrastructure. </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study will also discuss the comprehensive information available on sustainable strategies which help the authority and banking infrastructure to sustain the challenges caused by the financial crisis. Mentioning different types of reforms and their appropriate justification to assist business infrastructure will also be discussed in the study for providing convenient knowledge about the circumstances of strategic planning and organising various aspects to overcome the situation. HSBC is one of the most popular financial service and banking organisations which have a significant hindrance due to the financial crisis in 2008. The study will provide convenient information to justify the strategic approaches taken by the organisation and various methods to incorporate the situation with more profitable outcomes.</w:t>
      </w:r>
    </w:p>
    <w:p>
      <w:pPr>
        <w:spacing w:line="360" w:lineRule="auto"/>
        <w:rPr>
          <w:rFonts w:ascii="Times New Roman" w:hAnsi="Times New Roman" w:cs="Times New Roman"/>
          <w:b/>
          <w:sz w:val="32"/>
          <w:szCs w:val="32"/>
        </w:rPr>
      </w:pPr>
      <w:bookmarkStart w:id="1" w:name="_Toc133944157"/>
      <w:bookmarkEnd w:id="1"/>
      <w:r>
        <w:br w:type="page"/>
      </w:r>
    </w:p>
    <w:p>
      <w:pPr>
        <w:pStyle w:val="2"/>
        <w:rPr>
          <w:kern w:val="36"/>
        </w:rPr>
      </w:pPr>
      <w:r>
        <w:rPr>
          <w:kern w:val="36"/>
        </w:rPr>
        <w:t>Discussion and Analysis</w:t>
      </w:r>
    </w:p>
    <w:p>
      <w:pPr>
        <w:pStyle w:val="4"/>
      </w:pPr>
      <w:bookmarkStart w:id="2" w:name="_Toc133944158"/>
      <w:bookmarkEnd w:id="2"/>
      <w:r>
        <w:t>Identification of key laws, regulations, and contracts enacted post-2008 crisis</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financial crisis related to 2008 can often be termed a "</w:t>
      </w:r>
      <w:r>
        <w:rPr>
          <w:rFonts w:ascii="Times New Roman" w:hAnsi="Times New Roman" w:cs="Times New Roman"/>
          <w:b/>
          <w:i/>
          <w:sz w:val="24"/>
          <w:szCs w:val="24"/>
        </w:rPr>
        <w:t>subprime mortgage crisis</w:t>
      </w:r>
      <w:r>
        <w:rPr>
          <w:rFonts w:ascii="Times New Roman" w:hAnsi="Times New Roman" w:cs="Times New Roman"/>
          <w:sz w:val="24"/>
          <w:szCs w:val="24"/>
        </w:rPr>
        <w:t>." It critically caused a contraction related to liquidity within the global financial markets that originated in the United States due to the collapse of the housing market across the U.S. and the international financial system extensively (García-Lamarca, 2021). Various major commercial and investment banks, insurance companies, loan and savings associations, and mortgage lenders have failed and precipitated the Great Recession over a specific period. In response, the Presidents of The United States have signed into law various legislative measures for countering the concerned financial crises involving "</w:t>
      </w:r>
      <w:r>
        <w:rPr>
          <w:rFonts w:ascii="Times New Roman" w:hAnsi="Times New Roman" w:cs="Times New Roman"/>
          <w:b/>
          <w:i/>
          <w:sz w:val="24"/>
          <w:szCs w:val="24"/>
        </w:rPr>
        <w:t>Troubled Asset Relief Program (TARP)</w:t>
      </w:r>
      <w:r>
        <w:rPr>
          <w:rFonts w:ascii="Times New Roman" w:hAnsi="Times New Roman" w:cs="Times New Roman"/>
          <w:sz w:val="24"/>
          <w:szCs w:val="24"/>
        </w:rPr>
        <w:t>,” “</w:t>
      </w:r>
      <w:r>
        <w:rPr>
          <w:rFonts w:ascii="Times New Roman" w:hAnsi="Times New Roman" w:cs="Times New Roman"/>
          <w:b/>
          <w:i/>
          <w:sz w:val="24"/>
          <w:szCs w:val="24"/>
        </w:rPr>
        <w:t>Emergency Economic Stabilisation Ac</w:t>
      </w:r>
      <w:r>
        <w:rPr>
          <w:rFonts w:ascii="Times New Roman" w:hAnsi="Times New Roman" w:cs="Times New Roman"/>
          <w:sz w:val="24"/>
          <w:szCs w:val="24"/>
        </w:rPr>
        <w:t xml:space="preserve">t </w:t>
      </w:r>
      <w:r>
        <w:rPr>
          <w:rFonts w:ascii="Times New Roman" w:hAnsi="Times New Roman" w:cs="Times New Roman"/>
          <w:b/>
          <w:i/>
          <w:sz w:val="24"/>
          <w:szCs w:val="24"/>
        </w:rPr>
        <w:t>(EESA)</w:t>
      </w:r>
      <w:r>
        <w:rPr>
          <w:rFonts w:ascii="Times New Roman" w:hAnsi="Times New Roman" w:cs="Times New Roman"/>
          <w:sz w:val="24"/>
          <w:szCs w:val="24"/>
        </w:rPr>
        <w:t>,” “</w:t>
      </w:r>
      <w:r>
        <w:rPr>
          <w:rFonts w:ascii="Times New Roman" w:hAnsi="Times New Roman" w:cs="Times New Roman"/>
          <w:b/>
          <w:i/>
          <w:sz w:val="24"/>
          <w:szCs w:val="24"/>
        </w:rPr>
        <w:t>Dodd-Frank Wall Street Reform and Consumer Protection Act</w:t>
      </w:r>
      <w:r>
        <w:rPr>
          <w:rFonts w:ascii="Times New Roman" w:hAnsi="Times New Roman" w:cs="Times New Roman"/>
          <w:sz w:val="24"/>
          <w:szCs w:val="24"/>
        </w:rPr>
        <w:t>," and many more. The potential identification of critical contracts, regulations and laws that have been enacted post-2008 financial crisis can be evaluated in the following:</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Dodd-Frank: </w:t>
      </w:r>
      <w:r>
        <w:rPr>
          <w:rFonts w:ascii="Times New Roman" w:hAnsi="Times New Roman" w:cs="Times New Roman"/>
          <w:i/>
          <w:sz w:val="24"/>
          <w:szCs w:val="24"/>
        </w:rPr>
        <w:t>“</w:t>
      </w:r>
      <w:r>
        <w:rPr>
          <w:rFonts w:ascii="Times New Roman" w:hAnsi="Times New Roman" w:cs="Times New Roman"/>
          <w:b/>
          <w:i/>
          <w:sz w:val="24"/>
          <w:szCs w:val="24"/>
        </w:rPr>
        <w:t>Dodd-Frank Wall Street Reform and Consumer Protection Act</w:t>
      </w:r>
      <w:r>
        <w:rPr>
          <w:rFonts w:ascii="Times New Roman" w:hAnsi="Times New Roman" w:cs="Times New Roman"/>
          <w:i/>
          <w:sz w:val="24"/>
          <w:szCs w:val="24"/>
        </w:rPr>
        <w:t>”</w:t>
      </w:r>
      <w:r>
        <w:rPr>
          <w:rFonts w:ascii="Times New Roman" w:hAnsi="Times New Roman" w:cs="Times New Roman"/>
          <w:sz w:val="24"/>
          <w:szCs w:val="24"/>
        </w:rPr>
        <w:t xml:space="preserve"> can be treated as the most influential measure that introduced potential steps established for regulating the activities of the financial sector and protecting consumers in an accurate manner (</w:t>
      </w:r>
      <w:r>
        <w:rPr>
          <w:rFonts w:ascii="Times New Roman" w:hAnsi="Times New Roman" w:cs="Times New Roman"/>
          <w:sz w:val="24"/>
          <w:szCs w:val="24"/>
          <w:highlight w:val="white"/>
        </w:rPr>
        <w:t>Bulfone and Tassinari, 2021</w:t>
      </w:r>
      <w:r>
        <w:rPr>
          <w:rFonts w:ascii="Times New Roman" w:hAnsi="Times New Roman" w:cs="Times New Roman"/>
          <w:sz w:val="24"/>
          <w:szCs w:val="24"/>
        </w:rPr>
        <w:t>).  It was signed into law in July 2010 and sweeping reforms have been brought by Dodd-Frank to the financial sector of the United States. “</w:t>
      </w:r>
      <w:r>
        <w:rPr>
          <w:rFonts w:ascii="Times New Roman" w:hAnsi="Times New Roman" w:cs="Times New Roman"/>
          <w:b/>
          <w:i/>
          <w:sz w:val="24"/>
          <w:szCs w:val="24"/>
        </w:rPr>
        <w:t>Consumer Financial Protection Bureau (CFPB)</w:t>
      </w:r>
      <w:r>
        <w:rPr>
          <w:rFonts w:ascii="Times New Roman" w:hAnsi="Times New Roman" w:cs="Times New Roman"/>
          <w:sz w:val="24"/>
          <w:szCs w:val="24"/>
        </w:rPr>
        <w:t>" has also been introduced by Dodd-Frank which can be treated as an essential agency protecting and monitoring the financial interests of consumers across the respective country. Similarly, the "</w:t>
      </w:r>
      <w:r>
        <w:rPr>
          <w:rFonts w:ascii="Times New Roman" w:hAnsi="Times New Roman" w:cs="Times New Roman"/>
          <w:b/>
          <w:i/>
          <w:sz w:val="24"/>
          <w:szCs w:val="24"/>
        </w:rPr>
        <w:t>Financial Stability Oversight Council (FSOC)</w:t>
      </w:r>
      <w:r>
        <w:rPr>
          <w:rFonts w:ascii="Times New Roman" w:hAnsi="Times New Roman" w:cs="Times New Roman"/>
          <w:sz w:val="24"/>
          <w:szCs w:val="24"/>
        </w:rPr>
        <w:t>” can be addressed in Title I of Dodd-Frank with its relevant monitoring designated “</w:t>
      </w:r>
      <w:r>
        <w:rPr>
          <w:rFonts w:ascii="Times New Roman" w:hAnsi="Times New Roman" w:cs="Times New Roman"/>
          <w:b/>
          <w:i/>
          <w:sz w:val="24"/>
          <w:szCs w:val="24"/>
        </w:rPr>
        <w:t>Systemically Important Financial Institutions</w:t>
      </w:r>
      <w:r>
        <w:rPr>
          <w:rFonts w:ascii="Times New Roman" w:hAnsi="Times New Roman" w:cs="Times New Roman"/>
          <w:sz w:val="24"/>
          <w:szCs w:val="24"/>
        </w:rPr>
        <w:t>" including insurance companies, banks and any other financial institutions deemed "too large to fail" during the definite period.</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voting members of FSOC involved the heads of departments including the “</w:t>
      </w:r>
      <w:r>
        <w:rPr>
          <w:rFonts w:ascii="Times New Roman" w:hAnsi="Times New Roman" w:cs="Times New Roman"/>
          <w:b/>
          <w:i/>
          <w:sz w:val="24"/>
          <w:szCs w:val="24"/>
        </w:rPr>
        <w:t>Securities and Exchange Commission</w:t>
      </w:r>
      <w:r>
        <w:rPr>
          <w:rFonts w:ascii="Times New Roman" w:hAnsi="Times New Roman" w:cs="Times New Roman"/>
          <w:sz w:val="24"/>
          <w:szCs w:val="24"/>
        </w:rPr>
        <w:t>,” the “</w:t>
      </w:r>
      <w:r>
        <w:rPr>
          <w:rFonts w:ascii="Times New Roman" w:hAnsi="Times New Roman" w:cs="Times New Roman"/>
          <w:b/>
          <w:i/>
          <w:sz w:val="24"/>
          <w:szCs w:val="24"/>
        </w:rPr>
        <w:t>Federal Reserve Board</w:t>
      </w:r>
      <w:r>
        <w:rPr>
          <w:rFonts w:ascii="Times New Roman" w:hAnsi="Times New Roman" w:cs="Times New Roman"/>
          <w:sz w:val="24"/>
          <w:szCs w:val="24"/>
        </w:rPr>
        <w:t>” and the “</w:t>
      </w:r>
      <w:r>
        <w:rPr>
          <w:rFonts w:ascii="Times New Roman" w:hAnsi="Times New Roman" w:cs="Times New Roman"/>
          <w:b/>
          <w:i/>
          <w:sz w:val="24"/>
          <w:szCs w:val="24"/>
        </w:rPr>
        <w:t>Department of the Treasury</w:t>
      </w:r>
      <w:r>
        <w:rPr>
          <w:rFonts w:ascii="Times New Roman" w:hAnsi="Times New Roman" w:cs="Times New Roman"/>
          <w:sz w:val="24"/>
          <w:szCs w:val="24"/>
        </w:rPr>
        <w:t>.” It has been required by the FSOC for documentation and testing regarding the business operations of SIFIs (</w:t>
      </w:r>
      <w:r>
        <w:rPr>
          <w:rFonts w:ascii="Times New Roman" w:hAnsi="Times New Roman" w:cs="Times New Roman"/>
          <w:sz w:val="24"/>
          <w:szCs w:val="24"/>
          <w:highlight w:val="white"/>
        </w:rPr>
        <w:t>Trif and Szabó, 2023</w:t>
      </w:r>
      <w:r>
        <w:rPr>
          <w:rFonts w:ascii="Times New Roman" w:hAnsi="Times New Roman" w:cs="Times New Roman"/>
          <w:sz w:val="24"/>
          <w:szCs w:val="24"/>
        </w:rPr>
        <w:t>). It can also evolve the relevant decision for taking an action to recognise and divide the concerned institutions in such a manner that can lead to a decrease in the overall risk to the economy appropriately. On the other hand, the "</w:t>
      </w:r>
      <w:r>
        <w:rPr>
          <w:rFonts w:ascii="Times New Roman" w:hAnsi="Times New Roman" w:cs="Times New Roman"/>
          <w:b/>
          <w:i/>
          <w:sz w:val="24"/>
          <w:szCs w:val="24"/>
        </w:rPr>
        <w:t>Volcker Rule</w:t>
      </w:r>
      <w:r>
        <w:rPr>
          <w:rFonts w:ascii="Times New Roman" w:hAnsi="Times New Roman" w:cs="Times New Roman"/>
          <w:sz w:val="24"/>
          <w:szCs w:val="24"/>
        </w:rPr>
        <w:t>" can also be treated as one of the relevant provisions of Dodd-Frank that were designed to limit speculative investments during the concerned period. It has been enacted to impose a ban on the proprietary trading performed by depository institutions. It also led to reducing the trading rights regarding proprietary traders at other major financial institutions over a specific period. The amended regulations that have been evolved by Dodd-Frank in terms of enhancing the existing regulations across the United States post-2008 can be contemplated in the following table:</w:t>
      </w:r>
    </w:p>
    <w:tbl>
      <w:tblPr>
        <w:tblStyle w:val="14"/>
        <w:tblW w:w="8985" w:type="dxa"/>
        <w:tblInd w:w="8" w:type="dxa"/>
        <w:tblLayout w:type="fixed"/>
        <w:tblCellMar>
          <w:top w:w="100" w:type="dxa"/>
          <w:left w:w="100" w:type="dxa"/>
          <w:bottom w:w="100" w:type="dxa"/>
          <w:right w:w="100" w:type="dxa"/>
        </w:tblCellMar>
      </w:tblPr>
      <w:tblGrid>
        <w:gridCol w:w="3345"/>
        <w:gridCol w:w="5640"/>
      </w:tblGrid>
      <w:tr>
        <w:tblPrEx>
          <w:tblCellMar>
            <w:top w:w="100" w:type="dxa"/>
            <w:left w:w="100" w:type="dxa"/>
            <w:bottom w:w="100" w:type="dxa"/>
            <w:right w:w="100" w:type="dxa"/>
          </w:tblCellMar>
        </w:tblPrEx>
        <w:trPr>
          <w:trHeight w:val="570" w:hRule="atLeast"/>
        </w:trPr>
        <w:tc>
          <w:tcPr>
            <w:tcW w:w="3345" w:type="dxa"/>
            <w:tcBorders>
              <w:top w:val="single" w:color="000000" w:sz="8" w:space="0"/>
              <w:left w:val="single" w:color="000000" w:sz="8" w:space="0"/>
              <w:bottom w:val="single" w:color="000000" w:sz="8" w:space="0"/>
              <w:right w:val="single" w:color="000000" w:sz="8" w:space="0"/>
            </w:tcBorders>
          </w:tcPr>
          <w:p>
            <w:pPr>
              <w:pStyle w:val="3"/>
              <w:spacing w:before="240" w:after="240" w:line="360" w:lineRule="auto"/>
              <w:jc w:val="center"/>
              <w:rPr>
                <w:rFonts w:ascii="Times New Roman" w:hAnsi="Times New Roman" w:cs="Times New Roman"/>
                <w:b/>
                <w:sz w:val="24"/>
                <w:szCs w:val="24"/>
              </w:rPr>
            </w:pPr>
            <w:r>
              <w:rPr>
                <w:rFonts w:ascii="Times New Roman" w:hAnsi="Times New Roman" w:cs="Times New Roman"/>
                <w:b/>
                <w:sz w:val="24"/>
                <w:szCs w:val="24"/>
              </w:rPr>
              <w:t>Regulations</w:t>
            </w:r>
          </w:p>
        </w:tc>
        <w:tc>
          <w:tcPr>
            <w:tcW w:w="5640" w:type="dxa"/>
            <w:tcBorders>
              <w:top w:val="single" w:color="000000" w:sz="8" w:space="0"/>
              <w:left w:val="nil"/>
              <w:bottom w:val="single" w:color="000000" w:sz="8" w:space="0"/>
              <w:right w:val="single" w:color="000000" w:sz="8" w:space="0"/>
            </w:tcBorders>
          </w:tcPr>
          <w:p>
            <w:pPr>
              <w:pStyle w:val="3"/>
              <w:spacing w:before="240" w:after="240" w:line="360" w:lineRule="auto"/>
              <w:jc w:val="center"/>
              <w:rPr>
                <w:rFonts w:ascii="Times New Roman" w:hAnsi="Times New Roman" w:cs="Times New Roman"/>
                <w:b/>
                <w:sz w:val="24"/>
                <w:szCs w:val="24"/>
              </w:rPr>
            </w:pPr>
            <w:r>
              <w:rPr>
                <w:rFonts w:ascii="Times New Roman" w:hAnsi="Times New Roman" w:cs="Times New Roman"/>
                <w:b/>
                <w:sz w:val="24"/>
                <w:szCs w:val="24"/>
              </w:rPr>
              <w:t>Aspects</w:t>
            </w:r>
          </w:p>
        </w:tc>
      </w:tr>
      <w:tr>
        <w:tblPrEx>
          <w:tblCellMar>
            <w:top w:w="100" w:type="dxa"/>
            <w:left w:w="100" w:type="dxa"/>
            <w:bottom w:w="100" w:type="dxa"/>
            <w:right w:w="100" w:type="dxa"/>
          </w:tblCellMar>
        </w:tblPrEx>
        <w:trPr>
          <w:trHeight w:val="3330" w:hRule="atLeast"/>
        </w:trPr>
        <w:tc>
          <w:tcPr>
            <w:tcW w:w="3345" w:type="dxa"/>
            <w:tcBorders>
              <w:top w:val="nil"/>
              <w:left w:val="single" w:color="000000" w:sz="8" w:space="0"/>
              <w:bottom w:val="single" w:color="000000" w:sz="8" w:space="0"/>
              <w:right w:val="single" w:color="000000" w:sz="8" w:space="0"/>
            </w:tcBorders>
          </w:tcPr>
          <w:p>
            <w:pPr>
              <w:pStyle w:val="3"/>
              <w:spacing w:before="240" w:after="240" w:line="360" w:lineRule="auto"/>
              <w:jc w:val="both"/>
              <w:rPr>
                <w:rFonts w:ascii="Times New Roman" w:hAnsi="Times New Roman" w:cs="Times New Roman"/>
                <w:b/>
                <w:i/>
                <w:sz w:val="24"/>
                <w:szCs w:val="24"/>
              </w:rPr>
            </w:pPr>
            <w:r>
              <w:rPr>
                <w:rFonts w:ascii="Times New Roman" w:hAnsi="Times New Roman" w:cs="Times New Roman"/>
                <w:b/>
                <w:i/>
                <w:sz w:val="24"/>
                <w:szCs w:val="24"/>
              </w:rPr>
              <w:t>Securities Act of 1933</w:t>
            </w:r>
          </w:p>
        </w:tc>
        <w:tc>
          <w:tcPr>
            <w:tcW w:w="5640" w:type="dxa"/>
            <w:tcBorders>
              <w:top w:val="nil"/>
              <w:left w:val="nil"/>
              <w:bottom w:val="single" w:color="000000" w:sz="8" w:space="0"/>
              <w:right w:val="single" w:color="000000" w:sz="8" w:space="0"/>
            </w:tcBorders>
          </w:tcPr>
          <w:p>
            <w:pPr>
              <w:pStyle w:val="3"/>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Regulation D has been amended by Dodd-Frank for exempting a few securities from registration along with revising the definition related to accredited investors (</w:t>
            </w:r>
            <w:r>
              <w:rPr>
                <w:rFonts w:ascii="Times New Roman" w:hAnsi="Times New Roman" w:cs="Times New Roman"/>
                <w:sz w:val="24"/>
                <w:szCs w:val="24"/>
                <w:highlight w:val="white"/>
              </w:rPr>
              <w:t>Von Homeyer et al., 2021</w:t>
            </w:r>
            <w:r>
              <w:rPr>
                <w:rFonts w:ascii="Times New Roman" w:hAnsi="Times New Roman" w:cs="Times New Roman"/>
                <w:sz w:val="24"/>
                <w:szCs w:val="24"/>
              </w:rPr>
              <w:t>).</w:t>
            </w:r>
          </w:p>
          <w:p>
            <w:pPr>
              <w:pStyle w:val="3"/>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It also involves the removal of the inclusion regarding primary residence in terms of a necessary part within the net worth of the investor.</w:t>
            </w:r>
          </w:p>
        </w:tc>
      </w:tr>
      <w:tr>
        <w:tblPrEx>
          <w:tblCellMar>
            <w:top w:w="100" w:type="dxa"/>
            <w:left w:w="100" w:type="dxa"/>
            <w:bottom w:w="100" w:type="dxa"/>
            <w:right w:w="100" w:type="dxa"/>
          </w:tblCellMar>
        </w:tblPrEx>
        <w:trPr>
          <w:trHeight w:val="4770" w:hRule="atLeast"/>
        </w:trPr>
        <w:tc>
          <w:tcPr>
            <w:tcW w:w="3345" w:type="dxa"/>
            <w:tcBorders>
              <w:top w:val="nil"/>
              <w:left w:val="single" w:color="000000" w:sz="8" w:space="0"/>
              <w:bottom w:val="single" w:color="000000" w:sz="8" w:space="0"/>
              <w:right w:val="single" w:color="000000" w:sz="8" w:space="0"/>
            </w:tcBorders>
          </w:tcPr>
          <w:p>
            <w:pPr>
              <w:pStyle w:val="3"/>
              <w:spacing w:before="240" w:after="240" w:line="360" w:lineRule="auto"/>
              <w:jc w:val="both"/>
              <w:rPr>
                <w:rFonts w:ascii="Times New Roman" w:hAnsi="Times New Roman" w:cs="Times New Roman"/>
                <w:b/>
                <w:i/>
                <w:sz w:val="24"/>
                <w:szCs w:val="24"/>
              </w:rPr>
            </w:pPr>
            <w:r>
              <w:rPr>
                <w:rFonts w:ascii="Times New Roman" w:hAnsi="Times New Roman" w:cs="Times New Roman"/>
                <w:b/>
                <w:i/>
                <w:sz w:val="24"/>
                <w:szCs w:val="24"/>
              </w:rPr>
              <w:t>Securities Exchange Act of 1934</w:t>
            </w:r>
          </w:p>
        </w:tc>
        <w:tc>
          <w:tcPr>
            <w:tcW w:w="5640" w:type="dxa"/>
            <w:tcBorders>
              <w:top w:val="nil"/>
              <w:left w:val="nil"/>
              <w:bottom w:val="single" w:color="000000" w:sz="8" w:space="0"/>
              <w:right w:val="single" w:color="000000" w:sz="8" w:space="0"/>
            </w:tcBorders>
          </w:tcPr>
          <w:p>
            <w:pPr>
              <w:pStyle w:val="3"/>
              <w:numPr>
                <w:ilvl w:val="0"/>
                <w:numId w:val="2"/>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Title IX related to Dodd-Frank needs the creation of an “</w:t>
            </w:r>
            <w:r>
              <w:rPr>
                <w:rFonts w:ascii="Times New Roman" w:hAnsi="Times New Roman" w:cs="Times New Roman"/>
                <w:b/>
                <w:i/>
                <w:sz w:val="24"/>
                <w:szCs w:val="24"/>
              </w:rPr>
              <w:t>Investor Advisory Committee (IAC),</w:t>
            </w:r>
            <w:r>
              <w:rPr>
                <w:rFonts w:ascii="Times New Roman" w:hAnsi="Times New Roman" w:cs="Times New Roman"/>
                <w:sz w:val="24"/>
                <w:szCs w:val="24"/>
              </w:rPr>
              <w:t>” “</w:t>
            </w:r>
            <w:r>
              <w:rPr>
                <w:rFonts w:ascii="Times New Roman" w:hAnsi="Times New Roman" w:cs="Times New Roman"/>
                <w:b/>
                <w:i/>
                <w:sz w:val="24"/>
                <w:szCs w:val="24"/>
              </w:rPr>
              <w:t>Office of the Investor Advocate (OIA)</w:t>
            </w:r>
            <w:r>
              <w:rPr>
                <w:rFonts w:ascii="Times New Roman" w:hAnsi="Times New Roman" w:cs="Times New Roman"/>
                <w:sz w:val="24"/>
                <w:szCs w:val="24"/>
              </w:rPr>
              <w:t>” and an ombudsman appointed by the OIA.</w:t>
            </w:r>
          </w:p>
          <w:p>
            <w:pPr>
              <w:pStyle w:val="3"/>
              <w:numPr>
                <w:ilvl w:val="0"/>
                <w:numId w:val="2"/>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concerned aspect plays an important role in targeting the conflicts of interest within the mutual fund advertisements and investment firms along with the problems of corporate governance, executive compensation and accountability (</w:t>
            </w:r>
            <w:r>
              <w:rPr>
                <w:rFonts w:ascii="Times New Roman" w:hAnsi="Times New Roman" w:cs="Times New Roman"/>
                <w:sz w:val="24"/>
                <w:szCs w:val="24"/>
                <w:highlight w:val="white"/>
              </w:rPr>
              <w:t>Gil García and Martínez López, 2023</w:t>
            </w:r>
            <w:r>
              <w:rPr>
                <w:rFonts w:ascii="Times New Roman" w:hAnsi="Times New Roman" w:cs="Times New Roman"/>
                <w:sz w:val="24"/>
                <w:szCs w:val="24"/>
              </w:rPr>
              <w:t>).</w:t>
            </w:r>
          </w:p>
        </w:tc>
      </w:tr>
      <w:tr>
        <w:tblPrEx>
          <w:tblCellMar>
            <w:top w:w="100" w:type="dxa"/>
            <w:left w:w="100" w:type="dxa"/>
            <w:bottom w:w="100" w:type="dxa"/>
            <w:right w:w="100" w:type="dxa"/>
          </w:tblCellMar>
        </w:tblPrEx>
        <w:trPr>
          <w:trHeight w:val="1665" w:hRule="atLeast"/>
        </w:trPr>
        <w:tc>
          <w:tcPr>
            <w:tcW w:w="3345" w:type="dxa"/>
            <w:tcBorders>
              <w:top w:val="nil"/>
              <w:left w:val="single" w:color="000000" w:sz="8" w:space="0"/>
              <w:bottom w:val="single" w:color="000000" w:sz="8" w:space="0"/>
              <w:right w:val="single" w:color="000000" w:sz="8" w:space="0"/>
            </w:tcBorders>
          </w:tcPr>
          <w:p>
            <w:pPr>
              <w:pStyle w:val="3"/>
              <w:spacing w:before="240" w:after="240" w:line="360" w:lineRule="auto"/>
              <w:jc w:val="both"/>
              <w:rPr>
                <w:rFonts w:ascii="Times New Roman" w:hAnsi="Times New Roman" w:cs="Times New Roman"/>
                <w:b/>
                <w:i/>
                <w:sz w:val="24"/>
                <w:szCs w:val="24"/>
              </w:rPr>
            </w:pPr>
            <w:r>
              <w:rPr>
                <w:rFonts w:ascii="Times New Roman" w:hAnsi="Times New Roman" w:cs="Times New Roman"/>
                <w:b/>
                <w:i/>
                <w:sz w:val="24"/>
                <w:szCs w:val="24"/>
              </w:rPr>
              <w:t>Investment Company Act of 1940</w:t>
            </w:r>
          </w:p>
        </w:tc>
        <w:tc>
          <w:tcPr>
            <w:tcW w:w="5640" w:type="dxa"/>
            <w:tcBorders>
              <w:top w:val="nil"/>
              <w:left w:val="nil"/>
              <w:bottom w:val="single" w:color="000000" w:sz="8" w:space="0"/>
              <w:right w:val="single" w:color="000000" w:sz="8" w:space="0"/>
            </w:tcBorders>
          </w:tcPr>
          <w:p>
            <w:pPr>
              <w:pStyle w:val="3"/>
              <w:numPr>
                <w:ilvl w:val="0"/>
                <w:numId w:val="3"/>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New oversight committees as well as tighter restrictions on disclosure policies and consumer protections have been established by the Dodd-Frank Act.</w:t>
            </w:r>
          </w:p>
        </w:tc>
      </w:tr>
      <w:tr>
        <w:tblPrEx>
          <w:tblCellMar>
            <w:top w:w="100" w:type="dxa"/>
            <w:left w:w="100" w:type="dxa"/>
            <w:bottom w:w="100" w:type="dxa"/>
            <w:right w:w="100" w:type="dxa"/>
          </w:tblCellMar>
        </w:tblPrEx>
        <w:trPr>
          <w:trHeight w:val="1665" w:hRule="atLeast"/>
        </w:trPr>
        <w:tc>
          <w:tcPr>
            <w:tcW w:w="3345" w:type="dxa"/>
            <w:tcBorders>
              <w:top w:val="nil"/>
              <w:left w:val="single" w:color="000000" w:sz="8" w:space="0"/>
              <w:bottom w:val="single" w:color="000000" w:sz="8" w:space="0"/>
              <w:right w:val="single" w:color="000000" w:sz="8" w:space="0"/>
            </w:tcBorders>
          </w:tcPr>
          <w:p>
            <w:pPr>
              <w:pStyle w:val="3"/>
              <w:spacing w:before="240" w:after="240" w:line="360" w:lineRule="auto"/>
              <w:jc w:val="both"/>
              <w:rPr>
                <w:rFonts w:ascii="Times New Roman" w:hAnsi="Times New Roman" w:cs="Times New Roman"/>
                <w:b/>
                <w:i/>
                <w:sz w:val="24"/>
                <w:szCs w:val="24"/>
              </w:rPr>
            </w:pPr>
            <w:r>
              <w:rPr>
                <w:rFonts w:ascii="Times New Roman" w:hAnsi="Times New Roman" w:cs="Times New Roman"/>
                <w:b/>
                <w:i/>
                <w:sz w:val="24"/>
                <w:szCs w:val="24"/>
              </w:rPr>
              <w:t>Investment Advisers Act of 1940</w:t>
            </w:r>
          </w:p>
        </w:tc>
        <w:tc>
          <w:tcPr>
            <w:tcW w:w="5640" w:type="dxa"/>
            <w:tcBorders>
              <w:top w:val="nil"/>
              <w:left w:val="nil"/>
              <w:bottom w:val="single" w:color="000000" w:sz="8" w:space="0"/>
              <w:right w:val="single" w:color="000000" w:sz="8" w:space="0"/>
            </w:tcBorders>
          </w:tcPr>
          <w:p>
            <w:pPr>
              <w:pStyle w:val="3"/>
              <w:numPr>
                <w:ilvl w:val="0"/>
                <w:numId w:val="4"/>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present law observes the alterations to the requirements of registration for investment advisors, which affect both hedge funds and independent investment advisors extensively.</w:t>
            </w:r>
          </w:p>
        </w:tc>
      </w:tr>
      <w:tr>
        <w:tblPrEx>
          <w:tblCellMar>
            <w:top w:w="100" w:type="dxa"/>
            <w:left w:w="100" w:type="dxa"/>
            <w:bottom w:w="100" w:type="dxa"/>
            <w:right w:w="100" w:type="dxa"/>
          </w:tblCellMar>
        </w:tblPrEx>
        <w:trPr>
          <w:trHeight w:val="1665" w:hRule="atLeast"/>
        </w:trPr>
        <w:tc>
          <w:tcPr>
            <w:tcW w:w="3345" w:type="dxa"/>
            <w:tcBorders>
              <w:top w:val="nil"/>
              <w:left w:val="single" w:color="000000" w:sz="8" w:space="0"/>
              <w:bottom w:val="single" w:color="000000" w:sz="8" w:space="0"/>
              <w:right w:val="single" w:color="000000" w:sz="8" w:space="0"/>
            </w:tcBorders>
          </w:tcPr>
          <w:p>
            <w:pPr>
              <w:pStyle w:val="3"/>
              <w:spacing w:before="240" w:after="240" w:line="360" w:lineRule="auto"/>
              <w:jc w:val="both"/>
              <w:rPr>
                <w:rFonts w:ascii="Times New Roman" w:hAnsi="Times New Roman" w:cs="Times New Roman"/>
                <w:b/>
                <w:i/>
                <w:sz w:val="24"/>
                <w:szCs w:val="24"/>
              </w:rPr>
            </w:pPr>
            <w:r>
              <w:rPr>
                <w:rFonts w:ascii="Times New Roman" w:hAnsi="Times New Roman" w:cs="Times New Roman"/>
                <w:b/>
                <w:i/>
                <w:sz w:val="24"/>
                <w:szCs w:val="24"/>
              </w:rPr>
              <w:t>Sarbanes-Oxley Act of 2002</w:t>
            </w:r>
          </w:p>
        </w:tc>
        <w:tc>
          <w:tcPr>
            <w:tcW w:w="5640" w:type="dxa"/>
            <w:tcBorders>
              <w:top w:val="nil"/>
              <w:left w:val="nil"/>
              <w:bottom w:val="single" w:color="000000" w:sz="8" w:space="0"/>
              <w:right w:val="single" w:color="000000" w:sz="8" w:space="0"/>
            </w:tcBorders>
          </w:tcPr>
          <w:p>
            <w:pPr>
              <w:pStyle w:val="3"/>
              <w:numPr>
                <w:ilvl w:val="0"/>
                <w:numId w:val="5"/>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New protections have been added by Dodd-Frank for financial incentives and whistle-blowers in an appropriate manner (</w:t>
            </w:r>
            <w:r>
              <w:rPr>
                <w:rFonts w:ascii="Times New Roman" w:hAnsi="Times New Roman" w:cs="Times New Roman"/>
                <w:sz w:val="24"/>
                <w:szCs w:val="24"/>
                <w:highlight w:val="white"/>
              </w:rPr>
              <w:t>Köppe and MacCarthaigh, 2019</w:t>
            </w:r>
            <w:r>
              <w:rPr>
                <w:rFonts w:ascii="Times New Roman" w:hAnsi="Times New Roman" w:cs="Times New Roman"/>
                <w:sz w:val="24"/>
                <w:szCs w:val="24"/>
              </w:rPr>
              <w:t>).</w:t>
            </w:r>
          </w:p>
        </w:tc>
      </w:tr>
    </w:tbl>
    <w:p>
      <w:pPr>
        <w:pStyle w:val="3"/>
        <w:spacing w:before="240" w:after="240" w:line="360" w:lineRule="auto"/>
        <w:jc w:val="center"/>
        <w:rPr>
          <w:rFonts w:ascii="Times New Roman" w:hAnsi="Times New Roman" w:cs="Times New Roman"/>
          <w:b/>
          <w:sz w:val="24"/>
          <w:szCs w:val="24"/>
        </w:rPr>
      </w:pPr>
      <w:r>
        <w:rPr>
          <w:rFonts w:ascii="Times New Roman" w:hAnsi="Times New Roman" w:cs="Times New Roman"/>
          <w:b/>
          <w:sz w:val="24"/>
          <w:szCs w:val="24"/>
        </w:rPr>
        <w:t>Table 1: Existing Regulations Expanded post-2008 Financial Crisis</w:t>
      </w:r>
    </w:p>
    <w:p>
      <w:pPr>
        <w:pStyle w:val="3"/>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(Source: Self-Created)</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Emergency Economic Stabilisation Act:</w:t>
      </w:r>
      <w:r>
        <w:rPr>
          <w:rFonts w:ascii="Times New Roman" w:hAnsi="Times New Roman" w:cs="Times New Roman"/>
          <w:sz w:val="24"/>
          <w:szCs w:val="24"/>
        </w:rPr>
        <w:t xml:space="preserve"> The present Act has been passed by a divided Congress in October 2008 that initially offered the treasury with more than $700 billion to purchase troubled assets involving mortgage-backed securities and bank shares extensively.  The budget has subsequently decreased to $475 billion along with the “</w:t>
      </w:r>
      <w:r>
        <w:rPr>
          <w:rFonts w:ascii="Times New Roman" w:hAnsi="Times New Roman" w:cs="Times New Roman"/>
          <w:b/>
          <w:i/>
          <w:sz w:val="24"/>
          <w:szCs w:val="24"/>
        </w:rPr>
        <w:t>Troubled Asset Relief Program</w:t>
      </w:r>
      <w:r>
        <w:rPr>
          <w:rFonts w:ascii="Times New Roman" w:hAnsi="Times New Roman" w:cs="Times New Roman"/>
          <w:sz w:val="24"/>
          <w:szCs w:val="24"/>
        </w:rPr>
        <w:t>.” The program has been known for spending around $426.4 billion which bails out institutions involving “American International Group Inc,” “JPMorgan,” “Bank of America” and “General Motors.” The Treasury eventually managed to recover 1.7 billion from TARP recipients in an accurate way.</w:t>
      </w:r>
    </w:p>
    <w:p>
      <w:pPr>
        <w:pStyle w:val="3"/>
        <w:spacing w:before="240" w:after="240" w:line="360" w:lineRule="auto"/>
        <w:jc w:val="both"/>
        <w:rPr>
          <w:rFonts w:ascii="Times New Roman" w:hAnsi="Times New Roman" w:cs="Times New Roman"/>
          <w:sz w:val="24"/>
          <w:szCs w:val="24"/>
        </w:rPr>
      </w:pPr>
      <w:r>
        <w:drawing>
          <wp:inline distT="0" distB="0" distL="0" distR="0">
            <wp:extent cx="5731510" cy="38862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3886200"/>
                    </a:xfrm>
                    <a:prstGeom prst="rect">
                      <a:avLst/>
                    </a:prstGeom>
                    <a:noFill/>
                    <a:ln>
                      <a:noFill/>
                    </a:ln>
                  </pic:spPr>
                </pic:pic>
              </a:graphicData>
            </a:graphic>
          </wp:inline>
        </w:drawing>
      </w:r>
      <w:r>
        <w:rPr>
          <w:rFonts w:ascii="Times New Roman" w:hAnsi="Times New Roman" w:cs="Times New Roman"/>
          <w:sz w:val="24"/>
          <w:szCs w:val="24"/>
        </w:rPr>
        <w:t xml:space="preserve"> </w:t>
      </w:r>
    </w:p>
    <w:p>
      <w:pPr>
        <w:pStyle w:val="3"/>
        <w:spacing w:before="240" w:after="240" w:line="360" w:lineRule="auto"/>
        <w:jc w:val="center"/>
        <w:rPr>
          <w:rFonts w:ascii="Times New Roman" w:hAnsi="Times New Roman" w:cs="Times New Roman"/>
          <w:b/>
          <w:sz w:val="24"/>
          <w:szCs w:val="24"/>
        </w:rPr>
      </w:pPr>
      <w:r>
        <w:rPr>
          <w:rFonts w:ascii="Times New Roman" w:hAnsi="Times New Roman" w:cs="Times New Roman"/>
          <w:b/>
          <w:sz w:val="24"/>
          <w:szCs w:val="24"/>
        </w:rPr>
        <w:t>Figure: Financial Crisis 2008</w:t>
      </w:r>
    </w:p>
    <w:p>
      <w:pPr>
        <w:pStyle w:val="3"/>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hAnsi="Times New Roman" w:cs="Times New Roman"/>
          <w:sz w:val="24"/>
          <w:szCs w:val="24"/>
          <w:highlight w:val="white"/>
        </w:rPr>
        <w:t>Köppe and MacCarthaigh, 2019</w:t>
      </w:r>
      <w:r>
        <w:rPr>
          <w:rFonts w:ascii="Times New Roman" w:hAnsi="Times New Roman" w:cs="Times New Roman"/>
          <w:sz w:val="24"/>
          <w:szCs w:val="24"/>
        </w:rPr>
        <w:t>)</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Federal Reserve: </w:t>
      </w:r>
      <w:r>
        <w:rPr>
          <w:rFonts w:ascii="Times New Roman" w:hAnsi="Times New Roman" w:cs="Times New Roman"/>
          <w:sz w:val="24"/>
          <w:szCs w:val="24"/>
        </w:rPr>
        <w:t>Additional steps have been taken up by the Federal Reserve for providing immense support to the Financial Markets and economy during and after the financial crisis of 2008 (</w:t>
      </w:r>
      <w:r>
        <w:rPr>
          <w:rFonts w:ascii="Times New Roman" w:hAnsi="Times New Roman" w:cs="Times New Roman"/>
          <w:sz w:val="24"/>
          <w:szCs w:val="24"/>
          <w:highlight w:val="white"/>
        </w:rPr>
        <w:t>Campbell-Verduyn and Hütten, 2019</w:t>
      </w:r>
      <w:r>
        <w:rPr>
          <w:rFonts w:ascii="Times New Roman" w:hAnsi="Times New Roman" w:cs="Times New Roman"/>
          <w:sz w:val="24"/>
          <w:szCs w:val="24"/>
        </w:rPr>
        <w:t>). Furthermore, in terms of implementing monetary policy effectively the fundamental funds rate enforces the Fed to design special-purpose instruments to lend to several sectors of the market appropriately. It can be highly engaged in establishing a new standard for the Fed in emergency and regular lending activities in a significant way. Under the potential direction of Dodd-Frank, the Federal Reserve is needed to carry out regular stress testing on banks across the banking sector with necessary provisions of the Dodd-Frank Act on "</w:t>
      </w:r>
      <w:r>
        <w:rPr>
          <w:rFonts w:ascii="Times New Roman" w:hAnsi="Times New Roman" w:cs="Times New Roman"/>
          <w:b/>
          <w:i/>
          <w:sz w:val="24"/>
          <w:szCs w:val="24"/>
        </w:rPr>
        <w:t>Federal Reserve</w:t>
      </w:r>
      <w:r>
        <w:rPr>
          <w:rFonts w:ascii="Times New Roman" w:hAnsi="Times New Roman" w:cs="Times New Roman"/>
          <w:sz w:val="24"/>
          <w:szCs w:val="24"/>
        </w:rPr>
        <w:t>” stress testing observed in Title XI. The two types of stress testing have been conducted by the Federal Reserve on an annual basis.  It primarily involves “</w:t>
      </w:r>
      <w:r>
        <w:rPr>
          <w:rFonts w:ascii="Times New Roman" w:hAnsi="Times New Roman" w:cs="Times New Roman"/>
          <w:b/>
          <w:i/>
          <w:sz w:val="24"/>
          <w:szCs w:val="24"/>
        </w:rPr>
        <w:t>Dodd-Frank Act supervisory stress testing (DFAST)</w:t>
      </w:r>
      <w:r>
        <w:rPr>
          <w:rFonts w:ascii="Times New Roman" w:hAnsi="Times New Roman" w:cs="Times New Roman"/>
          <w:sz w:val="24"/>
          <w:szCs w:val="24"/>
        </w:rPr>
        <w:t>” and “</w:t>
      </w:r>
      <w:r>
        <w:rPr>
          <w:rFonts w:ascii="Times New Roman" w:hAnsi="Times New Roman" w:cs="Times New Roman"/>
          <w:b/>
          <w:i/>
          <w:sz w:val="24"/>
          <w:szCs w:val="24"/>
        </w:rPr>
        <w:t>Comprehensive Capital Analysis and Review (CCAR)</w:t>
      </w:r>
      <w:r>
        <w:rPr>
          <w:rFonts w:ascii="Times New Roman" w:hAnsi="Times New Roman" w:cs="Times New Roman"/>
          <w:sz w:val="24"/>
          <w:szCs w:val="24"/>
        </w:rPr>
        <w:t>” respectively.</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An unexpected outcome related to Dodd-Frank regulations involves the penalty to the smaller banks through possessing the identical burden of regulations enacted to those that were subjected by the larger banks (</w:t>
      </w:r>
      <w:r>
        <w:rPr>
          <w:rFonts w:ascii="Times New Roman" w:hAnsi="Times New Roman" w:cs="Times New Roman"/>
          <w:sz w:val="24"/>
          <w:szCs w:val="24"/>
          <w:highlight w:val="white"/>
        </w:rPr>
        <w:t>Crouch, 2020</w:t>
      </w:r>
      <w:r>
        <w:rPr>
          <w:rFonts w:ascii="Times New Roman" w:hAnsi="Times New Roman" w:cs="Times New Roman"/>
          <w:sz w:val="24"/>
          <w:szCs w:val="24"/>
        </w:rPr>
        <w:t>). As a result, smaller banks have been hindered by the additional staff and additional paperwork required to comply with the regulations extensively. Subsequently, the legislation has been passed for relieving the community along with regional banks from a few of the concerned regulations over a definite period. It has been commanded by the Dodd-Frank Act that the Federal Reserve needs to oversee insurance companies, financial institutions and large banks in a close manner across the United States. It has been confirmed by the annual stress test that the concerned organisations are ready for handling future financial crises and downturns in an appropriate manner. It has also been evaluated by the conjectural scenarios as the financial results operated by various financial upsets can be imposed on their strengths accurately (</w:t>
      </w:r>
      <w:r>
        <w:rPr>
          <w:rFonts w:ascii="Times New Roman" w:hAnsi="Times New Roman" w:cs="Times New Roman"/>
          <w:sz w:val="24"/>
          <w:szCs w:val="24"/>
          <w:highlight w:val="white"/>
        </w:rPr>
        <w:t>Faria, 2021</w:t>
      </w:r>
      <w:r>
        <w:rPr>
          <w:rFonts w:ascii="Times New Roman" w:hAnsi="Times New Roman" w:cs="Times New Roman"/>
          <w:sz w:val="24"/>
          <w:szCs w:val="24"/>
        </w:rPr>
        <w:t>).</w:t>
      </w:r>
    </w:p>
    <w:p>
      <w:pPr>
        <w:pStyle w:val="3"/>
        <w:numPr>
          <w:ilvl w:val="0"/>
          <w:numId w:val="6"/>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financial crisis of 2008 critically began with cheap taxes and great lending standards which caused a housing bubble. The burst of the concerned bubble forced the banks to be left holding trillions of dollars regarding worthless investments in subprime mortgages.</w:t>
      </w:r>
    </w:p>
    <w:p>
      <w:pPr>
        <w:pStyle w:val="3"/>
        <w:numPr>
          <w:ilvl w:val="0"/>
          <w:numId w:val="6"/>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cost of numerous jobs, savings and homes have been followed up by the Great Recession over a definite period. The financial crisis can be considered a major cause for the UK to reform its regulations regarding the financial system in an appropriate manner. </w:t>
      </w:r>
    </w:p>
    <w:p>
      <w:pPr>
        <w:pStyle w:val="3"/>
        <w:numPr>
          <w:ilvl w:val="0"/>
          <w:numId w:val="6"/>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potential aspect involves the development of the “</w:t>
      </w:r>
      <w:r>
        <w:rPr>
          <w:rFonts w:ascii="Times New Roman" w:hAnsi="Times New Roman" w:cs="Times New Roman"/>
          <w:b/>
          <w:i/>
          <w:sz w:val="24"/>
          <w:szCs w:val="24"/>
        </w:rPr>
        <w:t>Financial Policy Committee (FPC)</w:t>
      </w:r>
      <w:r>
        <w:rPr>
          <w:rFonts w:ascii="Times New Roman" w:hAnsi="Times New Roman" w:cs="Times New Roman"/>
          <w:sz w:val="24"/>
          <w:szCs w:val="24"/>
        </w:rPr>
        <w:t>.” The major responsibility of the concerned committee is to mitigate, monitor and identify the risk towards financial stability with the objective of ensuring that a holistic approach has been taken up by the regulators for safeguarding financial stability over a specific period (</w:t>
      </w:r>
      <w:r>
        <w:rPr>
          <w:rFonts w:ascii="Times New Roman" w:hAnsi="Times New Roman" w:cs="Times New Roman"/>
          <w:sz w:val="24"/>
          <w:szCs w:val="24"/>
          <w:highlight w:val="white"/>
        </w:rPr>
        <w:t>Cocola-Gant and Gago, 2021</w:t>
      </w:r>
      <w:r>
        <w:rPr>
          <w:rFonts w:ascii="Times New Roman" w:hAnsi="Times New Roman" w:cs="Times New Roman"/>
          <w:sz w:val="24"/>
          <w:szCs w:val="24"/>
        </w:rPr>
        <w:t>).</w:t>
      </w:r>
    </w:p>
    <w:p>
      <w:pPr>
        <w:pStyle w:val="3"/>
        <w:numPr>
          <w:ilvl w:val="0"/>
          <w:numId w:val="6"/>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UK banks including HSBC Bank have been continuing to build up capital resources as the financial crisis has extensively doubled their risk-weighted capital ratios.</w:t>
      </w:r>
    </w:p>
    <w:p>
      <w:pPr>
        <w:pStyle w:val="3"/>
        <w:numPr>
          <w:ilvl w:val="0"/>
          <w:numId w:val="6"/>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concerned aspects are in line with the potential levels judged appropriate by the FPC for the banking system of the UK in order to withstand potential losses at an aggregate level.</w:t>
      </w:r>
    </w:p>
    <w:p>
      <w:pPr>
        <w:pStyle w:val="3"/>
        <w:numPr>
          <w:ilvl w:val="0"/>
          <w:numId w:val="6"/>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Bank of England, as well as HSBC Bank, also engaged in conducting an annual space test related to the banking system for insurance that the plant cell Bank can scan to withstand conditions of severe stress.</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It has been judged by FPC that the banking system can be evolved within aggregate capitalised for supporting the real economy in a synchronised broad and severe stress scenario (</w:t>
      </w:r>
      <w:r>
        <w:rPr>
          <w:rFonts w:ascii="Times New Roman" w:hAnsi="Times New Roman" w:cs="Times New Roman"/>
          <w:sz w:val="24"/>
          <w:szCs w:val="24"/>
          <w:highlight w:val="white"/>
        </w:rPr>
        <w:t>Campbell-Verduyn and Hütten, 2019</w:t>
      </w:r>
      <w:r>
        <w:rPr>
          <w:rFonts w:ascii="Times New Roman" w:hAnsi="Times New Roman" w:cs="Times New Roman"/>
          <w:sz w:val="24"/>
          <w:szCs w:val="24"/>
        </w:rPr>
        <w:t>).</w:t>
      </w:r>
      <w:r>
        <w:rPr>
          <w:rFonts w:ascii="Times New Roman" w:hAnsi="Times New Roman" w:cs="Times New Roman"/>
          <w:sz w:val="24"/>
          <w:szCs w:val="24"/>
        </w:rPr>
        <w:tab/>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current scenario involved a </w:t>
      </w:r>
      <w:r>
        <w:rPr>
          <w:rFonts w:ascii="Times New Roman" w:hAnsi="Times New Roman" w:cs="Times New Roman"/>
          <w:sz w:val="24"/>
          <w:szCs w:val="24"/>
          <w:lang w:val="en-IN"/>
        </w:rPr>
        <w:t>synchronized</w:t>
      </w:r>
      <w:r>
        <w:rPr>
          <w:rFonts w:ascii="Times New Roman" w:hAnsi="Times New Roman" w:cs="Times New Roman"/>
          <w:sz w:val="24"/>
          <w:szCs w:val="24"/>
        </w:rPr>
        <w:t>, severe UK as well as global recession with associated shocks towards independent stress of misconduct cost and financial market prices. The major aim of the biennial exploratory scenario can probe the resilience of the financial system for the risk that cannot be accurately connected to the financial cycle. The potential reforms have been carried out by the UK aiming to ensure that in the financial event, the failure can be managed by the bank in such a way that can protect the financial sector and broader economy in an effective way (</w:t>
      </w:r>
      <w:r>
        <w:rPr>
          <w:rFonts w:ascii="Times New Roman" w:hAnsi="Times New Roman" w:cs="Times New Roman"/>
          <w:sz w:val="24"/>
          <w:szCs w:val="24"/>
          <w:highlight w:val="white"/>
        </w:rPr>
        <w:t>Faria, 2021</w:t>
      </w:r>
      <w:r>
        <w:rPr>
          <w:rFonts w:ascii="Times New Roman" w:hAnsi="Times New Roman" w:cs="Times New Roman"/>
          <w:sz w:val="24"/>
          <w:szCs w:val="24"/>
        </w:rPr>
        <w:t>). Resolution refers to the potential process, through which the authorities can be able to intervene for managing the failure of the banking firm in a relevant way.  A comprehensive bank resolution resume can be implemented by the banking manager in order to offer the potential tools to the authority for managing the failure of the financial sector firms over the respective market.</w:t>
      </w:r>
    </w:p>
    <w:p>
      <w:pPr>
        <w:pStyle w:val="4"/>
      </w:pPr>
      <w:bookmarkStart w:id="3" w:name="_Toc133944159"/>
      <w:bookmarkEnd w:id="3"/>
      <w:r>
        <w:t>Contribution of reforms toward stabilisation of the Financial System</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Financial management refers to strategic planning, controlling, directing and organising of financial undertakings within the institute or </w:t>
      </w:r>
      <w:r>
        <w:rPr>
          <w:rFonts w:ascii="Times New Roman" w:hAnsi="Times New Roman" w:cs="Times New Roman"/>
          <w:sz w:val="24"/>
          <w:szCs w:val="24"/>
          <w:lang w:val="en-IN"/>
        </w:rPr>
        <w:t>organization</w:t>
      </w:r>
      <w:r>
        <w:rPr>
          <w:rFonts w:ascii="Times New Roman" w:hAnsi="Times New Roman" w:cs="Times New Roman"/>
          <w:sz w:val="24"/>
          <w:szCs w:val="24"/>
        </w:rPr>
        <w:t xml:space="preserve"> respectively. It also involves the application of management principles to the financial assets of the business organisation and is an integral part of fiscal management.</w:t>
      </w:r>
    </w:p>
    <w:p>
      <w:pPr>
        <w:pStyle w:val="3"/>
        <w:numPr>
          <w:ilvl w:val="0"/>
          <w:numId w:val="7"/>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principal objective of the banking, as well as financial markets program, is to offer additional aspects within the areas of financial management related to commercial banks. It primarily involves the organisation, functions, financing and operations of banks as well as other related financial institutions in an appropriate manner (</w:t>
      </w:r>
      <w:r>
        <w:rPr>
          <w:rFonts w:ascii="Times New Roman" w:hAnsi="Times New Roman" w:cs="Times New Roman"/>
          <w:sz w:val="24"/>
          <w:szCs w:val="24"/>
          <w:highlight w:val="white"/>
        </w:rPr>
        <w:t>Henry Ntarmah et al., 2019</w:t>
      </w:r>
      <w:r>
        <w:rPr>
          <w:rFonts w:ascii="Times New Roman" w:hAnsi="Times New Roman" w:cs="Times New Roman"/>
          <w:sz w:val="24"/>
          <w:szCs w:val="24"/>
        </w:rPr>
        <w:t>).</w:t>
      </w:r>
    </w:p>
    <w:p>
      <w:pPr>
        <w:pStyle w:val="3"/>
        <w:numPr>
          <w:ilvl w:val="0"/>
          <w:numId w:val="7"/>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present program can be specifically designed for learners who are interested in pursuing their careers within bank regulatory agencies, banking or any other related financial institutions such as loan associations a</w:t>
      </w:r>
      <w:bookmarkStart w:id="7" w:name="_GoBack"/>
      <w:bookmarkEnd w:id="7"/>
      <w:r>
        <w:rPr>
          <w:rFonts w:ascii="Times New Roman" w:hAnsi="Times New Roman" w:cs="Times New Roman"/>
          <w:sz w:val="24"/>
          <w:szCs w:val="24"/>
        </w:rPr>
        <w:t>nd savings, sales and consumer finance companies, and many more.</w:t>
      </w:r>
    </w:p>
    <w:p>
      <w:pPr>
        <w:pStyle w:val="3"/>
        <w:numPr>
          <w:ilvl w:val="0"/>
          <w:numId w:val="7"/>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Banking and financial markets primarily encompass the potential ecosystem which channels the money from those individuals such as investors or savers that possess it to those such as borrowers who require it in an accurate way.</w:t>
      </w:r>
    </w:p>
    <w:p>
      <w:pPr>
        <w:pStyle w:val="3"/>
        <w:numPr>
          <w:ilvl w:val="0"/>
          <w:numId w:val="7"/>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It also plays an important role in facilitating the cross-border flow of funds with the help of the exchange of currencies over a definite period. Financial markets also play a vital role to facilitate the interaction between those individuals that require capital with those individuals that causes capital to invest across the respective market (</w:t>
      </w:r>
      <w:r>
        <w:rPr>
          <w:rFonts w:ascii="Times New Roman" w:hAnsi="Times New Roman" w:cs="Times New Roman"/>
          <w:sz w:val="24"/>
          <w:szCs w:val="24"/>
          <w:highlight w:val="white"/>
        </w:rPr>
        <w:t>Ali and Puah, 2019</w:t>
      </w:r>
      <w:r>
        <w:rPr>
          <w:rFonts w:ascii="Times New Roman" w:hAnsi="Times New Roman" w:cs="Times New Roman"/>
          <w:sz w:val="24"/>
          <w:szCs w:val="24"/>
        </w:rPr>
        <w:t>).</w:t>
      </w:r>
    </w:p>
    <w:p>
      <w:pPr>
        <w:pStyle w:val="3"/>
        <w:numPr>
          <w:ilvl w:val="0"/>
          <w:numId w:val="7"/>
        </w:num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Following the financial crisis of 2008, it has been committed by G20 to fundamental reform regarding the global financial system offering the significant social and economic damage that has been caused.</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potential objectives were accurate that the fault lines led towards the global crisis along with establishing more resilient and safer sources of finance to better the requirements of the real economy.</w:t>
      </w:r>
    </w:p>
    <w:p>
      <w:pPr>
        <w:pStyle w:val="3"/>
        <w:spacing w:before="240" w:after="240" w:line="360" w:lineRule="auto"/>
        <w:jc w:val="center"/>
        <w:rPr>
          <w:rFonts w:ascii="Times New Roman" w:hAnsi="Times New Roman" w:cs="Times New Roman"/>
          <w:sz w:val="24"/>
          <w:szCs w:val="24"/>
        </w:rPr>
      </w:pPr>
      <w:r>
        <w:drawing>
          <wp:inline distT="0" distB="0" distL="0" distR="0">
            <wp:extent cx="3879215" cy="367855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879215" cy="3678555"/>
                    </a:xfrm>
                    <a:prstGeom prst="rect">
                      <a:avLst/>
                    </a:prstGeom>
                    <a:noFill/>
                    <a:ln>
                      <a:noFill/>
                    </a:ln>
                  </pic:spPr>
                </pic:pic>
              </a:graphicData>
            </a:graphic>
          </wp:inline>
        </w:drawing>
      </w:r>
      <w:r>
        <w:rPr>
          <w:rFonts w:ascii="Times New Roman" w:hAnsi="Times New Roman" w:cs="Times New Roman"/>
          <w:sz w:val="24"/>
          <w:szCs w:val="24"/>
        </w:rPr>
        <w:t xml:space="preserve"> </w:t>
      </w:r>
    </w:p>
    <w:p>
      <w:pPr>
        <w:pStyle w:val="3"/>
        <w:spacing w:before="240" w:after="240" w:line="360" w:lineRule="auto"/>
        <w:jc w:val="center"/>
        <w:rPr>
          <w:rFonts w:ascii="Times New Roman" w:hAnsi="Times New Roman" w:cs="Times New Roman"/>
          <w:b/>
          <w:sz w:val="24"/>
          <w:szCs w:val="24"/>
        </w:rPr>
      </w:pPr>
      <w:r>
        <w:rPr>
          <w:rFonts w:ascii="Times New Roman" w:hAnsi="Times New Roman" w:cs="Times New Roman"/>
          <w:b/>
          <w:sz w:val="24"/>
          <w:szCs w:val="24"/>
        </w:rPr>
        <w:t>Figure: Banking Sector Reforms</w:t>
      </w:r>
    </w:p>
    <w:p>
      <w:pPr>
        <w:pStyle w:val="3"/>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hAnsi="Times New Roman" w:cs="Times New Roman"/>
          <w:sz w:val="24"/>
          <w:szCs w:val="24"/>
          <w:highlight w:val="white"/>
        </w:rPr>
        <w:t>Ratnawati, 2020</w:t>
      </w:r>
      <w:r>
        <w:rPr>
          <w:rFonts w:ascii="Times New Roman" w:hAnsi="Times New Roman" w:cs="Times New Roman"/>
          <w:sz w:val="24"/>
          <w:szCs w:val="24"/>
        </w:rPr>
        <w:t>)</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Financial Stability Board (FSB) has been called on by the G20 to coordinate and develop a comprehensive framework for global oversight and regulation of the present global financial system (</w:t>
      </w:r>
      <w:r>
        <w:rPr>
          <w:rFonts w:ascii="Times New Roman" w:hAnsi="Times New Roman" w:cs="Times New Roman"/>
          <w:sz w:val="24"/>
          <w:szCs w:val="24"/>
          <w:highlight w:val="white"/>
        </w:rPr>
        <w:t>Wijburg, 2021</w:t>
      </w:r>
      <w:r>
        <w:rPr>
          <w:rFonts w:ascii="Times New Roman" w:hAnsi="Times New Roman" w:cs="Times New Roman"/>
          <w:sz w:val="24"/>
          <w:szCs w:val="24"/>
        </w:rPr>
        <w:t>). The reduction in the critical risk of future crises along with the consequences related to financial instability for the real economy enforce the present reforms to be an effective contribution to the primary objective of balanced, sustainable and strong growth by G20. The relevant priority reforms areas can be articulated in the following:</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Developing resilient financial institutions: </w:t>
      </w:r>
      <w:r>
        <w:rPr>
          <w:rFonts w:ascii="Times New Roman" w:hAnsi="Times New Roman" w:cs="Times New Roman"/>
          <w:sz w:val="24"/>
          <w:szCs w:val="24"/>
        </w:rPr>
        <w:t>More efficient regulatory capital requirements, better-aligned compensation structures and strengthened risk management practices play an important role to develop more resilient financial institutions respectively.</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Efficient resolution policies and regimes: </w:t>
      </w:r>
      <w:r>
        <w:rPr>
          <w:rFonts w:ascii="Times New Roman" w:hAnsi="Times New Roman" w:cs="Times New Roman"/>
          <w:sz w:val="24"/>
          <w:szCs w:val="24"/>
        </w:rPr>
        <w:t>It is important for financial institutions to be resolvable in an orderly way without exposing systemic disturbance to the taxpayer to the risk of loss. It can be evolved by providing immense protection to the crucial functions along with utilising mechanisms for losses for being absorbed by the shareholders and insured and unsecured creditors.</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Closure of too-big-to-fail: </w:t>
      </w:r>
      <w:r>
        <w:rPr>
          <w:rFonts w:ascii="Times New Roman" w:hAnsi="Times New Roman" w:cs="Times New Roman"/>
          <w:sz w:val="24"/>
          <w:szCs w:val="24"/>
        </w:rPr>
        <w:t>The SIFI Framework primarily aims for addressing the systematic risk along with the associated moral hazard difficulty for financial institutions. It can be observed by the financial markets as too-big-to-fail extensively.</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More efficient supervision: </w:t>
      </w:r>
      <w:r>
        <w:rPr>
          <w:rFonts w:ascii="Times New Roman" w:hAnsi="Times New Roman" w:cs="Times New Roman"/>
          <w:sz w:val="24"/>
          <w:szCs w:val="24"/>
        </w:rPr>
        <w:t>The supervision level applied by the national authorities needs to be commensurate with the reliable destabilisation risk. It can be imposed by such firms on their domestic financial systems along with the broader international financial system in an accurate manner (</w:t>
      </w:r>
      <w:r>
        <w:rPr>
          <w:rFonts w:ascii="Times New Roman" w:hAnsi="Times New Roman" w:cs="Times New Roman"/>
          <w:sz w:val="24"/>
          <w:szCs w:val="24"/>
          <w:highlight w:val="white"/>
        </w:rPr>
        <w:t>Ratnawati, 2020</w:t>
      </w:r>
      <w:r>
        <w:rPr>
          <w:rFonts w:ascii="Times New Roman" w:hAnsi="Times New Roman" w:cs="Times New Roman"/>
          <w:sz w:val="24"/>
          <w:szCs w:val="24"/>
        </w:rPr>
        <w:t>).</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Developing derivatives markets safer: </w:t>
      </w:r>
      <w:r>
        <w:rPr>
          <w:rFonts w:ascii="Times New Roman" w:hAnsi="Times New Roman" w:cs="Times New Roman"/>
          <w:sz w:val="24"/>
          <w:szCs w:val="24"/>
        </w:rPr>
        <w:t>Over-the-counter (OTC) derivatives market reforms involving trading on exchanges, central clearing, trade reporting or electronic trading platforms enforce the margin and capital requirements for non-centrally cleared transactions in a significant way.</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Enhancement in the resilience regarding non-bank financial intermediation: </w:t>
      </w:r>
      <w:r>
        <w:rPr>
          <w:rFonts w:ascii="Times New Roman" w:hAnsi="Times New Roman" w:cs="Times New Roman"/>
          <w:sz w:val="24"/>
          <w:szCs w:val="24"/>
        </w:rPr>
        <w:t>Non-Bank financial institutions play an essential role to offer a variable alternative towards bank financing along with helping to support real economic activity appropriately (</w:t>
      </w:r>
      <w:r>
        <w:rPr>
          <w:rFonts w:ascii="Times New Roman" w:hAnsi="Times New Roman" w:cs="Times New Roman"/>
          <w:sz w:val="24"/>
          <w:szCs w:val="24"/>
          <w:highlight w:val="white"/>
        </w:rPr>
        <w:t>Su et al., 2021</w:t>
      </w:r>
      <w:r>
        <w:rPr>
          <w:rFonts w:ascii="Times New Roman" w:hAnsi="Times New Roman" w:cs="Times New Roman"/>
          <w:sz w:val="24"/>
          <w:szCs w:val="24"/>
        </w:rPr>
        <w:t>). The potential work of the Financial Stability Board (FSB) within the concerned area can be significantly focused on addressing and monitoring risks to financial stability, which arise from credit intermediation by the non-banks.</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relevant reforms that play an important role to provide an effective contribution to the stabilisation related to the financial system can be articulated as follows:</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Identifying data gaps: </w:t>
      </w:r>
      <w:r>
        <w:rPr>
          <w:rFonts w:ascii="Times New Roman" w:hAnsi="Times New Roman" w:cs="Times New Roman"/>
          <w:sz w:val="24"/>
          <w:szCs w:val="24"/>
        </w:rPr>
        <w:t>The present initiative assists in offering authorities a stronger level of framework to assess potential systematic risk along with clear sight related to interconnectedness regarding the largest financial institutions extensively.</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Legal Entity Identifier (LEI): </w:t>
      </w:r>
      <w:r>
        <w:rPr>
          <w:rFonts w:ascii="Times New Roman" w:hAnsi="Times New Roman" w:cs="Times New Roman"/>
          <w:sz w:val="24"/>
          <w:szCs w:val="24"/>
        </w:rPr>
        <w:t>A uniform global system based on LEI offers valuable building blocks for facilitating and contributing to most of the financial stability objectives. It significantly involves improved risk management within firms, better assessment related to micro and macroprudential risks, enabling higher accuracy and quality of financial data and facilitation of orderly resolution respectively.</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Decreasing reliance on credit ratings: </w:t>
      </w:r>
      <w:r>
        <w:rPr>
          <w:rFonts w:ascii="Times New Roman" w:hAnsi="Times New Roman" w:cs="Times New Roman"/>
          <w:sz w:val="24"/>
          <w:szCs w:val="24"/>
        </w:rPr>
        <w:t xml:space="preserve"> Dependence on credit agency ratings to the exclusion related to internal credit assessments can be treated as a major cause regarding herding behaviour or cliff effects. It can amplify the procyclicality along with causing systemic disruption within the financial institution such as HSBC Bank over the respective market.</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Improvement in risk disclosures: </w:t>
      </w:r>
      <w:r>
        <w:rPr>
          <w:rFonts w:ascii="Times New Roman" w:hAnsi="Times New Roman" w:cs="Times New Roman"/>
          <w:sz w:val="24"/>
          <w:szCs w:val="24"/>
        </w:rPr>
        <w:t>The relevant and reliable disclosures and valuations related to the risk within which financial institutions can be exposed are essential for maintaining overall confidence across the market appropriately (</w:t>
      </w:r>
      <w:r>
        <w:rPr>
          <w:rFonts w:ascii="Times New Roman" w:hAnsi="Times New Roman" w:cs="Times New Roman"/>
          <w:sz w:val="24"/>
          <w:szCs w:val="24"/>
          <w:highlight w:val="white"/>
        </w:rPr>
        <w:t>Ziolo et al., 2019</w:t>
      </w:r>
      <w:r>
        <w:rPr>
          <w:rFonts w:ascii="Times New Roman" w:hAnsi="Times New Roman" w:cs="Times New Roman"/>
          <w:sz w:val="24"/>
          <w:szCs w:val="24"/>
        </w:rPr>
        <w:t>).</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Past crises can often follow the expansions that have been triggered by financial liberation and cannot be accompanied by essential regulatory reforms as well as supervisory enhancements. Financial imbalances can often result from a worsened sequence of regulatory reforms across the financial markets. Poorly established domestic financial systems can often not be able for intermediate and large capital in close within the wake of capital account liberalisation (</w:t>
      </w:r>
      <w:r>
        <w:rPr>
          <w:rFonts w:ascii="Times New Roman" w:hAnsi="Times New Roman" w:cs="Times New Roman"/>
          <w:sz w:val="24"/>
          <w:szCs w:val="24"/>
          <w:highlight w:val="white"/>
        </w:rPr>
        <w:t>Gruin and Knaack, 2020</w:t>
      </w:r>
      <w:r>
        <w:rPr>
          <w:rFonts w:ascii="Times New Roman" w:hAnsi="Times New Roman" w:cs="Times New Roman"/>
          <w:sz w:val="24"/>
          <w:szCs w:val="24"/>
        </w:rPr>
        <w:t xml:space="preserve">). As a result, deficient supervision and poorly designed financial reforms can often lead to maturity and currency mismatches and concentrated and large credit risks extensively. Hence, the focus related to authorities primarily remained on the insolvency and liquidity of individual institutions irrespective of their dependence on the financial system as a whole. It indicates an underestimation related to profitability as well as the cost of systematic risk over the financial market. </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financial crisis of 2008 is a major event in the accommodation of industrial stability and financial credibility of an organisation in a certain period of time. Various banking processes and organisational infrastructure depend on agreements and mortgages by which they can perform businesses and also gain a profit table market outcome. There are different levels of reform which are used by various companies and banking industries to focus on a more stabilised financial system (Emara and El Said, 2021). The processes of maintaining stability include strategic management of the organisational internal working environment as well as external market effects. Focusing on the input and market output of a particular business operation is also considered valuable in this period where cost efficiency and engagement of different organisational resources are crucial to consider sustainability. Considering various financial risk and investment policies, the Financial Stability Board introduced several changes and accommodations in strategic decision-making practices to improve the compatibility of organisations and their performance. Non-banking business organisations also played a significant role in creating a flow of capital and genetically sustainable form of business accommodation to incorporate better financial attributes. Different reforms which focus on appropriate data collection and interpretation methods by which the organisation can gain more comprehensive advantages are also valuable assets for business establishment. Protecting different factors of financial infrastructure including confidentiality and financial inclusions are targeted by these reforms which contribute a major sustainability toward financial issues during the period (Jones and Knaack, 2019).</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HSBC is a popular name across the global financial market because of their services and various banking activities. The managerial changes to reform towards stabilisation were very creative as they rejected the Government's support and created a more sophisticated way of approaching and resolving market issues. Focusing on cooperation between internal and external market events in a business organisation is very effective to generate more sustainable ways of business accommodation. HSBC is also reported to have a proper financial investment which creates a buffer environment around the organisation which has a strong potential to lower the impact of the financial crisis. The client organisations and the investors are also associated with the financial crisis which initially caused major challenges for the organisation but appropriate strategic management was established to cope with the scenario. Sustainable management of the business organisation was also promoted by the effective accommodation of various business strategies by which HSBC can establish effective supply chain management. The use of different strategic attributes such as open communication to improvise organisational transparency along with securing confidential information about the investors and clients is very appropriate for developing more sustainable business operations. Considering the contribution of reform in the organisation can also be analysed by its accommodation of creative and innovative business ideas by which the utility of resources is increased along with the risk prediction is practised on a regular basis. Prediction of risks and analysing of them appropriately for business performance helped HSBC to overcome the crisis with more convenient business performance (Gallagher et al., 2021).</w:t>
      </w:r>
    </w:p>
    <w:p>
      <w:pPr>
        <w:pStyle w:val="4"/>
      </w:pPr>
      <w:bookmarkStart w:id="4" w:name="_Toc133944160"/>
      <w:bookmarkEnd w:id="4"/>
      <w:r>
        <w:t>Analysis of Reforms in a banking organisation and its Impact on the business model</w:t>
      </w:r>
    </w:p>
    <w:p>
      <w:pPr>
        <w:pStyle w:val="3"/>
        <w:spacing w:before="240" w:after="240"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financial crisis in the UK in 2008 hugely affected the banks of the nation in the form of monetary lending and exchanges. The significant impact laid on the bigger banks of the UK to be disrupted in their operations due to the rise in the interest rates during the crisis. It has been noted that established financial institutions in the UK such as HSBC strategize to operate in the crisis without governmental aid which benefited them to extend their business operations in the investment sector to the weaker opponents (Roper and Turner., 2020). The denoted bank has been further noted to exploit the positive leverage of frantic bond trading and imposed interests in financial services and currencies and investment profits that benefited in limiting bad debts of borrowers. It has been noted that HSBC adopted the </w:t>
      </w:r>
      <w:r>
        <w:rPr>
          <w:rFonts w:ascii="Times New Roman" w:hAnsi="Times New Roman" w:cs="Times New Roman"/>
          <w:i/>
          <w:sz w:val="24"/>
          <w:szCs w:val="24"/>
        </w:rPr>
        <w:t>Structural Reform</w:t>
      </w:r>
      <w:r>
        <w:rPr>
          <w:rFonts w:ascii="Times New Roman" w:hAnsi="Times New Roman" w:cs="Times New Roman"/>
          <w:sz w:val="24"/>
          <w:szCs w:val="24"/>
        </w:rPr>
        <w:t xml:space="preserve"> as per the </w:t>
      </w:r>
      <w:r>
        <w:rPr>
          <w:rFonts w:ascii="Times New Roman" w:hAnsi="Times New Roman" w:cs="Times New Roman"/>
          <w:i/>
          <w:sz w:val="24"/>
          <w:szCs w:val="24"/>
        </w:rPr>
        <w:t>Act of Banking Reform of 2013</w:t>
      </w:r>
      <w:r>
        <w:rPr>
          <w:rFonts w:ascii="Times New Roman" w:hAnsi="Times New Roman" w:cs="Times New Roman"/>
          <w:sz w:val="24"/>
          <w:szCs w:val="24"/>
        </w:rPr>
        <w:t xml:space="preserve"> which aimed to implicate high conduct standards in the financial institutes of the nation. It benefited the respective bank to enhance their capability of loss-absorbance and also demarcated the earmarking for retail and other financial activities in the bank (de-Ramon and Straughan., 2020). </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banking reform</w:t>
      </w:r>
      <w:r>
        <w:rPr>
          <w:rFonts w:ascii="Times New Roman" w:hAnsi="Times New Roman" w:cs="Times New Roman"/>
          <w:sz w:val="24"/>
          <w:szCs w:val="24"/>
        </w:rPr>
        <w:t xml:space="preserve"> devised by the UK Government provided the banks with revised rules that benefited in safeguarding the economic contributors and taxpayers from future crises. In the context of HSBC’s compliance with the UK Banking Reform, the prior benefit it obtained is that the retail operations of the banks were separated from the other investment sections. This hugely benefited the bank to implicate a structural change of developing a secluded section of ‘</w:t>
      </w:r>
      <w:r>
        <w:rPr>
          <w:rFonts w:ascii="Times New Roman" w:hAnsi="Times New Roman" w:cs="Times New Roman"/>
          <w:i/>
          <w:sz w:val="24"/>
          <w:szCs w:val="24"/>
        </w:rPr>
        <w:t>Ring-fence</w:t>
      </w:r>
      <w:r>
        <w:rPr>
          <w:rFonts w:ascii="Times New Roman" w:hAnsi="Times New Roman" w:cs="Times New Roman"/>
          <w:sz w:val="24"/>
          <w:szCs w:val="24"/>
        </w:rPr>
        <w:t xml:space="preserve">' businesses such as HSBC UK (HSBC, 2018). The creation of a separate entity for investments benefits the banking organisations to devise their protection schemes for assets and additionally monitor the assets with a denoted monetary administration. Thus, it can be implicated in the banks to avoid taxation or regulation losses which are considered to be legal if operated within legal premises (James and Quaglia., 2020). It has been noted that the majority of expenditures in banking organisations affect pension assets, hence the separation of such entities helps to curb the losses in earmarked business entities. </w:t>
      </w:r>
    </w:p>
    <w:p>
      <w:pPr>
        <w:pStyle w:val="3"/>
        <w:spacing w:before="240" w:after="240" w:line="360" w:lineRule="auto"/>
        <w:jc w:val="center"/>
        <w:rPr>
          <w:rFonts w:ascii="Times New Roman" w:hAnsi="Times New Roman" w:cs="Times New Roman"/>
          <w:sz w:val="24"/>
          <w:szCs w:val="24"/>
        </w:rPr>
      </w:pPr>
      <w:r>
        <w:drawing>
          <wp:inline distT="0" distB="0" distL="0" distR="0">
            <wp:extent cx="4086860" cy="412178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086860" cy="4121785"/>
                    </a:xfrm>
                    <a:prstGeom prst="rect">
                      <a:avLst/>
                    </a:prstGeom>
                    <a:noFill/>
                    <a:ln>
                      <a:noFill/>
                    </a:ln>
                  </pic:spPr>
                </pic:pic>
              </a:graphicData>
            </a:graphic>
          </wp:inline>
        </w:drawing>
      </w:r>
      <w:r>
        <w:rPr>
          <w:rFonts w:ascii="Times New Roman" w:hAnsi="Times New Roman" w:cs="Times New Roman"/>
          <w:sz w:val="24"/>
          <w:szCs w:val="24"/>
        </w:rPr>
        <w:t xml:space="preserve"> </w:t>
      </w:r>
    </w:p>
    <w:p>
      <w:pPr>
        <w:pStyle w:val="3"/>
        <w:spacing w:before="240" w:after="240" w:line="360" w:lineRule="auto"/>
        <w:jc w:val="center"/>
        <w:rPr>
          <w:rFonts w:ascii="Times New Roman" w:hAnsi="Times New Roman" w:cs="Times New Roman"/>
          <w:b/>
          <w:sz w:val="24"/>
          <w:szCs w:val="24"/>
        </w:rPr>
      </w:pPr>
      <w:r>
        <w:rPr>
          <w:rFonts w:ascii="Times New Roman" w:hAnsi="Times New Roman" w:cs="Times New Roman"/>
          <w:b/>
          <w:sz w:val="24"/>
          <w:szCs w:val="24"/>
        </w:rPr>
        <w:t>Figure: Business Model</w:t>
      </w:r>
    </w:p>
    <w:p>
      <w:pPr>
        <w:pStyle w:val="3"/>
        <w:spacing w:before="240" w:after="240" w:line="360" w:lineRule="auto"/>
        <w:jc w:val="center"/>
        <w:rPr>
          <w:rFonts w:ascii="Times New Roman" w:hAnsi="Times New Roman" w:cs="Times New Roman"/>
          <w:sz w:val="24"/>
          <w:szCs w:val="24"/>
        </w:rPr>
      </w:pPr>
      <w:r>
        <w:rPr>
          <w:rFonts w:ascii="Times New Roman" w:hAnsi="Times New Roman" w:cs="Times New Roman"/>
          <w:sz w:val="24"/>
          <w:szCs w:val="24"/>
        </w:rPr>
        <w:t>(Source: Herlin-Karnell and Ryder, 2019)</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reform adopted by HSBC is the </w:t>
      </w:r>
      <w:r>
        <w:rPr>
          <w:rFonts w:ascii="Times New Roman" w:hAnsi="Times New Roman" w:cs="Times New Roman"/>
          <w:i/>
          <w:sz w:val="24"/>
          <w:szCs w:val="24"/>
        </w:rPr>
        <w:t>Interbank Offer Rate (IBOR)</w:t>
      </w:r>
      <w:r>
        <w:rPr>
          <w:rFonts w:ascii="Times New Roman" w:hAnsi="Times New Roman" w:cs="Times New Roman"/>
          <w:sz w:val="24"/>
          <w:szCs w:val="24"/>
        </w:rPr>
        <w:t xml:space="preserve"> which has been strategically placed with several others such as LIBOR, EONIA, and EURIBOR. This helped the denoted bank to facilitate ‘</w:t>
      </w:r>
      <w:r>
        <w:rPr>
          <w:rFonts w:ascii="Times New Roman" w:hAnsi="Times New Roman" w:cs="Times New Roman"/>
          <w:i/>
          <w:sz w:val="24"/>
          <w:szCs w:val="24"/>
        </w:rPr>
        <w:t>Risk-free Rates</w:t>
      </w:r>
      <w:r>
        <w:rPr>
          <w:rFonts w:ascii="Times New Roman" w:hAnsi="Times New Roman" w:cs="Times New Roman"/>
          <w:sz w:val="24"/>
          <w:szCs w:val="24"/>
        </w:rPr>
        <w:t xml:space="preserve">’ in its financial services. It has been noted that the LIBOR-based reforms can potentially impact the financial services of the bank in the future in terms of increasing the rate of interest in the services and products. A higher LIBOR rate is not favourable for the customers; it increases their mortgage IRs (AboElsoud et al., 2021). It has been observed that the introduction of LIBOR reforms in the banking institutes in the UK hugely affected the demands of the customers due to increased interest rates on loans which significantly impacted the economic growth of the UK post-2008 financial disparity. </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HSBC has been strongly affected by the financial crisis of 2008 in the UK like other banking organisations in terms of monetary backup, asset protections, consumer relations, employee administration, and others. The company devised a re-evaluation plan for legal governance in the financial business to have separation of subsidiaries, asset entities, and others. The current legal framework of the denoted bank has been projected with independent administration and board which has facilitated accountability in the public-limited company (Herlin-Karnell and Ryder, 2019). In the context of risk management, the priority reforms have benefited in safeguarding the funds of customers and facilitating the lending services to the customers in a more responsible manner. Thus, compliance with the reforms has enabled the banking organisation to strengthen the board administration and prioritise risk management in the financial sector of the UK. The multilateral reforms exercised by the national government of the UK have significantly impacted the organisation management to be effective in the identification of risk areas and implicate the reform strategically to eliminate the issues. This active governance and practices have benefited HSBC to impart stability in their performance and operations post-crisis of 2008.  </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compliance of HSBC with the regulatory framework has helped in promoting the merger of international standards by effective implication of design principles relevant to regional and foreign business aspects. For instance, the G20 guidelines provided banking organisations with a comprehensive framework for enhancing the regulations and practices in the financial system in a nation-encompassing context (Bachmair, 2023). The main objective of the G20 guidelines has been noted to facilitate sustainable growth of the financial sectors of nations such as the UK. In addition, the establishment of better regulatory bodies and resilient risk management benefited banking organisations of the UK such as HSBC to align their compensation structures with modified operational administrations. The poor practice of risk management in most of the UK’s economy-based organisations has been noted to impact their susceptibility to organisational failure during the crisis. Huge governmental loans affected the asset management practices of the banks, refraining from which hugely benefited HSBC PLC to survive the impending doom in 2008 (The Guardian, 2008). </w:t>
      </w:r>
    </w:p>
    <w:p>
      <w:pPr>
        <w:pStyle w:val="3"/>
        <w:spacing w:before="240" w:after="240" w:line="360" w:lineRule="auto"/>
        <w:jc w:val="both"/>
        <w:rPr>
          <w:rFonts w:ascii="Times New Roman" w:hAnsi="Times New Roman" w:cs="Times New Roman"/>
          <w:b/>
          <w:sz w:val="24"/>
          <w:szCs w:val="24"/>
        </w:rPr>
      </w:pPr>
      <w:r>
        <w:rPr>
          <w:rFonts w:ascii="Times New Roman" w:hAnsi="Times New Roman" w:cs="Times New Roman"/>
          <w:sz w:val="24"/>
          <w:szCs w:val="24"/>
        </w:rPr>
        <w:t xml:space="preserve">Several other market reforms such as OTC derivatives that comprised trade exchanges on electronic platforms benefited the banking organisations to operate in a safer platform. HSBC has been noted to enhance its transparency in stakeholder information by devising proper management to align the needs of the customers, clients, and other stakeholders with the objectives of the adopted reforms. The bank has an open communication system for the stakeholders which has enabled them to emphasise the relevance and social integrity with the important associates of the business. It has been observed that HSBC was able to survive the 2008 financial bubble due to its international alliances with banking organisations of nations such as the </w:t>
      </w:r>
      <w:r>
        <w:rPr>
          <w:rFonts w:ascii="Times New Roman" w:hAnsi="Times New Roman" w:cs="Times New Roman"/>
          <w:i/>
          <w:sz w:val="24"/>
          <w:szCs w:val="24"/>
        </w:rPr>
        <w:t xml:space="preserve">Middle East, Asia and other Eastern markets </w:t>
      </w:r>
      <w:r>
        <w:rPr>
          <w:rFonts w:ascii="Times New Roman" w:hAnsi="Times New Roman" w:cs="Times New Roman"/>
          <w:sz w:val="24"/>
          <w:szCs w:val="24"/>
        </w:rPr>
        <w:t xml:space="preserve">(Taskinsoy, 2019). It has been noted that HSBC has been able to derive a broader financial buffer in the period of crisis that steadily supported the bank. The investment rates rise impacted the inclination and engagement of the customers which had been controlled with effective governance in services and products of the banks. </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current situation of the banking industry has had a significant impact after the downfall of Silicon Valley Bank. It has been also estimated that there is a complete decline in interest in the result we are facing in the worst scenario. Become important to understand the first inner you which includes the problem increased regarding the return to the market and the economy remaining resilient. HSBC Bank has also incorporated new strategies which include the ability to generate interest income from their prime customers. The business organisation is to understand the structure of changes and also incorporate new changes for the development of their banking activities and also maintain a resilient business (Kohler and Stockhammer., 2022) The business organisation has also incorporated a model for understanding the working activities of the banking group. First, the company needs to understand the changes in its board as a structure and also find out a progressive way of improving its portfolio. On the other hand, the company needs to explore different funding options and also access suitable business activities. Understanding the suitable business activities, the primary objective of the organisation is to contact sustainable business activities and also maintain short-term business growth. Therefore, effective communication with customers can be taken as an important aspect of developing a clear view of the requirements and also providing them with better services in micro-segmentation (Zubair et al., 2020). It will help the organisation to improve the behaviour concerns of employees and also try to meet the requirements of customers from their sophisticated end.</w:t>
      </w:r>
    </w:p>
    <w:p>
      <w:pPr>
        <w:pStyle w:val="3"/>
        <w:spacing w:before="240" w:after="240" w:line="360" w:lineRule="auto"/>
        <w:jc w:val="both"/>
        <w:rPr>
          <w:rFonts w:ascii="Times New Roman" w:hAnsi="Times New Roman" w:cs="Times New Roman"/>
          <w:b/>
          <w:sz w:val="24"/>
          <w:szCs w:val="24"/>
        </w:rPr>
      </w:pPr>
      <w:r>
        <w:rPr>
          <w:rFonts w:ascii="Times New Roman" w:hAnsi="Times New Roman" w:cs="Times New Roman"/>
          <w:sz w:val="24"/>
          <w:szCs w:val="24"/>
        </w:rPr>
        <w:t>HSBC Bank also needs to understand the growth perspective of the business which can be easily done on behalf of their current market objective. Business organisations have also faced several difficulties and it is identified that for the last 15 years, the organisation is improving its business in 86 different countries. It is also suggested that the company is currently focusing on Western and Asian countries which are considered one of the primary areas for the growth of business and also lower the struggle and pressure in comparison to working in the Washington market (Carney, 2019). The motive of the business organisation is to transform their banking activities and also try to understand the requirements of customers. The organisation has transformed from different financial crises and also identified the requirements of clients. Intelligence and data are considered as a leverage of the bank which can help in managing the asset and liabilities of the company. Co-creation of cross-product solutions can be taken as an important aspect that you have been improving the sophisticated business activities of the company and resulting in attracting more clients beyond expectation. AI can be taken as an important aspect by which organisations can easily maintain their digital collaboration activities and try to source out their current business objectives (Park and Kim., 2020). Furthermore, it is necessary for the business organisation to maintain its priority and also try to continue its growth with transaction banking. The motive of the business organisation is to instrument their corporate business and also try to understand the importance of transformation priorities which will ensure the growth perspective of the business.</w:t>
      </w:r>
    </w:p>
    <w:p>
      <w:pPr>
        <w:spacing w:line="360" w:lineRule="auto"/>
        <w:rPr>
          <w:rFonts w:ascii="Times New Roman" w:hAnsi="Times New Roman" w:cs="Times New Roman"/>
          <w:b/>
          <w:sz w:val="32"/>
          <w:szCs w:val="32"/>
        </w:rPr>
      </w:pPr>
      <w:bookmarkStart w:id="5" w:name="_Toc133944161"/>
      <w:bookmarkEnd w:id="5"/>
      <w:r>
        <w:br w:type="page"/>
      </w:r>
    </w:p>
    <w:p>
      <w:pPr>
        <w:pStyle w:val="2"/>
        <w:rPr>
          <w:kern w:val="36"/>
        </w:rPr>
      </w:pPr>
      <w:r>
        <w:rPr>
          <w:kern w:val="36"/>
        </w:rPr>
        <w:t xml:space="preserve">Conclusion </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study includes a description of the comprehensive influence of the financial crisis in 2008. The impact of the financial crisis on various banking institutes and business companies was very crucial where the hindrance caused major challenges to overcome the financial sustainability and economic attributes of the overall country's gross domestic product. The study provides a brief description of various legal regulations and guidelines proposed by the European Union as well as other authority bodies in the UK to control the situation. The changes and various reforms practised by the organisation to cope with the scenario and also generate a better market outcome are mentioned in the study. Understanding the necessary reform and various strategic decisions taken by the banking institutes as well as other organisations is very convenient to evaluate the potential influence of the financial crisis on organisational performance and business accommodation.</w:t>
      </w:r>
    </w:p>
    <w:p>
      <w:pPr>
        <w:pStyle w:val="3"/>
        <w:spacing w:before="240" w:after="240" w:line="360" w:lineRule="auto"/>
        <w:jc w:val="both"/>
        <w:rPr>
          <w:rFonts w:ascii="Times New Roman" w:hAnsi="Times New Roman" w:cs="Times New Roman"/>
          <w:b/>
          <w:sz w:val="24"/>
          <w:szCs w:val="24"/>
        </w:rPr>
      </w:pPr>
      <w:r>
        <w:rPr>
          <w:rFonts w:ascii="Times New Roman" w:hAnsi="Times New Roman" w:cs="Times New Roman"/>
          <w:sz w:val="24"/>
          <w:szCs w:val="24"/>
        </w:rPr>
        <w:t>The study also provides a brief explanation of the compatibility of organisational decision-making and appropriate managerial control by which banking institutes like HSBC can overcome the situation. The organisation was very creative and sophisticated in regard to strategic decision-making and controlling the internal as well as external market issues to mitigate the market hindrance. Different types of reforms included in the HSBC are mentioned in the study by which the readers can easily understand the compatibility of organisational decisions over a market risk which potentially challenged the overall financial sustainability of the country. The study also includes authentic information along with justified resources which increases the appropriateness and credibility of the research work about the topic.</w:t>
      </w:r>
      <w:r>
        <w:br w:type="page"/>
      </w:r>
    </w:p>
    <w:p>
      <w:pPr>
        <w:pStyle w:val="2"/>
        <w:rPr>
          <w:kern w:val="36"/>
        </w:rPr>
      </w:pPr>
      <w:bookmarkStart w:id="6" w:name="_Toc133944162"/>
      <w:bookmarkEnd w:id="6"/>
      <w:r>
        <w:rPr>
          <w:kern w:val="36"/>
        </w:rPr>
        <w:t>Reference List</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AboElsoud, M.E., AlQudah, A. and Paparas, D., (2021). Effectiveness of interest rate policy on the management of macroeconomic stability: Evidence from the United Kingdom. Journal of Organisational Studies and Innovation, 7(4), pp.35-50.</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Ali, M. and Puah, C.H., (2019). The internal determinants of bank profitability and stability: An insight from banking sector of Pakistan. </w:t>
      </w:r>
      <w:r>
        <w:rPr>
          <w:rFonts w:ascii="Times New Roman" w:hAnsi="Times New Roman" w:cs="Times New Roman"/>
          <w:i/>
          <w:sz w:val="24"/>
          <w:szCs w:val="24"/>
        </w:rPr>
        <w:t>Management research review</w:t>
      </w:r>
      <w:r>
        <w:rPr>
          <w:rFonts w:ascii="Times New Roman" w:hAnsi="Times New Roman" w:cs="Times New Roman"/>
          <w:sz w:val="24"/>
          <w:szCs w:val="24"/>
        </w:rPr>
        <w:t xml:space="preserve">, </w:t>
      </w:r>
      <w:r>
        <w:rPr>
          <w:rFonts w:ascii="Times New Roman" w:hAnsi="Times New Roman" w:cs="Times New Roman"/>
          <w:i/>
          <w:sz w:val="24"/>
          <w:szCs w:val="24"/>
        </w:rPr>
        <w:t>42</w:t>
      </w:r>
      <w:r>
        <w:rPr>
          <w:rFonts w:ascii="Times New Roman" w:hAnsi="Times New Roman" w:cs="Times New Roman"/>
          <w:sz w:val="24"/>
          <w:szCs w:val="24"/>
        </w:rPr>
        <w:t>(1), pp.49-67.</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Bachmair, K., (2023). The Effects of the LIBOR Scandal on Volatility and Liquidity in LIBOR Futures Markets. Available at SSRN 4318460.</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Bulfone, F. and Tassinari, A., (2021). Under pressure. Economic constraints, electoral politics and labour market reforms in Southern Europe in the decade of the Great Recession. </w:t>
      </w:r>
      <w:r>
        <w:rPr>
          <w:rFonts w:ascii="Times New Roman" w:hAnsi="Times New Roman" w:cs="Times New Roman"/>
          <w:i/>
          <w:sz w:val="24"/>
          <w:szCs w:val="24"/>
        </w:rPr>
        <w:t>European journal of political research</w:t>
      </w:r>
      <w:r>
        <w:rPr>
          <w:rFonts w:ascii="Times New Roman" w:hAnsi="Times New Roman" w:cs="Times New Roman"/>
          <w:sz w:val="24"/>
          <w:szCs w:val="24"/>
        </w:rPr>
        <w:t xml:space="preserve">, </w:t>
      </w:r>
      <w:r>
        <w:rPr>
          <w:rFonts w:ascii="Times New Roman" w:hAnsi="Times New Roman" w:cs="Times New Roman"/>
          <w:i/>
          <w:sz w:val="24"/>
          <w:szCs w:val="24"/>
        </w:rPr>
        <w:t>60</w:t>
      </w:r>
      <w:r>
        <w:rPr>
          <w:rFonts w:ascii="Times New Roman" w:hAnsi="Times New Roman" w:cs="Times New Roman"/>
          <w:sz w:val="24"/>
          <w:szCs w:val="24"/>
        </w:rPr>
        <w:t>(3), pp.509-538.</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Campbell-Verduyn, M. and Hütten, M., (2019). Beyond scandal? Blockchain technologies and the legitimacy of post-2008 finance. </w:t>
      </w:r>
      <w:r>
        <w:rPr>
          <w:rFonts w:ascii="Times New Roman" w:hAnsi="Times New Roman" w:cs="Times New Roman"/>
          <w:i/>
          <w:sz w:val="24"/>
          <w:szCs w:val="24"/>
        </w:rPr>
        <w:t>Finance and Society</w:t>
      </w:r>
      <w:r>
        <w:rPr>
          <w:rFonts w:ascii="Times New Roman" w:hAnsi="Times New Roman" w:cs="Times New Roman"/>
          <w:sz w:val="24"/>
          <w:szCs w:val="24"/>
        </w:rPr>
        <w:t xml:space="preserve">, </w:t>
      </w:r>
      <w:r>
        <w:rPr>
          <w:rFonts w:ascii="Times New Roman" w:hAnsi="Times New Roman" w:cs="Times New Roman"/>
          <w:i/>
          <w:sz w:val="24"/>
          <w:szCs w:val="24"/>
        </w:rPr>
        <w:t>5</w:t>
      </w:r>
      <w:r>
        <w:rPr>
          <w:rFonts w:ascii="Times New Roman" w:hAnsi="Times New Roman" w:cs="Times New Roman"/>
          <w:sz w:val="24"/>
          <w:szCs w:val="24"/>
        </w:rPr>
        <w:t>(2), pp.126-44.</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Carney, M., (2019), August. The growing challenges for monetary policy in the current international monetary and financial system. In Remarks at the Jackson Hole symposium (Vol. 23, pp. 377-411).</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Cocola-Gant, A. and Gago, A., (2021). Airbnb, buy-to-let investment and tourism-driven displacement: A case study in Lisbon. </w:t>
      </w:r>
      <w:r>
        <w:rPr>
          <w:rFonts w:ascii="Times New Roman" w:hAnsi="Times New Roman" w:cs="Times New Roman"/>
          <w:i/>
          <w:sz w:val="24"/>
          <w:szCs w:val="24"/>
        </w:rPr>
        <w:t>Environment and Planning A: Economy and Space</w:t>
      </w:r>
      <w:r>
        <w:rPr>
          <w:rFonts w:ascii="Times New Roman" w:hAnsi="Times New Roman" w:cs="Times New Roman"/>
          <w:sz w:val="24"/>
          <w:szCs w:val="24"/>
        </w:rPr>
        <w:t xml:space="preserve">, </w:t>
      </w:r>
      <w:r>
        <w:rPr>
          <w:rFonts w:ascii="Times New Roman" w:hAnsi="Times New Roman" w:cs="Times New Roman"/>
          <w:i/>
          <w:sz w:val="24"/>
          <w:szCs w:val="24"/>
        </w:rPr>
        <w:t>53</w:t>
      </w:r>
      <w:r>
        <w:rPr>
          <w:rFonts w:ascii="Times New Roman" w:hAnsi="Times New Roman" w:cs="Times New Roman"/>
          <w:sz w:val="24"/>
          <w:szCs w:val="24"/>
        </w:rPr>
        <w:t>(7), pp.1671-1688.</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Crouch, C., (2020). </w:t>
      </w:r>
      <w:r>
        <w:rPr>
          <w:rFonts w:ascii="Times New Roman" w:hAnsi="Times New Roman" w:cs="Times New Roman"/>
          <w:i/>
          <w:sz w:val="24"/>
          <w:szCs w:val="24"/>
        </w:rPr>
        <w:t>Post-democracy after the crises</w:t>
      </w:r>
      <w:r>
        <w:rPr>
          <w:rFonts w:ascii="Times New Roman" w:hAnsi="Times New Roman" w:cs="Times New Roman"/>
          <w:sz w:val="24"/>
          <w:szCs w:val="24"/>
        </w:rPr>
        <w:t>. New Jersey: John Wiley &amp; Sons.</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de-Ramon, S. and Straughan, M., (2020). The evolution of competition in the UK deposit-taking sector, 1989–2013. The European Journal of Finance, 26(10), pp.958-977.</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Emara, N. and El Said, A., (2021). Financial inclusion and economic growth: The role of governance in selected MENA countries. </w:t>
      </w:r>
      <w:r>
        <w:rPr>
          <w:rFonts w:ascii="Times New Roman" w:hAnsi="Times New Roman" w:cs="Times New Roman"/>
          <w:i/>
          <w:sz w:val="24"/>
          <w:szCs w:val="24"/>
        </w:rPr>
        <w:t>International Review of Economics &amp; Finance</w:t>
      </w:r>
      <w:r>
        <w:rPr>
          <w:rFonts w:ascii="Times New Roman" w:hAnsi="Times New Roman" w:cs="Times New Roman"/>
          <w:sz w:val="24"/>
          <w:szCs w:val="24"/>
        </w:rPr>
        <w:t xml:space="preserve">, </w:t>
      </w:r>
      <w:r>
        <w:rPr>
          <w:rFonts w:ascii="Times New Roman" w:hAnsi="Times New Roman" w:cs="Times New Roman"/>
          <w:i/>
          <w:sz w:val="24"/>
          <w:szCs w:val="24"/>
        </w:rPr>
        <w:t>75</w:t>
      </w:r>
      <w:r>
        <w:rPr>
          <w:rFonts w:ascii="Times New Roman" w:hAnsi="Times New Roman" w:cs="Times New Roman"/>
          <w:sz w:val="24"/>
          <w:szCs w:val="24"/>
        </w:rPr>
        <w:t>, pp.34-54.</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Faria, I., (2021). The market, the regulator, and the government: Making a blockchain ecosystem in the Netherlands. </w:t>
      </w:r>
      <w:r>
        <w:rPr>
          <w:rFonts w:ascii="Times New Roman" w:hAnsi="Times New Roman" w:cs="Times New Roman"/>
          <w:i/>
          <w:sz w:val="24"/>
          <w:szCs w:val="24"/>
        </w:rPr>
        <w:t>Finance and Society</w:t>
      </w:r>
      <w:r>
        <w:rPr>
          <w:rFonts w:ascii="Times New Roman" w:hAnsi="Times New Roman" w:cs="Times New Roman"/>
          <w:sz w:val="24"/>
          <w:szCs w:val="24"/>
        </w:rPr>
        <w:t xml:space="preserve">, </w:t>
      </w:r>
      <w:r>
        <w:rPr>
          <w:rFonts w:ascii="Times New Roman" w:hAnsi="Times New Roman" w:cs="Times New Roman"/>
          <w:i/>
          <w:sz w:val="24"/>
          <w:szCs w:val="24"/>
        </w:rPr>
        <w:t>7</w:t>
      </w:r>
      <w:r>
        <w:rPr>
          <w:rFonts w:ascii="Times New Roman" w:hAnsi="Times New Roman" w:cs="Times New Roman"/>
          <w:sz w:val="24"/>
          <w:szCs w:val="24"/>
        </w:rPr>
        <w:t>(1), pp.40-56.</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Gallagher, K.P., Gao, H., Kring, W.N., Ocampo, J.A. and Volz, U., (2021). Safety first: Expanding the global financial safety net in response to COVID‐19. </w:t>
      </w:r>
      <w:r>
        <w:rPr>
          <w:rFonts w:ascii="Times New Roman" w:hAnsi="Times New Roman" w:cs="Times New Roman"/>
          <w:i/>
          <w:sz w:val="24"/>
          <w:szCs w:val="24"/>
        </w:rPr>
        <w:t>Global Policy</w:t>
      </w:r>
      <w:r>
        <w:rPr>
          <w:rFonts w:ascii="Times New Roman" w:hAnsi="Times New Roman" w:cs="Times New Roman"/>
          <w:sz w:val="24"/>
          <w:szCs w:val="24"/>
        </w:rPr>
        <w:t xml:space="preserve">, </w:t>
      </w:r>
      <w:r>
        <w:rPr>
          <w:rFonts w:ascii="Times New Roman" w:hAnsi="Times New Roman" w:cs="Times New Roman"/>
          <w:i/>
          <w:sz w:val="24"/>
          <w:szCs w:val="24"/>
        </w:rPr>
        <w:t>12</w:t>
      </w:r>
      <w:r>
        <w:rPr>
          <w:rFonts w:ascii="Times New Roman" w:hAnsi="Times New Roman" w:cs="Times New Roman"/>
          <w:sz w:val="24"/>
          <w:szCs w:val="24"/>
        </w:rPr>
        <w:t>(1), pp.140-148.</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García-Lamarca, M., (2021). Real estate crisis resolution regimes and residential REITs: Emerging socio-spatial impacts in Barcelona. </w:t>
      </w:r>
      <w:r>
        <w:rPr>
          <w:rFonts w:ascii="Times New Roman" w:hAnsi="Times New Roman" w:cs="Times New Roman"/>
          <w:i/>
          <w:sz w:val="24"/>
          <w:szCs w:val="24"/>
        </w:rPr>
        <w:t>Housing Studies</w:t>
      </w:r>
      <w:r>
        <w:rPr>
          <w:rFonts w:ascii="Times New Roman" w:hAnsi="Times New Roman" w:cs="Times New Roman"/>
          <w:sz w:val="24"/>
          <w:szCs w:val="24"/>
        </w:rPr>
        <w:t xml:space="preserve">, </w:t>
      </w:r>
      <w:r>
        <w:rPr>
          <w:rFonts w:ascii="Times New Roman" w:hAnsi="Times New Roman" w:cs="Times New Roman"/>
          <w:i/>
          <w:sz w:val="24"/>
          <w:szCs w:val="24"/>
        </w:rPr>
        <w:t>36</w:t>
      </w:r>
      <w:r>
        <w:rPr>
          <w:rFonts w:ascii="Times New Roman" w:hAnsi="Times New Roman" w:cs="Times New Roman"/>
          <w:sz w:val="24"/>
          <w:szCs w:val="24"/>
        </w:rPr>
        <w:t>(9), pp.1407-1426.</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Gil García, J. and Martínez López, M.A., (2023). State-led actions reigniting the financialization of housing in Spain. </w:t>
      </w:r>
      <w:r>
        <w:rPr>
          <w:rFonts w:ascii="Times New Roman" w:hAnsi="Times New Roman" w:cs="Times New Roman"/>
          <w:i/>
          <w:sz w:val="24"/>
          <w:szCs w:val="24"/>
        </w:rPr>
        <w:t>Housing, theory and society</w:t>
      </w:r>
      <w:r>
        <w:rPr>
          <w:rFonts w:ascii="Times New Roman" w:hAnsi="Times New Roman" w:cs="Times New Roman"/>
          <w:sz w:val="24"/>
          <w:szCs w:val="24"/>
        </w:rPr>
        <w:t xml:space="preserve">, </w:t>
      </w:r>
      <w:r>
        <w:rPr>
          <w:rFonts w:ascii="Times New Roman" w:hAnsi="Times New Roman" w:cs="Times New Roman"/>
          <w:i/>
          <w:sz w:val="24"/>
          <w:szCs w:val="24"/>
        </w:rPr>
        <w:t>40</w:t>
      </w:r>
      <w:r>
        <w:rPr>
          <w:rFonts w:ascii="Times New Roman" w:hAnsi="Times New Roman" w:cs="Times New Roman"/>
          <w:sz w:val="24"/>
          <w:szCs w:val="24"/>
        </w:rPr>
        <w:t>(1), pp.1-21.</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Gruin, J. and Knaack, P., (2020). Not just another shadow bank: Chinese authoritarian capitalism and the ‘developmental’promise of digital financial innovation. </w:t>
      </w:r>
      <w:r>
        <w:rPr>
          <w:rFonts w:ascii="Times New Roman" w:hAnsi="Times New Roman" w:cs="Times New Roman"/>
          <w:i/>
          <w:sz w:val="24"/>
          <w:szCs w:val="24"/>
        </w:rPr>
        <w:t>New political economy</w:t>
      </w:r>
      <w:r>
        <w:rPr>
          <w:rFonts w:ascii="Times New Roman" w:hAnsi="Times New Roman" w:cs="Times New Roman"/>
          <w:sz w:val="24"/>
          <w:szCs w:val="24"/>
        </w:rPr>
        <w:t xml:space="preserve">, </w:t>
      </w:r>
      <w:r>
        <w:rPr>
          <w:rFonts w:ascii="Times New Roman" w:hAnsi="Times New Roman" w:cs="Times New Roman"/>
          <w:i/>
          <w:sz w:val="24"/>
          <w:szCs w:val="24"/>
        </w:rPr>
        <w:t>25</w:t>
      </w:r>
      <w:r>
        <w:rPr>
          <w:rFonts w:ascii="Times New Roman" w:hAnsi="Times New Roman" w:cs="Times New Roman"/>
          <w:sz w:val="24"/>
          <w:szCs w:val="24"/>
        </w:rPr>
        <w:t>(3), pp.370-387.</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Henry Ntarmah, A., Kong, Y. and Kobina Gyan, M., (2019). Banking system stability and economic sustainability: A panel data analysis of the effect of banking system stability on sustainability of some selected developing countries. </w:t>
      </w:r>
      <w:r>
        <w:rPr>
          <w:rFonts w:ascii="Times New Roman" w:hAnsi="Times New Roman" w:cs="Times New Roman"/>
          <w:i/>
          <w:sz w:val="24"/>
          <w:szCs w:val="24"/>
        </w:rPr>
        <w:t>Quant Financ Econ</w:t>
      </w:r>
      <w:r>
        <w:rPr>
          <w:rFonts w:ascii="Times New Roman" w:hAnsi="Times New Roman" w:cs="Times New Roman"/>
          <w:sz w:val="24"/>
          <w:szCs w:val="24"/>
        </w:rPr>
        <w:t xml:space="preserve">, </w:t>
      </w:r>
      <w:r>
        <w:rPr>
          <w:rFonts w:ascii="Times New Roman" w:hAnsi="Times New Roman" w:cs="Times New Roman"/>
          <w:i/>
          <w:sz w:val="24"/>
          <w:szCs w:val="24"/>
        </w:rPr>
        <w:t>3</w:t>
      </w:r>
      <w:r>
        <w:rPr>
          <w:rFonts w:ascii="Times New Roman" w:hAnsi="Times New Roman" w:cs="Times New Roman"/>
          <w:sz w:val="24"/>
          <w:szCs w:val="24"/>
        </w:rPr>
        <w:t>, pp.709-38.</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Herlin-Karnell, E. and Ryder, N., (2019). Market Manipulation and Insider Trading.</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James, S. and Quaglia, L., (2020). The UK and multi-level financial regulation: From post-crisis reform to Brexit. Oxford University Press.</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Jones, E. and Knaack, P., (2019). Global financial regulation: Shortcomings and reform options. </w:t>
      </w:r>
      <w:r>
        <w:rPr>
          <w:rFonts w:ascii="Times New Roman" w:hAnsi="Times New Roman" w:cs="Times New Roman"/>
          <w:i/>
          <w:sz w:val="24"/>
          <w:szCs w:val="24"/>
        </w:rPr>
        <w:t>Global Policy</w:t>
      </w:r>
      <w:r>
        <w:rPr>
          <w:rFonts w:ascii="Times New Roman" w:hAnsi="Times New Roman" w:cs="Times New Roman"/>
          <w:sz w:val="24"/>
          <w:szCs w:val="24"/>
        </w:rPr>
        <w:t xml:space="preserve">, </w:t>
      </w:r>
      <w:r>
        <w:rPr>
          <w:rFonts w:ascii="Times New Roman" w:hAnsi="Times New Roman" w:cs="Times New Roman"/>
          <w:i/>
          <w:sz w:val="24"/>
          <w:szCs w:val="24"/>
        </w:rPr>
        <w:t>10</w:t>
      </w:r>
      <w:r>
        <w:rPr>
          <w:rFonts w:ascii="Times New Roman" w:hAnsi="Times New Roman" w:cs="Times New Roman"/>
          <w:sz w:val="24"/>
          <w:szCs w:val="24"/>
        </w:rPr>
        <w:t>(2), pp.193-206.</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Kohler, K. and Stockhammer, E., (2022). Growing differently? Financial cycles, austerity, and competitiveness in growth models since the Global Financial Crisis. Review of International Political Economy, 29(4), pp.1314-1341.</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Köppe, S. and MacCarthaigh, M., (2019). Public service integration in hard times: Merging unemployment benefit and labour market activation measures. </w:t>
      </w:r>
      <w:r>
        <w:rPr>
          <w:rFonts w:ascii="Times New Roman" w:hAnsi="Times New Roman" w:cs="Times New Roman"/>
          <w:i/>
          <w:sz w:val="24"/>
          <w:szCs w:val="24"/>
        </w:rPr>
        <w:t>Administration</w:t>
      </w:r>
      <w:r>
        <w:rPr>
          <w:rFonts w:ascii="Times New Roman" w:hAnsi="Times New Roman" w:cs="Times New Roman"/>
          <w:sz w:val="24"/>
          <w:szCs w:val="24"/>
        </w:rPr>
        <w:t xml:space="preserve">, </w:t>
      </w:r>
      <w:r>
        <w:rPr>
          <w:rFonts w:ascii="Times New Roman" w:hAnsi="Times New Roman" w:cs="Times New Roman"/>
          <w:i/>
          <w:sz w:val="24"/>
          <w:szCs w:val="24"/>
        </w:rPr>
        <w:t>67</w:t>
      </w:r>
      <w:r>
        <w:rPr>
          <w:rFonts w:ascii="Times New Roman" w:hAnsi="Times New Roman" w:cs="Times New Roman"/>
          <w:sz w:val="24"/>
          <w:szCs w:val="24"/>
        </w:rPr>
        <w:t>(2), pp.137-60.</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Park, H. and Kim, J.D., (2020). Transition towards green banking: role of financial regulators and financial institutions. Asian Journal of Sustainability and Social Responsibility, 5(1), pp.1-25.</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Ratnawati, K., (2020). The impact of financial inclusion on economic growth, poverty, income inequality, and financial stability in Asia. </w:t>
      </w:r>
      <w:r>
        <w:rPr>
          <w:rFonts w:ascii="Times New Roman" w:hAnsi="Times New Roman" w:cs="Times New Roman"/>
          <w:i/>
          <w:sz w:val="24"/>
          <w:szCs w:val="24"/>
        </w:rPr>
        <w:t>The Journal of Asian Finance, Economics and Business</w:t>
      </w:r>
      <w:r>
        <w:rPr>
          <w:rFonts w:ascii="Times New Roman" w:hAnsi="Times New Roman" w:cs="Times New Roman"/>
          <w:sz w:val="24"/>
          <w:szCs w:val="24"/>
        </w:rPr>
        <w:t xml:space="preserve">, </w:t>
      </w:r>
      <w:r>
        <w:rPr>
          <w:rFonts w:ascii="Times New Roman" w:hAnsi="Times New Roman" w:cs="Times New Roman"/>
          <w:i/>
          <w:sz w:val="24"/>
          <w:szCs w:val="24"/>
        </w:rPr>
        <w:t>7</w:t>
      </w:r>
      <w:r>
        <w:rPr>
          <w:rFonts w:ascii="Times New Roman" w:hAnsi="Times New Roman" w:cs="Times New Roman"/>
          <w:sz w:val="24"/>
          <w:szCs w:val="24"/>
        </w:rPr>
        <w:t>(10), pp.73-85.</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Roper, S. and Turner, J., (2020). R&amp;D and innovation after COVID-19: What can we expect? A review of prior research and data trends after the great financial crisis. International Small Business Journal, 38(6), pp.504-514.</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Su, C.W., Qin, M., Rizvi, S.K.A. and Umar, M., (2021). Bank competition in China: a blessing or a curse for financial system?. </w:t>
      </w:r>
      <w:r>
        <w:rPr>
          <w:rFonts w:ascii="Times New Roman" w:hAnsi="Times New Roman" w:cs="Times New Roman"/>
          <w:i/>
          <w:sz w:val="24"/>
          <w:szCs w:val="24"/>
        </w:rPr>
        <w:t>Economic Research-Ekonomska Istraživanja</w:t>
      </w:r>
      <w:r>
        <w:rPr>
          <w:rFonts w:ascii="Times New Roman" w:hAnsi="Times New Roman" w:cs="Times New Roman"/>
          <w:sz w:val="24"/>
          <w:szCs w:val="24"/>
        </w:rPr>
        <w:t xml:space="preserve">, </w:t>
      </w:r>
      <w:r>
        <w:rPr>
          <w:rFonts w:ascii="Times New Roman" w:hAnsi="Times New Roman" w:cs="Times New Roman"/>
          <w:i/>
          <w:sz w:val="24"/>
          <w:szCs w:val="24"/>
        </w:rPr>
        <w:t>34</w:t>
      </w:r>
      <w:r>
        <w:rPr>
          <w:rFonts w:ascii="Times New Roman" w:hAnsi="Times New Roman" w:cs="Times New Roman"/>
          <w:sz w:val="24"/>
          <w:szCs w:val="24"/>
        </w:rPr>
        <w:t>(1), pp.1244-1264.</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Taskinsoy, J., (2019). Ever more financial instability notwithstanding the Basel standards and the IMF’s financial sector assessment program. Available at SSRN 3328473.</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Guardian (2008). hsbcholdings-subprimecrisis Available at https://www.theguardian.com/business/2008/nov/10/hsbcholdings-subprimecrisis [Accessed on 2nd April 2023]</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Trif, A. and Szabó, I.G., (2023). Where to find power resources under a hostile government? The prospects for trade union revitalization after the loss of institutional resources in Hungary and Romania. </w:t>
      </w:r>
      <w:r>
        <w:rPr>
          <w:rFonts w:ascii="Times New Roman" w:hAnsi="Times New Roman" w:cs="Times New Roman"/>
          <w:i/>
          <w:sz w:val="24"/>
          <w:szCs w:val="24"/>
        </w:rPr>
        <w:t>European Journal of Industrial Relations</w:t>
      </w:r>
      <w:r>
        <w:rPr>
          <w:rFonts w:ascii="Times New Roman" w:hAnsi="Times New Roman" w:cs="Times New Roman"/>
          <w:sz w:val="24"/>
          <w:szCs w:val="24"/>
        </w:rPr>
        <w:t xml:space="preserve">, </w:t>
      </w:r>
      <w:r>
        <w:rPr>
          <w:rFonts w:ascii="Times New Roman" w:hAnsi="Times New Roman" w:cs="Times New Roman"/>
          <w:i/>
          <w:sz w:val="24"/>
          <w:szCs w:val="24"/>
        </w:rPr>
        <w:t>29</w:t>
      </w:r>
      <w:r>
        <w:rPr>
          <w:rFonts w:ascii="Times New Roman" w:hAnsi="Times New Roman" w:cs="Times New Roman"/>
          <w:sz w:val="24"/>
          <w:szCs w:val="24"/>
        </w:rPr>
        <w:t>(1), pp.25-42.</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Von Homeyer, I., Oberthür, S. and Jordan, A.J., (2021). EU climate and energy governance in times of crisis: Towards a new agenda. </w:t>
      </w:r>
      <w:r>
        <w:rPr>
          <w:rFonts w:ascii="Times New Roman" w:hAnsi="Times New Roman" w:cs="Times New Roman"/>
          <w:i/>
          <w:sz w:val="24"/>
          <w:szCs w:val="24"/>
        </w:rPr>
        <w:t>Journal of European Public Policy</w:t>
      </w:r>
      <w:r>
        <w:rPr>
          <w:rFonts w:ascii="Times New Roman" w:hAnsi="Times New Roman" w:cs="Times New Roman"/>
          <w:sz w:val="24"/>
          <w:szCs w:val="24"/>
        </w:rPr>
        <w:t xml:space="preserve">, </w:t>
      </w:r>
      <w:r>
        <w:rPr>
          <w:rFonts w:ascii="Times New Roman" w:hAnsi="Times New Roman" w:cs="Times New Roman"/>
          <w:i/>
          <w:sz w:val="24"/>
          <w:szCs w:val="24"/>
        </w:rPr>
        <w:t>28</w:t>
      </w:r>
      <w:r>
        <w:rPr>
          <w:rFonts w:ascii="Times New Roman" w:hAnsi="Times New Roman" w:cs="Times New Roman"/>
          <w:sz w:val="24"/>
          <w:szCs w:val="24"/>
        </w:rPr>
        <w:t>(7), pp.959-979.</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Wijburg, G., (2021). The de-financialization of housing: towards a research agenda. </w:t>
      </w:r>
      <w:r>
        <w:rPr>
          <w:rFonts w:ascii="Times New Roman" w:hAnsi="Times New Roman" w:cs="Times New Roman"/>
          <w:i/>
          <w:sz w:val="24"/>
          <w:szCs w:val="24"/>
        </w:rPr>
        <w:t>Housing Studies</w:t>
      </w:r>
      <w:r>
        <w:rPr>
          <w:rFonts w:ascii="Times New Roman" w:hAnsi="Times New Roman" w:cs="Times New Roman"/>
          <w:sz w:val="24"/>
          <w:szCs w:val="24"/>
        </w:rPr>
        <w:t xml:space="preserve">, </w:t>
      </w:r>
      <w:r>
        <w:rPr>
          <w:rFonts w:ascii="Times New Roman" w:hAnsi="Times New Roman" w:cs="Times New Roman"/>
          <w:i/>
          <w:sz w:val="24"/>
          <w:szCs w:val="24"/>
        </w:rPr>
        <w:t>36</w:t>
      </w:r>
      <w:r>
        <w:rPr>
          <w:rFonts w:ascii="Times New Roman" w:hAnsi="Times New Roman" w:cs="Times New Roman"/>
          <w:sz w:val="24"/>
          <w:szCs w:val="24"/>
        </w:rPr>
        <w:t>(8), pp.1276-1293.</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Ziolo, M., Filipiak, B.Z., Bąk, I. and Cheba, K., (2019). How to design more sustainable financial systems: The roles of environmental, social, and governance factors in the decision-making process. </w:t>
      </w:r>
      <w:r>
        <w:rPr>
          <w:rFonts w:ascii="Times New Roman" w:hAnsi="Times New Roman" w:cs="Times New Roman"/>
          <w:i/>
          <w:sz w:val="24"/>
          <w:szCs w:val="24"/>
        </w:rPr>
        <w:t>Sustainability</w:t>
      </w:r>
      <w:r>
        <w:rPr>
          <w:rFonts w:ascii="Times New Roman" w:hAnsi="Times New Roman" w:cs="Times New Roman"/>
          <w:sz w:val="24"/>
          <w:szCs w:val="24"/>
        </w:rPr>
        <w:t xml:space="preserve">, </w:t>
      </w:r>
      <w:r>
        <w:rPr>
          <w:rFonts w:ascii="Times New Roman" w:hAnsi="Times New Roman" w:cs="Times New Roman"/>
          <w:i/>
          <w:sz w:val="24"/>
          <w:szCs w:val="24"/>
        </w:rPr>
        <w:t>11</w:t>
      </w:r>
      <w:r>
        <w:rPr>
          <w:rFonts w:ascii="Times New Roman" w:hAnsi="Times New Roman" w:cs="Times New Roman"/>
          <w:sz w:val="24"/>
          <w:szCs w:val="24"/>
        </w:rPr>
        <w:t>(20), p.5604.</w:t>
      </w:r>
    </w:p>
    <w:p>
      <w:pPr>
        <w:pStyle w:val="3"/>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Zubair, S., Kabir, R. and Huang, X., (2020). Does the financial crisis change the effect of financing on investment? Evidence from private SMEs. Journal of Business Research, 110, pp.456-463.</w:t>
      </w:r>
    </w:p>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3" w:lineRule="auto"/>
      </w:pPr>
      <w:r>
        <w:separator/>
      </w:r>
    </w:p>
  </w:footnote>
  <w:footnote w:type="continuationSeparator" w:id="1">
    <w:p>
      <w:pPr>
        <w:spacing w:before="0" w:after="0" w:line="273"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334C5"/>
    <w:multiLevelType w:val="multilevel"/>
    <w:tmpl w:val="035334C5"/>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
      <w:lvlJc w:val="left"/>
      <w:pPr>
        <w:ind w:left="1440" w:hanging="360"/>
      </w:pPr>
      <w:rPr>
        <w:rFonts w:hint="default" w:ascii="Times New Roman" w:hAnsi="Times New Roman" w:cs="Times New Roman"/>
      </w:rPr>
    </w:lvl>
    <w:lvl w:ilvl="2" w:tentative="0">
      <w:start w:val="1"/>
      <w:numFmt w:val="bullet"/>
      <w:lvlText w:val="■"/>
      <w:lvlJc w:val="left"/>
      <w:pPr>
        <w:ind w:left="2160" w:hanging="360"/>
      </w:pPr>
      <w:rPr>
        <w:rFonts w:hint="default" w:ascii="Times New Roman" w:hAnsi="Times New Roman" w:cs="Times New Roman"/>
      </w:rPr>
    </w:lvl>
    <w:lvl w:ilvl="3" w:tentative="0">
      <w:start w:val="1"/>
      <w:numFmt w:val="bullet"/>
      <w:lvlText w:val="●"/>
      <w:lvlJc w:val="left"/>
      <w:pPr>
        <w:ind w:left="2880" w:hanging="360"/>
      </w:pPr>
      <w:rPr>
        <w:rFonts w:hint="default" w:ascii="Times New Roman" w:hAnsi="Times New Roman" w:cs="Times New Roman"/>
      </w:rPr>
    </w:lvl>
    <w:lvl w:ilvl="4" w:tentative="0">
      <w:start w:val="1"/>
      <w:numFmt w:val="bullet"/>
      <w:lvlText w:val="○"/>
      <w:lvlJc w:val="left"/>
      <w:pPr>
        <w:ind w:left="3600" w:hanging="360"/>
      </w:pPr>
      <w:rPr>
        <w:rFonts w:hint="default" w:ascii="Times New Roman" w:hAnsi="Times New Roman" w:cs="Times New Roman"/>
      </w:rPr>
    </w:lvl>
    <w:lvl w:ilvl="5" w:tentative="0">
      <w:start w:val="1"/>
      <w:numFmt w:val="bullet"/>
      <w:lvlText w:val="■"/>
      <w:lvlJc w:val="left"/>
      <w:pPr>
        <w:ind w:left="4320" w:hanging="360"/>
      </w:pPr>
      <w:rPr>
        <w:rFonts w:hint="default" w:ascii="Times New Roman" w:hAnsi="Times New Roman" w:cs="Times New Roman"/>
      </w:rPr>
    </w:lvl>
    <w:lvl w:ilvl="6" w:tentative="0">
      <w:start w:val="1"/>
      <w:numFmt w:val="bullet"/>
      <w:lvlText w:val="●"/>
      <w:lvlJc w:val="left"/>
      <w:pPr>
        <w:ind w:left="5040" w:hanging="360"/>
      </w:pPr>
      <w:rPr>
        <w:rFonts w:hint="default" w:ascii="Times New Roman" w:hAnsi="Times New Roman" w:cs="Times New Roman"/>
      </w:rPr>
    </w:lvl>
    <w:lvl w:ilvl="7" w:tentative="0">
      <w:start w:val="1"/>
      <w:numFmt w:val="bullet"/>
      <w:lvlText w:val="○"/>
      <w:lvlJc w:val="left"/>
      <w:pPr>
        <w:ind w:left="5760" w:hanging="360"/>
      </w:pPr>
      <w:rPr>
        <w:rFonts w:hint="default" w:ascii="Times New Roman" w:hAnsi="Times New Roman" w:cs="Times New Roman"/>
      </w:rPr>
    </w:lvl>
    <w:lvl w:ilvl="8" w:tentative="0">
      <w:start w:val="1"/>
      <w:numFmt w:val="bullet"/>
      <w:lvlText w:val="■"/>
      <w:lvlJc w:val="left"/>
      <w:pPr>
        <w:ind w:left="6480" w:hanging="360"/>
      </w:pPr>
      <w:rPr>
        <w:rFonts w:hint="default" w:ascii="Times New Roman" w:hAnsi="Times New Roman" w:cs="Times New Roman"/>
      </w:rPr>
    </w:lvl>
  </w:abstractNum>
  <w:abstractNum w:abstractNumId="1">
    <w:nsid w:val="2C044D9C"/>
    <w:multiLevelType w:val="multilevel"/>
    <w:tmpl w:val="2C044D9C"/>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
      <w:lvlJc w:val="left"/>
      <w:pPr>
        <w:ind w:left="1440" w:hanging="360"/>
      </w:pPr>
      <w:rPr>
        <w:rFonts w:hint="default" w:ascii="Times New Roman" w:hAnsi="Times New Roman" w:cs="Times New Roman"/>
      </w:rPr>
    </w:lvl>
    <w:lvl w:ilvl="2" w:tentative="0">
      <w:start w:val="1"/>
      <w:numFmt w:val="bullet"/>
      <w:lvlText w:val="■"/>
      <w:lvlJc w:val="left"/>
      <w:pPr>
        <w:ind w:left="2160" w:hanging="360"/>
      </w:pPr>
      <w:rPr>
        <w:rFonts w:hint="default" w:ascii="Times New Roman" w:hAnsi="Times New Roman" w:cs="Times New Roman"/>
      </w:rPr>
    </w:lvl>
    <w:lvl w:ilvl="3" w:tentative="0">
      <w:start w:val="1"/>
      <w:numFmt w:val="bullet"/>
      <w:lvlText w:val="●"/>
      <w:lvlJc w:val="left"/>
      <w:pPr>
        <w:ind w:left="2880" w:hanging="360"/>
      </w:pPr>
      <w:rPr>
        <w:rFonts w:hint="default" w:ascii="Times New Roman" w:hAnsi="Times New Roman" w:cs="Times New Roman"/>
      </w:rPr>
    </w:lvl>
    <w:lvl w:ilvl="4" w:tentative="0">
      <w:start w:val="1"/>
      <w:numFmt w:val="bullet"/>
      <w:lvlText w:val="○"/>
      <w:lvlJc w:val="left"/>
      <w:pPr>
        <w:ind w:left="3600" w:hanging="360"/>
      </w:pPr>
      <w:rPr>
        <w:rFonts w:hint="default" w:ascii="Times New Roman" w:hAnsi="Times New Roman" w:cs="Times New Roman"/>
      </w:rPr>
    </w:lvl>
    <w:lvl w:ilvl="5" w:tentative="0">
      <w:start w:val="1"/>
      <w:numFmt w:val="bullet"/>
      <w:lvlText w:val="■"/>
      <w:lvlJc w:val="left"/>
      <w:pPr>
        <w:ind w:left="4320" w:hanging="360"/>
      </w:pPr>
      <w:rPr>
        <w:rFonts w:hint="default" w:ascii="Times New Roman" w:hAnsi="Times New Roman" w:cs="Times New Roman"/>
      </w:rPr>
    </w:lvl>
    <w:lvl w:ilvl="6" w:tentative="0">
      <w:start w:val="1"/>
      <w:numFmt w:val="bullet"/>
      <w:lvlText w:val="●"/>
      <w:lvlJc w:val="left"/>
      <w:pPr>
        <w:ind w:left="5040" w:hanging="360"/>
      </w:pPr>
      <w:rPr>
        <w:rFonts w:hint="default" w:ascii="Times New Roman" w:hAnsi="Times New Roman" w:cs="Times New Roman"/>
      </w:rPr>
    </w:lvl>
    <w:lvl w:ilvl="7" w:tentative="0">
      <w:start w:val="1"/>
      <w:numFmt w:val="bullet"/>
      <w:lvlText w:val="○"/>
      <w:lvlJc w:val="left"/>
      <w:pPr>
        <w:ind w:left="5760" w:hanging="360"/>
      </w:pPr>
      <w:rPr>
        <w:rFonts w:hint="default" w:ascii="Times New Roman" w:hAnsi="Times New Roman" w:cs="Times New Roman"/>
      </w:rPr>
    </w:lvl>
    <w:lvl w:ilvl="8" w:tentative="0">
      <w:start w:val="1"/>
      <w:numFmt w:val="bullet"/>
      <w:lvlText w:val="■"/>
      <w:lvlJc w:val="left"/>
      <w:pPr>
        <w:ind w:left="6480" w:hanging="360"/>
      </w:pPr>
      <w:rPr>
        <w:rFonts w:hint="default" w:ascii="Times New Roman" w:hAnsi="Times New Roman" w:cs="Times New Roman"/>
      </w:rPr>
    </w:lvl>
  </w:abstractNum>
  <w:abstractNum w:abstractNumId="2">
    <w:nsid w:val="4F3F7064"/>
    <w:multiLevelType w:val="multilevel"/>
    <w:tmpl w:val="4F3F7064"/>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
      <w:lvlJc w:val="left"/>
      <w:pPr>
        <w:ind w:left="1440" w:hanging="360"/>
      </w:pPr>
      <w:rPr>
        <w:rFonts w:hint="default" w:ascii="Times New Roman" w:hAnsi="Times New Roman" w:cs="Times New Roman"/>
      </w:rPr>
    </w:lvl>
    <w:lvl w:ilvl="2" w:tentative="0">
      <w:start w:val="1"/>
      <w:numFmt w:val="bullet"/>
      <w:lvlText w:val="■"/>
      <w:lvlJc w:val="left"/>
      <w:pPr>
        <w:ind w:left="2160" w:hanging="360"/>
      </w:pPr>
      <w:rPr>
        <w:rFonts w:hint="default" w:ascii="Times New Roman" w:hAnsi="Times New Roman" w:cs="Times New Roman"/>
      </w:rPr>
    </w:lvl>
    <w:lvl w:ilvl="3" w:tentative="0">
      <w:start w:val="1"/>
      <w:numFmt w:val="bullet"/>
      <w:lvlText w:val="●"/>
      <w:lvlJc w:val="left"/>
      <w:pPr>
        <w:ind w:left="2880" w:hanging="360"/>
      </w:pPr>
      <w:rPr>
        <w:rFonts w:hint="default" w:ascii="Times New Roman" w:hAnsi="Times New Roman" w:cs="Times New Roman"/>
      </w:rPr>
    </w:lvl>
    <w:lvl w:ilvl="4" w:tentative="0">
      <w:start w:val="1"/>
      <w:numFmt w:val="bullet"/>
      <w:lvlText w:val="○"/>
      <w:lvlJc w:val="left"/>
      <w:pPr>
        <w:ind w:left="3600" w:hanging="360"/>
      </w:pPr>
      <w:rPr>
        <w:rFonts w:hint="default" w:ascii="Times New Roman" w:hAnsi="Times New Roman" w:cs="Times New Roman"/>
      </w:rPr>
    </w:lvl>
    <w:lvl w:ilvl="5" w:tentative="0">
      <w:start w:val="1"/>
      <w:numFmt w:val="bullet"/>
      <w:lvlText w:val="■"/>
      <w:lvlJc w:val="left"/>
      <w:pPr>
        <w:ind w:left="4320" w:hanging="360"/>
      </w:pPr>
      <w:rPr>
        <w:rFonts w:hint="default" w:ascii="Times New Roman" w:hAnsi="Times New Roman" w:cs="Times New Roman"/>
      </w:rPr>
    </w:lvl>
    <w:lvl w:ilvl="6" w:tentative="0">
      <w:start w:val="1"/>
      <w:numFmt w:val="bullet"/>
      <w:lvlText w:val="●"/>
      <w:lvlJc w:val="left"/>
      <w:pPr>
        <w:ind w:left="5040" w:hanging="360"/>
      </w:pPr>
      <w:rPr>
        <w:rFonts w:hint="default" w:ascii="Times New Roman" w:hAnsi="Times New Roman" w:cs="Times New Roman"/>
      </w:rPr>
    </w:lvl>
    <w:lvl w:ilvl="7" w:tentative="0">
      <w:start w:val="1"/>
      <w:numFmt w:val="bullet"/>
      <w:lvlText w:val="○"/>
      <w:lvlJc w:val="left"/>
      <w:pPr>
        <w:ind w:left="5760" w:hanging="360"/>
      </w:pPr>
      <w:rPr>
        <w:rFonts w:hint="default" w:ascii="Times New Roman" w:hAnsi="Times New Roman" w:cs="Times New Roman"/>
      </w:rPr>
    </w:lvl>
    <w:lvl w:ilvl="8" w:tentative="0">
      <w:start w:val="1"/>
      <w:numFmt w:val="bullet"/>
      <w:lvlText w:val="■"/>
      <w:lvlJc w:val="left"/>
      <w:pPr>
        <w:ind w:left="6480" w:hanging="360"/>
      </w:pPr>
      <w:rPr>
        <w:rFonts w:hint="default" w:ascii="Times New Roman" w:hAnsi="Times New Roman" w:cs="Times New Roman"/>
      </w:rPr>
    </w:lvl>
  </w:abstractNum>
  <w:abstractNum w:abstractNumId="3">
    <w:nsid w:val="505172A6"/>
    <w:multiLevelType w:val="multilevel"/>
    <w:tmpl w:val="505172A6"/>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
      <w:lvlJc w:val="left"/>
      <w:pPr>
        <w:ind w:left="1440" w:hanging="360"/>
      </w:pPr>
      <w:rPr>
        <w:rFonts w:hint="default" w:ascii="Times New Roman" w:hAnsi="Times New Roman" w:cs="Times New Roman"/>
      </w:rPr>
    </w:lvl>
    <w:lvl w:ilvl="2" w:tentative="0">
      <w:start w:val="1"/>
      <w:numFmt w:val="bullet"/>
      <w:lvlText w:val="■"/>
      <w:lvlJc w:val="left"/>
      <w:pPr>
        <w:ind w:left="2160" w:hanging="360"/>
      </w:pPr>
      <w:rPr>
        <w:rFonts w:hint="default" w:ascii="Times New Roman" w:hAnsi="Times New Roman" w:cs="Times New Roman"/>
      </w:rPr>
    </w:lvl>
    <w:lvl w:ilvl="3" w:tentative="0">
      <w:start w:val="1"/>
      <w:numFmt w:val="bullet"/>
      <w:lvlText w:val="●"/>
      <w:lvlJc w:val="left"/>
      <w:pPr>
        <w:ind w:left="2880" w:hanging="360"/>
      </w:pPr>
      <w:rPr>
        <w:rFonts w:hint="default" w:ascii="Times New Roman" w:hAnsi="Times New Roman" w:cs="Times New Roman"/>
      </w:rPr>
    </w:lvl>
    <w:lvl w:ilvl="4" w:tentative="0">
      <w:start w:val="1"/>
      <w:numFmt w:val="bullet"/>
      <w:lvlText w:val="○"/>
      <w:lvlJc w:val="left"/>
      <w:pPr>
        <w:ind w:left="3600" w:hanging="360"/>
      </w:pPr>
      <w:rPr>
        <w:rFonts w:hint="default" w:ascii="Times New Roman" w:hAnsi="Times New Roman" w:cs="Times New Roman"/>
      </w:rPr>
    </w:lvl>
    <w:lvl w:ilvl="5" w:tentative="0">
      <w:start w:val="1"/>
      <w:numFmt w:val="bullet"/>
      <w:lvlText w:val="■"/>
      <w:lvlJc w:val="left"/>
      <w:pPr>
        <w:ind w:left="4320" w:hanging="360"/>
      </w:pPr>
      <w:rPr>
        <w:rFonts w:hint="default" w:ascii="Times New Roman" w:hAnsi="Times New Roman" w:cs="Times New Roman"/>
      </w:rPr>
    </w:lvl>
    <w:lvl w:ilvl="6" w:tentative="0">
      <w:start w:val="1"/>
      <w:numFmt w:val="bullet"/>
      <w:lvlText w:val="●"/>
      <w:lvlJc w:val="left"/>
      <w:pPr>
        <w:ind w:left="5040" w:hanging="360"/>
      </w:pPr>
      <w:rPr>
        <w:rFonts w:hint="default" w:ascii="Times New Roman" w:hAnsi="Times New Roman" w:cs="Times New Roman"/>
      </w:rPr>
    </w:lvl>
    <w:lvl w:ilvl="7" w:tentative="0">
      <w:start w:val="1"/>
      <w:numFmt w:val="bullet"/>
      <w:lvlText w:val="○"/>
      <w:lvlJc w:val="left"/>
      <w:pPr>
        <w:ind w:left="5760" w:hanging="360"/>
      </w:pPr>
      <w:rPr>
        <w:rFonts w:hint="default" w:ascii="Times New Roman" w:hAnsi="Times New Roman" w:cs="Times New Roman"/>
      </w:rPr>
    </w:lvl>
    <w:lvl w:ilvl="8" w:tentative="0">
      <w:start w:val="1"/>
      <w:numFmt w:val="bullet"/>
      <w:lvlText w:val="■"/>
      <w:lvlJc w:val="left"/>
      <w:pPr>
        <w:ind w:left="6480" w:hanging="360"/>
      </w:pPr>
      <w:rPr>
        <w:rFonts w:hint="default" w:ascii="Times New Roman" w:hAnsi="Times New Roman" w:cs="Times New Roman"/>
      </w:rPr>
    </w:lvl>
  </w:abstractNum>
  <w:abstractNum w:abstractNumId="4">
    <w:nsid w:val="7001354F"/>
    <w:multiLevelType w:val="multilevel"/>
    <w:tmpl w:val="7001354F"/>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
      <w:lvlJc w:val="left"/>
      <w:pPr>
        <w:ind w:left="1440" w:hanging="360"/>
      </w:pPr>
      <w:rPr>
        <w:rFonts w:hint="default" w:ascii="Times New Roman" w:hAnsi="Times New Roman" w:cs="Times New Roman"/>
      </w:rPr>
    </w:lvl>
    <w:lvl w:ilvl="2" w:tentative="0">
      <w:start w:val="1"/>
      <w:numFmt w:val="bullet"/>
      <w:lvlText w:val="■"/>
      <w:lvlJc w:val="left"/>
      <w:pPr>
        <w:ind w:left="2160" w:hanging="360"/>
      </w:pPr>
      <w:rPr>
        <w:rFonts w:hint="default" w:ascii="Times New Roman" w:hAnsi="Times New Roman" w:cs="Times New Roman"/>
      </w:rPr>
    </w:lvl>
    <w:lvl w:ilvl="3" w:tentative="0">
      <w:start w:val="1"/>
      <w:numFmt w:val="bullet"/>
      <w:lvlText w:val="●"/>
      <w:lvlJc w:val="left"/>
      <w:pPr>
        <w:ind w:left="2880" w:hanging="360"/>
      </w:pPr>
      <w:rPr>
        <w:rFonts w:hint="default" w:ascii="Times New Roman" w:hAnsi="Times New Roman" w:cs="Times New Roman"/>
      </w:rPr>
    </w:lvl>
    <w:lvl w:ilvl="4" w:tentative="0">
      <w:start w:val="1"/>
      <w:numFmt w:val="bullet"/>
      <w:lvlText w:val="○"/>
      <w:lvlJc w:val="left"/>
      <w:pPr>
        <w:ind w:left="3600" w:hanging="360"/>
      </w:pPr>
      <w:rPr>
        <w:rFonts w:hint="default" w:ascii="Times New Roman" w:hAnsi="Times New Roman" w:cs="Times New Roman"/>
      </w:rPr>
    </w:lvl>
    <w:lvl w:ilvl="5" w:tentative="0">
      <w:start w:val="1"/>
      <w:numFmt w:val="bullet"/>
      <w:lvlText w:val="■"/>
      <w:lvlJc w:val="left"/>
      <w:pPr>
        <w:ind w:left="4320" w:hanging="360"/>
      </w:pPr>
      <w:rPr>
        <w:rFonts w:hint="default" w:ascii="Times New Roman" w:hAnsi="Times New Roman" w:cs="Times New Roman"/>
      </w:rPr>
    </w:lvl>
    <w:lvl w:ilvl="6" w:tentative="0">
      <w:start w:val="1"/>
      <w:numFmt w:val="bullet"/>
      <w:lvlText w:val="●"/>
      <w:lvlJc w:val="left"/>
      <w:pPr>
        <w:ind w:left="5040" w:hanging="360"/>
      </w:pPr>
      <w:rPr>
        <w:rFonts w:hint="default" w:ascii="Times New Roman" w:hAnsi="Times New Roman" w:cs="Times New Roman"/>
      </w:rPr>
    </w:lvl>
    <w:lvl w:ilvl="7" w:tentative="0">
      <w:start w:val="1"/>
      <w:numFmt w:val="bullet"/>
      <w:lvlText w:val="○"/>
      <w:lvlJc w:val="left"/>
      <w:pPr>
        <w:ind w:left="5760" w:hanging="360"/>
      </w:pPr>
      <w:rPr>
        <w:rFonts w:hint="default" w:ascii="Times New Roman" w:hAnsi="Times New Roman" w:cs="Times New Roman"/>
      </w:rPr>
    </w:lvl>
    <w:lvl w:ilvl="8" w:tentative="0">
      <w:start w:val="1"/>
      <w:numFmt w:val="bullet"/>
      <w:lvlText w:val="■"/>
      <w:lvlJc w:val="left"/>
      <w:pPr>
        <w:ind w:left="6480" w:hanging="360"/>
      </w:pPr>
      <w:rPr>
        <w:rFonts w:hint="default" w:ascii="Times New Roman" w:hAnsi="Times New Roman" w:cs="Times New Roman"/>
      </w:rPr>
    </w:lvl>
  </w:abstractNum>
  <w:abstractNum w:abstractNumId="5">
    <w:nsid w:val="709D0897"/>
    <w:multiLevelType w:val="multilevel"/>
    <w:tmpl w:val="709D0897"/>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
      <w:lvlJc w:val="left"/>
      <w:pPr>
        <w:ind w:left="1440" w:hanging="360"/>
      </w:pPr>
      <w:rPr>
        <w:rFonts w:hint="default" w:ascii="Times New Roman" w:hAnsi="Times New Roman" w:cs="Times New Roman"/>
      </w:rPr>
    </w:lvl>
    <w:lvl w:ilvl="2" w:tentative="0">
      <w:start w:val="1"/>
      <w:numFmt w:val="bullet"/>
      <w:lvlText w:val="■"/>
      <w:lvlJc w:val="left"/>
      <w:pPr>
        <w:ind w:left="2160" w:hanging="360"/>
      </w:pPr>
      <w:rPr>
        <w:rFonts w:hint="default" w:ascii="Times New Roman" w:hAnsi="Times New Roman" w:cs="Times New Roman"/>
      </w:rPr>
    </w:lvl>
    <w:lvl w:ilvl="3" w:tentative="0">
      <w:start w:val="1"/>
      <w:numFmt w:val="bullet"/>
      <w:lvlText w:val="●"/>
      <w:lvlJc w:val="left"/>
      <w:pPr>
        <w:ind w:left="2880" w:hanging="360"/>
      </w:pPr>
      <w:rPr>
        <w:rFonts w:hint="default" w:ascii="Times New Roman" w:hAnsi="Times New Roman" w:cs="Times New Roman"/>
      </w:rPr>
    </w:lvl>
    <w:lvl w:ilvl="4" w:tentative="0">
      <w:start w:val="1"/>
      <w:numFmt w:val="bullet"/>
      <w:lvlText w:val="○"/>
      <w:lvlJc w:val="left"/>
      <w:pPr>
        <w:ind w:left="3600" w:hanging="360"/>
      </w:pPr>
      <w:rPr>
        <w:rFonts w:hint="default" w:ascii="Times New Roman" w:hAnsi="Times New Roman" w:cs="Times New Roman"/>
      </w:rPr>
    </w:lvl>
    <w:lvl w:ilvl="5" w:tentative="0">
      <w:start w:val="1"/>
      <w:numFmt w:val="bullet"/>
      <w:lvlText w:val="■"/>
      <w:lvlJc w:val="left"/>
      <w:pPr>
        <w:ind w:left="4320" w:hanging="360"/>
      </w:pPr>
      <w:rPr>
        <w:rFonts w:hint="default" w:ascii="Times New Roman" w:hAnsi="Times New Roman" w:cs="Times New Roman"/>
      </w:rPr>
    </w:lvl>
    <w:lvl w:ilvl="6" w:tentative="0">
      <w:start w:val="1"/>
      <w:numFmt w:val="bullet"/>
      <w:lvlText w:val="●"/>
      <w:lvlJc w:val="left"/>
      <w:pPr>
        <w:ind w:left="5040" w:hanging="360"/>
      </w:pPr>
      <w:rPr>
        <w:rFonts w:hint="default" w:ascii="Times New Roman" w:hAnsi="Times New Roman" w:cs="Times New Roman"/>
      </w:rPr>
    </w:lvl>
    <w:lvl w:ilvl="7" w:tentative="0">
      <w:start w:val="1"/>
      <w:numFmt w:val="bullet"/>
      <w:lvlText w:val="○"/>
      <w:lvlJc w:val="left"/>
      <w:pPr>
        <w:ind w:left="5760" w:hanging="360"/>
      </w:pPr>
      <w:rPr>
        <w:rFonts w:hint="default" w:ascii="Times New Roman" w:hAnsi="Times New Roman" w:cs="Times New Roman"/>
      </w:rPr>
    </w:lvl>
    <w:lvl w:ilvl="8" w:tentative="0">
      <w:start w:val="1"/>
      <w:numFmt w:val="bullet"/>
      <w:lvlText w:val="■"/>
      <w:lvlJc w:val="left"/>
      <w:pPr>
        <w:ind w:left="6480" w:hanging="360"/>
      </w:pPr>
      <w:rPr>
        <w:rFonts w:hint="default" w:ascii="Times New Roman" w:hAnsi="Times New Roman" w:cs="Times New Roman"/>
      </w:rPr>
    </w:lvl>
  </w:abstractNum>
  <w:abstractNum w:abstractNumId="6">
    <w:nsid w:val="71E76AD4"/>
    <w:multiLevelType w:val="multilevel"/>
    <w:tmpl w:val="71E76AD4"/>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
      <w:lvlJc w:val="left"/>
      <w:pPr>
        <w:ind w:left="1440" w:hanging="360"/>
      </w:pPr>
      <w:rPr>
        <w:rFonts w:hint="default" w:ascii="Times New Roman" w:hAnsi="Times New Roman" w:cs="Times New Roman"/>
      </w:rPr>
    </w:lvl>
    <w:lvl w:ilvl="2" w:tentative="0">
      <w:start w:val="1"/>
      <w:numFmt w:val="bullet"/>
      <w:lvlText w:val="■"/>
      <w:lvlJc w:val="left"/>
      <w:pPr>
        <w:ind w:left="2160" w:hanging="360"/>
      </w:pPr>
      <w:rPr>
        <w:rFonts w:hint="default" w:ascii="Times New Roman" w:hAnsi="Times New Roman" w:cs="Times New Roman"/>
      </w:rPr>
    </w:lvl>
    <w:lvl w:ilvl="3" w:tentative="0">
      <w:start w:val="1"/>
      <w:numFmt w:val="bullet"/>
      <w:lvlText w:val="●"/>
      <w:lvlJc w:val="left"/>
      <w:pPr>
        <w:ind w:left="2880" w:hanging="360"/>
      </w:pPr>
      <w:rPr>
        <w:rFonts w:hint="default" w:ascii="Times New Roman" w:hAnsi="Times New Roman" w:cs="Times New Roman"/>
      </w:rPr>
    </w:lvl>
    <w:lvl w:ilvl="4" w:tentative="0">
      <w:start w:val="1"/>
      <w:numFmt w:val="bullet"/>
      <w:lvlText w:val="○"/>
      <w:lvlJc w:val="left"/>
      <w:pPr>
        <w:ind w:left="3600" w:hanging="360"/>
      </w:pPr>
      <w:rPr>
        <w:rFonts w:hint="default" w:ascii="Times New Roman" w:hAnsi="Times New Roman" w:cs="Times New Roman"/>
      </w:rPr>
    </w:lvl>
    <w:lvl w:ilvl="5" w:tentative="0">
      <w:start w:val="1"/>
      <w:numFmt w:val="bullet"/>
      <w:lvlText w:val="■"/>
      <w:lvlJc w:val="left"/>
      <w:pPr>
        <w:ind w:left="4320" w:hanging="360"/>
      </w:pPr>
      <w:rPr>
        <w:rFonts w:hint="default" w:ascii="Times New Roman" w:hAnsi="Times New Roman" w:cs="Times New Roman"/>
      </w:rPr>
    </w:lvl>
    <w:lvl w:ilvl="6" w:tentative="0">
      <w:start w:val="1"/>
      <w:numFmt w:val="bullet"/>
      <w:lvlText w:val="●"/>
      <w:lvlJc w:val="left"/>
      <w:pPr>
        <w:ind w:left="5040" w:hanging="360"/>
      </w:pPr>
      <w:rPr>
        <w:rFonts w:hint="default" w:ascii="Times New Roman" w:hAnsi="Times New Roman" w:cs="Times New Roman"/>
      </w:rPr>
    </w:lvl>
    <w:lvl w:ilvl="7" w:tentative="0">
      <w:start w:val="1"/>
      <w:numFmt w:val="bullet"/>
      <w:lvlText w:val="○"/>
      <w:lvlJc w:val="left"/>
      <w:pPr>
        <w:ind w:left="5760" w:hanging="360"/>
      </w:pPr>
      <w:rPr>
        <w:rFonts w:hint="default" w:ascii="Times New Roman" w:hAnsi="Times New Roman" w:cs="Times New Roman"/>
      </w:rPr>
    </w:lvl>
    <w:lvl w:ilvl="8" w:tentative="0">
      <w:start w:val="1"/>
      <w:numFmt w:val="bullet"/>
      <w:lvlText w:val="■"/>
      <w:lvlJc w:val="left"/>
      <w:pPr>
        <w:ind w:left="6480" w:hanging="360"/>
      </w:pPr>
      <w:rPr>
        <w:rFonts w:hint="default" w:ascii="Times New Roman" w:hAnsi="Times New Roman" w:cs="Times New Roman"/>
      </w:rPr>
    </w:lvl>
  </w:abstractNum>
  <w:num w:numId="1">
    <w:abstractNumId w:val="0"/>
  </w:num>
  <w:num w:numId="2">
    <w:abstractNumId w:val="2"/>
  </w:num>
  <w:num w:numId="3">
    <w:abstractNumId w:val="3"/>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971"/>
    <w:rsid w:val="00257BA9"/>
    <w:rsid w:val="006D6511"/>
    <w:rsid w:val="00BF0FA5"/>
    <w:rsid w:val="00FB4971"/>
    <w:rsid w:val="5ACB7D2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73" w:lineRule="auto"/>
    </w:pPr>
    <w:rPr>
      <w:rFonts w:ascii="Arial" w:hAnsi="Arial" w:eastAsia="Times New Roman" w:cs="Arial"/>
      <w:kern w:val="0"/>
      <w:sz w:val="22"/>
      <w:szCs w:val="22"/>
      <w:lang w:val="en-IN" w:eastAsia="en-IN" w:bidi="ar-SA"/>
      <w14:ligatures w14:val="none"/>
    </w:rPr>
  </w:style>
  <w:style w:type="paragraph" w:styleId="2">
    <w:name w:val="heading 1"/>
    <w:basedOn w:val="3"/>
    <w:next w:val="3"/>
    <w:link w:val="10"/>
    <w:qFormat/>
    <w:uiPriority w:val="99"/>
    <w:pPr>
      <w:spacing w:before="240" w:after="240" w:line="360" w:lineRule="auto"/>
      <w:jc w:val="both"/>
      <w:outlineLvl w:val="0"/>
    </w:pPr>
    <w:rPr>
      <w:rFonts w:ascii="Times New Roman" w:hAnsi="Times New Roman" w:cs="Times New Roman"/>
      <w:b/>
      <w:sz w:val="32"/>
      <w:szCs w:val="32"/>
    </w:rPr>
  </w:style>
  <w:style w:type="paragraph" w:styleId="4">
    <w:name w:val="heading 2"/>
    <w:basedOn w:val="3"/>
    <w:next w:val="3"/>
    <w:link w:val="11"/>
    <w:qFormat/>
    <w:uiPriority w:val="99"/>
    <w:pPr>
      <w:spacing w:before="240" w:after="240" w:line="360" w:lineRule="auto"/>
      <w:jc w:val="both"/>
      <w:outlineLvl w:val="1"/>
    </w:pPr>
    <w:rPr>
      <w:rFonts w:ascii="Times New Roman" w:hAnsi="Times New Roman" w:cs="Times New Roman"/>
      <w:b/>
      <w:sz w:val="28"/>
      <w:szCs w:val="28"/>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customStyle="1" w:styleId="3">
    <w:name w:val="Normal1"/>
    <w:basedOn w:val="1"/>
    <w:qFormat/>
    <w:uiPriority w:val="0"/>
  </w:style>
  <w:style w:type="character" w:styleId="7">
    <w:name w:val="Hyperlink"/>
    <w:basedOn w:val="5"/>
    <w:unhideWhenUsed/>
    <w:uiPriority w:val="99"/>
    <w:rPr>
      <w:color w:val="0000FF"/>
      <w:u w:val="single"/>
    </w:rPr>
  </w:style>
  <w:style w:type="paragraph" w:styleId="8">
    <w:name w:val="toc 1"/>
    <w:basedOn w:val="1"/>
    <w:next w:val="1"/>
    <w:semiHidden/>
    <w:unhideWhenUsed/>
    <w:uiPriority w:val="99"/>
    <w:pPr>
      <w:spacing w:before="100" w:beforeAutospacing="1" w:after="100"/>
    </w:pPr>
  </w:style>
  <w:style w:type="paragraph" w:styleId="9">
    <w:name w:val="toc 2"/>
    <w:basedOn w:val="1"/>
    <w:next w:val="1"/>
    <w:semiHidden/>
    <w:unhideWhenUsed/>
    <w:uiPriority w:val="99"/>
    <w:pPr>
      <w:spacing w:before="100" w:beforeAutospacing="1" w:after="100"/>
      <w:ind w:left="220"/>
    </w:pPr>
  </w:style>
  <w:style w:type="character" w:customStyle="1" w:styleId="10">
    <w:name w:val="Heading 1 Char"/>
    <w:basedOn w:val="5"/>
    <w:link w:val="2"/>
    <w:uiPriority w:val="99"/>
    <w:rPr>
      <w:rFonts w:ascii="Times New Roman" w:hAnsi="Times New Roman" w:eastAsia="Times New Roman" w:cs="Times New Roman"/>
      <w:b/>
      <w:kern w:val="0"/>
      <w:sz w:val="32"/>
      <w:szCs w:val="32"/>
      <w:lang w:eastAsia="en-IN"/>
      <w14:ligatures w14:val="none"/>
    </w:rPr>
  </w:style>
  <w:style w:type="character" w:customStyle="1" w:styleId="11">
    <w:name w:val="Heading 2 Char"/>
    <w:basedOn w:val="5"/>
    <w:link w:val="4"/>
    <w:uiPriority w:val="99"/>
    <w:rPr>
      <w:rFonts w:ascii="Times New Roman" w:hAnsi="Times New Roman" w:eastAsia="Times New Roman" w:cs="Times New Roman"/>
      <w:b/>
      <w:kern w:val="0"/>
      <w:sz w:val="28"/>
      <w:szCs w:val="28"/>
      <w:lang w:eastAsia="en-IN"/>
      <w14:ligatures w14:val="none"/>
    </w:rPr>
  </w:style>
  <w:style w:type="paragraph" w:customStyle="1" w:styleId="12">
    <w:name w:val="TOC Heading"/>
    <w:basedOn w:val="2"/>
    <w:next w:val="1"/>
    <w:qFormat/>
    <w:uiPriority w:val="39"/>
    <w:pPr>
      <w:keepNext/>
      <w:keepLines/>
      <w:widowControl w:val="0"/>
      <w:spacing w:after="0" w:line="256" w:lineRule="auto"/>
      <w:jc w:val="left"/>
      <w:outlineLvl w:val="9"/>
    </w:pPr>
    <w:rPr>
      <w:rFonts w:ascii="Calibri" w:hAnsi="Calibri" w:eastAsia="SimSun"/>
      <w:b w:val="0"/>
      <w:color w:val="366091"/>
    </w:rPr>
  </w:style>
  <w:style w:type="character" w:customStyle="1" w:styleId="13">
    <w:name w:val="15"/>
    <w:basedOn w:val="5"/>
    <w:uiPriority w:val="0"/>
    <w:rPr>
      <w:rFonts w:hint="default" w:ascii="Arial" w:hAnsi="Arial" w:cs="Arial"/>
      <w:color w:val="0000FF"/>
      <w:u w:val="single"/>
    </w:rPr>
  </w:style>
  <w:style w:type="table" w:customStyle="1" w:styleId="14">
    <w:name w:val="Table1"/>
    <w:basedOn w:val="6"/>
    <w:qFormat/>
    <w:uiPriority w:val="0"/>
    <w:pPr>
      <w:spacing w:after="0" w:line="240" w:lineRule="auto"/>
    </w:pPr>
    <w:rPr>
      <w:rFonts w:ascii="Times New Roman" w:hAnsi="Times New Roman" w:eastAsia="Times New Roman" w:cs="Times New Roman"/>
      <w:kern w:val="0"/>
      <w:sz w:val="20"/>
      <w:szCs w:val="20"/>
      <w:lang w:eastAsia="en-IN"/>
      <w14:ligatures w14:val="none"/>
    </w:rPr>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22</Pages>
  <Words>6281</Words>
  <Characters>35808</Characters>
  <Lines>298</Lines>
  <Paragraphs>84</Paragraphs>
  <TotalTime>23</TotalTime>
  <ScaleCrop>false</ScaleCrop>
  <LinksUpToDate>false</LinksUpToDate>
  <CharactersWithSpaces>42005</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2023-05-02T22:42:00Z</dcterms:created>
  <dc:creator>KRISHIKA PATEL</dc:creator>
  <cp:lastModifiedBy>sandip patel</cp:lastModifiedBy>
  <dcterms:modified xsi:type="dcterms:W3CDTF">2023-05-02T23:11:12Z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870C4DF4FE9B49518EACA95BA21670DB</vt:lpwstr>
  </property>
</Properties>
</file>