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62"/>
        <w:spacing w:lineRule="auto" w:line="360"/>
        <w:rPr>
          <w:lang w:val="en-GB"/>
        </w:rPr>
      </w:pPr>
      <w:bookmarkStart w:id="0" w:name="_nacuhhpbmpqw" w:colFirst="0" w:colLast="0"/>
      <w:bookmarkEnd w:id="0"/>
      <w:r>
        <w:rPr/>
        <w:drawing>
          <wp:inline distL="114300" distT="0" distB="0" distR="114300">
            <wp:extent cx="2971800" cy="1651888"/>
            <wp:effectExtent l="0" t="0" r="0" b="0"/>
            <wp:docPr id="1026"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
                    <pic:cNvPicPr/>
                  </pic:nvPicPr>
                  <pic:blipFill>
                    <a:blip r:embed="rId2" cstate="print"/>
                    <a:srcRect l="0" t="0" r="0" b="0"/>
                    <a:stretch/>
                  </pic:blipFill>
                  <pic:spPr>
                    <a:xfrm rot="0">
                      <a:off x="0" y="0"/>
                      <a:ext cx="2971800" cy="1651888"/>
                    </a:xfrm>
                    <a:prstGeom prst="rect"/>
                  </pic:spPr>
                </pic:pic>
              </a:graphicData>
            </a:graphic>
          </wp:inline>
        </w:drawing>
      </w:r>
    </w:p>
    <w:bookmarkStart w:id="1" w:name="_shmqz9v96a6y" w:colFirst="0" w:colLast="0"/>
    <w:bookmarkEnd w:id="1"/>
    <w:p>
      <w:pPr>
        <w:pStyle w:val="style62"/>
        <w:spacing w:lineRule="auto" w:line="360"/>
        <w:rPr>
          <w:lang w:val="en-GB"/>
        </w:rPr>
      </w:pPr>
    </w:p>
    <w:bookmarkStart w:id="2" w:name="_dtz8sewpt9ze" w:colFirst="0" w:colLast="0"/>
    <w:bookmarkEnd w:id="2"/>
    <w:p>
      <w:pPr>
        <w:pStyle w:val="style62"/>
        <w:spacing w:lineRule="auto" w:line="360"/>
        <w:rPr>
          <w:lang w:val="en-GB"/>
        </w:rPr>
      </w:pPr>
    </w:p>
    <w:bookmarkStart w:id="3" w:name="_ps5wscuig4y8" w:colFirst="0" w:colLast="0"/>
    <w:bookmarkEnd w:id="3"/>
    <w:p>
      <w:pPr>
        <w:pStyle w:val="style62"/>
        <w:spacing w:lineRule="auto" w:line="360"/>
        <w:rPr>
          <w:lang w:val="en-GB"/>
        </w:rPr>
      </w:pPr>
    </w:p>
    <w:bookmarkStart w:id="4" w:name="_ercnjii9cca0" w:colFirst="0" w:colLast="0"/>
    <w:bookmarkStart w:id="5" w:name="_ogc6ilujqfar" w:colFirst="0" w:colLast="0"/>
    <w:bookmarkStart w:id="6" w:name="_vnrrxxhysn36" w:colFirst="0" w:colLast="0"/>
    <w:bookmarkStart w:id="7" w:name="_s4t3pwpcvhuy" w:colFirst="0" w:colLast="0"/>
    <w:bookmarkEnd w:id="4"/>
    <w:bookmarkEnd w:id="5"/>
    <w:bookmarkEnd w:id="6"/>
    <w:bookmarkEnd w:id="7"/>
    <w:p>
      <w:pPr>
        <w:pStyle w:val="style62"/>
        <w:spacing w:lineRule="auto" w:line="360"/>
        <w:rPr>
          <w:lang w:val="en-GB"/>
        </w:rPr>
      </w:pPr>
      <w:r>
        <w:rPr>
          <w:lang w:val="en-GB"/>
        </w:rPr>
        <w:t>STUDENT NAME: SHAHRIN AFROZ</w:t>
      </w:r>
    </w:p>
    <w:bookmarkStart w:id="8" w:name="_GoBack"/>
    <w:bookmarkEnd w:id="8"/>
    <w:p>
      <w:pPr>
        <w:pStyle w:val="style0"/>
        <w:jc w:val="center"/>
        <w:rPr>
          <w:lang w:val="en-GB"/>
        </w:rPr>
      </w:pPr>
    </w:p>
    <w:bookmarkStart w:id="9" w:name="_c5s325jhlfvz" w:colFirst="0" w:colLast="0"/>
    <w:bookmarkEnd w:id="9"/>
    <w:p>
      <w:pPr>
        <w:pStyle w:val="style62"/>
        <w:spacing w:lineRule="auto" w:line="360"/>
        <w:rPr>
          <w:lang w:val="en-GB"/>
        </w:rPr>
      </w:pPr>
      <w:r>
        <w:rPr>
          <w:lang w:val="en-GB"/>
        </w:rPr>
        <w:t>STUDENT ID: 2504528</w:t>
      </w:r>
    </w:p>
    <w:p>
      <w:pPr>
        <w:pStyle w:val="style0"/>
        <w:jc w:val="center"/>
        <w:rPr>
          <w:lang w:val="en-GB"/>
        </w:rPr>
      </w:pPr>
    </w:p>
    <w:bookmarkStart w:id="10" w:name="_n3cey0kubdlo" w:colFirst="0" w:colLast="0"/>
    <w:bookmarkEnd w:id="10"/>
    <w:p>
      <w:pPr>
        <w:pStyle w:val="style62"/>
        <w:spacing w:lineRule="auto" w:line="360"/>
        <w:rPr>
          <w:lang w:val="en-GB"/>
        </w:rPr>
      </w:pPr>
      <w:r>
        <w:rPr>
          <w:lang w:val="en-GB"/>
        </w:rPr>
        <w:t>PROGRAMME: MASTER OF BUSINESS ADMINISTRATION</w:t>
      </w:r>
    </w:p>
    <w:p>
      <w:pPr>
        <w:pStyle w:val="style0"/>
        <w:rPr>
          <w:lang w:val="en-GB"/>
        </w:rPr>
      </w:pPr>
    </w:p>
    <w:bookmarkStart w:id="11" w:name="_k5hxws23wsmc" w:colFirst="0" w:colLast="0"/>
    <w:bookmarkEnd w:id="11"/>
    <w:p>
      <w:pPr>
        <w:pStyle w:val="style62"/>
        <w:spacing w:lineRule="auto" w:line="360"/>
        <w:rPr>
          <w:lang w:val="en-GB"/>
        </w:rPr>
      </w:pPr>
      <w:r>
        <w:rPr>
          <w:lang w:val="en-GB"/>
        </w:rPr>
        <w:t>MODULE: HUMAN CAPITAL MANAGEMENT</w:t>
      </w:r>
    </w:p>
    <w:p>
      <w:pPr>
        <w:pStyle w:val="style62"/>
        <w:rPr>
          <w:lang w:val="en-GB"/>
        </w:rPr>
      </w:pPr>
    </w:p>
    <w:p>
      <w:pPr>
        <w:pStyle w:val="style62"/>
        <w:rPr>
          <w:lang w:val="en-GB"/>
        </w:rPr>
      </w:pPr>
      <w:r>
        <w:rPr>
          <w:lang w:val="en-GB"/>
        </w:rPr>
        <w:t>MODULE CODE: LCMB7023</w:t>
      </w:r>
    </w:p>
    <w:p>
      <w:pPr>
        <w:pStyle w:val="style62"/>
        <w:rPr>
          <w:lang w:val="en-GB"/>
        </w:rPr>
      </w:pPr>
    </w:p>
    <w:p>
      <w:pPr>
        <w:pStyle w:val="style62"/>
        <w:rPr>
          <w:lang w:val="en-GB"/>
        </w:rPr>
      </w:pPr>
      <w:r>
        <w:rPr>
          <w:lang w:val="en-GB"/>
        </w:rPr>
        <w:t>UNIVERSITY OF WALES TRINITY SAINT DAVID, LONDON CAMPUS</w:t>
      </w:r>
    </w:p>
    <w:p>
      <w:pPr>
        <w:pStyle w:val="style0"/>
        <w:jc w:val="center"/>
        <w:rPr>
          <w:lang w:val="en-GB"/>
        </w:rPr>
      </w:pPr>
    </w:p>
    <w:p>
      <w:pPr>
        <w:pStyle w:val="style0"/>
        <w:rPr>
          <w:lang w:val="en-GB"/>
        </w:rPr>
      </w:pPr>
    </w:p>
    <w:p>
      <w:pPr>
        <w:pStyle w:val="style0"/>
        <w:rPr>
          <w:lang w:val="en-GB"/>
        </w:rPr>
      </w:pPr>
    </w:p>
    <w:p>
      <w:pPr>
        <w:pStyle w:val="style0"/>
        <w:spacing w:lineRule="auto" w:line="360"/>
        <w:rPr>
          <w:lang w:val="en-GB"/>
        </w:rPr>
      </w:pPr>
      <w:r>
        <w:rPr>
          <w:lang w:val="en-GB"/>
        </w:rPr>
        <w:br w:type="page"/>
      </w:r>
    </w:p>
    <w:bookmarkStart w:id="12" w:name="_3fo6vfhwpquk" w:colFirst="0" w:colLast="0"/>
    <w:bookmarkEnd w:id="12"/>
    <w:p>
      <w:pPr>
        <w:pStyle w:val="style266"/>
        <w:spacing w:before="0" w:lineRule="auto" w:line="360"/>
        <w:jc w:val="center"/>
        <w:rPr>
          <w:rFonts w:ascii="Times New Roman" w:cs="Times New Roman" w:hAnsi="Times New Roman"/>
          <w:b/>
          <w:bCs/>
          <w:color w:val="auto"/>
          <w:sz w:val="28"/>
          <w:szCs w:val="28"/>
          <w:lang w:val="en-GB"/>
        </w:rPr>
      </w:pPr>
      <w:r>
        <w:rPr>
          <w:rFonts w:ascii="Times New Roman" w:cs="Times New Roman" w:hAnsi="Times New Roman"/>
          <w:b/>
          <w:bCs/>
          <w:color w:val="auto"/>
          <w:sz w:val="28"/>
          <w:szCs w:val="28"/>
          <w:lang w:val="en-GB"/>
        </w:rPr>
        <w:t>Table of Contents</w:t>
      </w:r>
    </w:p>
    <w:p>
      <w:pPr>
        <w:pStyle w:val="style19"/>
        <w:tabs>
          <w:tab w:val="right" w:leader="dot" w:pos="9350"/>
        </w:tabs>
        <w:spacing w:lineRule="auto" w:line="360"/>
        <w:rPr>
          <w:rFonts w:ascii="Cambria" w:cs="Vrinda" w:eastAsia="宋体" w:hAnsi="Cambria"/>
          <w:noProof/>
          <w:kern w:val="2"/>
          <w:lang w:val="en-IN"/>
          <w14:ligatures xmlns:w14="http://schemas.microsoft.com/office/word/2010/wordml" w14:val="standardContextual"/>
        </w:rPr>
      </w:pPr>
      <w:r>
        <w:rPr>
          <w:lang w:val="en-GB"/>
        </w:rPr>
        <w:fldChar w:fldCharType="begin"/>
      </w:r>
      <w:r>
        <w:rPr>
          <w:lang w:val="en-GB"/>
        </w:rPr>
        <w:instrText xml:space="preserve"> TOC \o "1-3" \h \z \u </w:instrText>
      </w:r>
      <w:r>
        <w:rPr>
          <w:lang w:val="en-GB"/>
        </w:rPr>
        <w:fldChar w:fldCharType="separate"/>
      </w:r>
      <w:r>
        <w:rPr/>
        <w:fldChar w:fldCharType="begin"/>
      </w:r>
      <w:r>
        <w:instrText xml:space="preserve"> HYPERLINK \l "_Toc213171303" </w:instrText>
      </w:r>
      <w:r>
        <w:rPr/>
        <w:fldChar w:fldCharType="separate"/>
      </w:r>
      <w:r>
        <w:rPr>
          <w:rStyle w:val="style85"/>
          <w:noProof/>
          <w:lang w:val="en-GB"/>
        </w:rPr>
        <w:t>Introduction</w:t>
      </w:r>
      <w:r>
        <w:rPr>
          <w:noProof/>
          <w:webHidden/>
        </w:rPr>
        <w:tab/>
      </w:r>
      <w:r>
        <w:rPr>
          <w:noProof/>
          <w:webHidden/>
        </w:rPr>
        <w:fldChar w:fldCharType="begin"/>
      </w:r>
      <w:r>
        <w:rPr>
          <w:noProof/>
          <w:webHidden/>
        </w:rPr>
        <w:instrText xml:space="preserve"> PAGEREF _Toc213171303 \h </w:instrText>
      </w:r>
      <w:r>
        <w:rPr>
          <w:noProof/>
          <w:webHidden/>
        </w:rPr>
        <w:fldChar w:fldCharType="separate"/>
      </w:r>
      <w:r>
        <w:rPr>
          <w:noProof/>
          <w:webHidden/>
        </w:rPr>
        <w:t>2</w:t>
      </w:r>
      <w:r>
        <w:rPr>
          <w:noProof/>
          <w:webHidden/>
        </w:rPr>
        <w:fldChar w:fldCharType="end"/>
      </w:r>
      <w:r>
        <w:rPr/>
        <w:fldChar w:fldCharType="end"/>
      </w:r>
    </w:p>
    <w:p>
      <w:pPr>
        <w:pStyle w:val="style19"/>
        <w:tabs>
          <w:tab w:val="right" w:leader="dot" w:pos="9350"/>
        </w:tabs>
        <w:spacing w:lineRule="auto" w:line="360"/>
        <w:rPr>
          <w:rFonts w:ascii="Cambria" w:cs="Vrinda" w:eastAsia="宋体" w:hAnsi="Cambria"/>
          <w:noProof/>
          <w:kern w:val="2"/>
          <w:lang w:val="en-IN"/>
          <w14:ligatures xmlns:w14="http://schemas.microsoft.com/office/word/2010/wordml" w14:val="standardContextual"/>
        </w:rPr>
      </w:pPr>
      <w:r>
        <w:rPr/>
        <w:fldChar w:fldCharType="begin"/>
      </w:r>
      <w:r>
        <w:instrText xml:space="preserve"> HYPERLINK \l "_Toc213171304" </w:instrText>
      </w:r>
      <w:r>
        <w:rPr/>
        <w:fldChar w:fldCharType="separate"/>
      </w:r>
      <w:r>
        <w:rPr>
          <w:rStyle w:val="style85"/>
          <w:noProof/>
          <w:lang w:val="en-GB"/>
        </w:rPr>
        <w:t>Technological Advancement</w:t>
      </w:r>
      <w:r>
        <w:rPr>
          <w:noProof/>
          <w:webHidden/>
        </w:rPr>
        <w:tab/>
      </w:r>
      <w:r>
        <w:rPr>
          <w:noProof/>
          <w:webHidden/>
        </w:rPr>
        <w:fldChar w:fldCharType="begin"/>
      </w:r>
      <w:r>
        <w:rPr>
          <w:noProof/>
          <w:webHidden/>
        </w:rPr>
        <w:instrText xml:space="preserve"> PAGEREF _Toc213171304 \h </w:instrText>
      </w:r>
      <w:r>
        <w:rPr>
          <w:noProof/>
          <w:webHidden/>
        </w:rPr>
        <w:fldChar w:fldCharType="separate"/>
      </w:r>
      <w:r>
        <w:rPr>
          <w:noProof/>
          <w:webHidden/>
        </w:rPr>
        <w:t>2</w:t>
      </w:r>
      <w:r>
        <w:rPr>
          <w:noProof/>
          <w:webHidden/>
        </w:rPr>
        <w:fldChar w:fldCharType="end"/>
      </w:r>
      <w:r>
        <w:rPr/>
        <w:fldChar w:fldCharType="end"/>
      </w:r>
    </w:p>
    <w:p>
      <w:pPr>
        <w:pStyle w:val="style19"/>
        <w:tabs>
          <w:tab w:val="right" w:leader="dot" w:pos="9350"/>
        </w:tabs>
        <w:spacing w:lineRule="auto" w:line="360"/>
        <w:rPr>
          <w:rFonts w:ascii="Cambria" w:cs="Vrinda" w:eastAsia="宋体" w:hAnsi="Cambria"/>
          <w:noProof/>
          <w:kern w:val="2"/>
          <w:lang w:val="en-IN"/>
          <w14:ligatures xmlns:w14="http://schemas.microsoft.com/office/word/2010/wordml" w14:val="standardContextual"/>
        </w:rPr>
      </w:pPr>
      <w:r>
        <w:rPr/>
        <w:fldChar w:fldCharType="begin"/>
      </w:r>
      <w:r>
        <w:instrText xml:space="preserve"> HYPERLINK \l "_Toc213171305" </w:instrText>
      </w:r>
      <w:r>
        <w:rPr/>
        <w:fldChar w:fldCharType="separate"/>
      </w:r>
      <w:r>
        <w:rPr>
          <w:rStyle w:val="style85"/>
          <w:noProof/>
          <w:lang w:val="en-GB"/>
        </w:rPr>
        <w:t>Demographic and Geopolitical Factors</w:t>
      </w:r>
      <w:r>
        <w:rPr>
          <w:noProof/>
          <w:webHidden/>
        </w:rPr>
        <w:tab/>
      </w:r>
      <w:r>
        <w:rPr>
          <w:noProof/>
          <w:webHidden/>
        </w:rPr>
        <w:fldChar w:fldCharType="begin"/>
      </w:r>
      <w:r>
        <w:rPr>
          <w:noProof/>
          <w:webHidden/>
        </w:rPr>
        <w:instrText xml:space="preserve"> PAGEREF _Toc213171305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350"/>
        </w:tabs>
        <w:spacing w:lineRule="auto" w:line="360"/>
        <w:rPr>
          <w:rFonts w:ascii="Cambria" w:cs="Vrinda" w:eastAsia="宋体" w:hAnsi="Cambria"/>
          <w:noProof/>
          <w:kern w:val="2"/>
          <w:lang w:val="en-IN"/>
          <w14:ligatures xmlns:w14="http://schemas.microsoft.com/office/word/2010/wordml" w14:val="standardContextual"/>
        </w:rPr>
      </w:pPr>
      <w:r>
        <w:rPr/>
        <w:fldChar w:fldCharType="begin"/>
      </w:r>
      <w:r>
        <w:instrText xml:space="preserve"> HYPERLINK \l "_Toc213171306" </w:instrText>
      </w:r>
      <w:r>
        <w:rPr/>
        <w:fldChar w:fldCharType="separate"/>
      </w:r>
      <w:r>
        <w:rPr>
          <w:rStyle w:val="style85"/>
          <w:noProof/>
          <w:lang w:val="en-GB"/>
        </w:rPr>
        <w:t>Skill Gaps and Talent Shortages</w:t>
      </w:r>
      <w:r>
        <w:rPr>
          <w:noProof/>
          <w:webHidden/>
        </w:rPr>
        <w:tab/>
      </w:r>
      <w:r>
        <w:rPr>
          <w:noProof/>
          <w:webHidden/>
        </w:rPr>
        <w:fldChar w:fldCharType="begin"/>
      </w:r>
      <w:r>
        <w:rPr>
          <w:noProof/>
          <w:webHidden/>
        </w:rPr>
        <w:instrText xml:space="preserve"> PAGEREF _Toc213171306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9350"/>
        </w:tabs>
        <w:spacing w:lineRule="auto" w:line="360"/>
        <w:rPr>
          <w:rFonts w:ascii="Cambria" w:cs="Vrinda" w:eastAsia="宋体" w:hAnsi="Cambria"/>
          <w:noProof/>
          <w:kern w:val="2"/>
          <w:lang w:val="en-IN"/>
          <w14:ligatures xmlns:w14="http://schemas.microsoft.com/office/word/2010/wordml" w14:val="standardContextual"/>
        </w:rPr>
      </w:pPr>
      <w:r>
        <w:rPr/>
        <w:fldChar w:fldCharType="begin"/>
      </w:r>
      <w:r>
        <w:instrText xml:space="preserve"> HYPERLINK \l "_Toc213171307" </w:instrText>
      </w:r>
      <w:r>
        <w:rPr/>
        <w:fldChar w:fldCharType="separate"/>
      </w:r>
      <w:r>
        <w:rPr>
          <w:rStyle w:val="style85"/>
          <w:noProof/>
          <w:lang w:val="en-GB"/>
        </w:rPr>
        <w:t>Personal Reflection</w:t>
      </w:r>
      <w:r>
        <w:rPr>
          <w:noProof/>
          <w:webHidden/>
        </w:rPr>
        <w:tab/>
      </w:r>
      <w:r>
        <w:rPr>
          <w:noProof/>
          <w:webHidden/>
        </w:rPr>
        <w:fldChar w:fldCharType="begin"/>
      </w:r>
      <w:r>
        <w:rPr>
          <w:noProof/>
          <w:webHidden/>
        </w:rPr>
        <w:instrText xml:space="preserve"> PAGEREF _Toc213171307 \h </w:instrText>
      </w:r>
      <w:r>
        <w:rPr>
          <w:noProof/>
          <w:webHidden/>
        </w:rPr>
        <w:fldChar w:fldCharType="separate"/>
      </w:r>
      <w:r>
        <w:rPr>
          <w:noProof/>
          <w:webHidden/>
        </w:rPr>
        <w:t>6</w:t>
      </w:r>
      <w:r>
        <w:rPr>
          <w:noProof/>
          <w:webHidden/>
        </w:rPr>
        <w:fldChar w:fldCharType="end"/>
      </w:r>
      <w:r>
        <w:rPr/>
        <w:fldChar w:fldCharType="end"/>
      </w:r>
    </w:p>
    <w:p>
      <w:pPr>
        <w:pStyle w:val="style19"/>
        <w:tabs>
          <w:tab w:val="right" w:leader="dot" w:pos="9350"/>
        </w:tabs>
        <w:spacing w:lineRule="auto" w:line="360"/>
        <w:rPr>
          <w:rFonts w:ascii="Cambria" w:cs="Vrinda" w:eastAsia="宋体" w:hAnsi="Cambria"/>
          <w:noProof/>
          <w:kern w:val="2"/>
          <w:lang w:val="en-IN"/>
          <w14:ligatures xmlns:w14="http://schemas.microsoft.com/office/word/2010/wordml" w14:val="standardContextual"/>
        </w:rPr>
      </w:pPr>
      <w:r>
        <w:rPr/>
        <w:fldChar w:fldCharType="begin"/>
      </w:r>
      <w:r>
        <w:instrText xml:space="preserve"> HYPERLINK \l "_Toc213171308" </w:instrText>
      </w:r>
      <w:r>
        <w:rPr/>
        <w:fldChar w:fldCharType="separate"/>
      </w:r>
      <w:r>
        <w:rPr>
          <w:rStyle w:val="style85"/>
          <w:noProof/>
          <w:lang w:val="en-GB"/>
        </w:rPr>
        <w:t>Conclusion</w:t>
      </w:r>
      <w:r>
        <w:rPr>
          <w:noProof/>
          <w:webHidden/>
        </w:rPr>
        <w:tab/>
      </w:r>
      <w:r>
        <w:rPr>
          <w:noProof/>
          <w:webHidden/>
        </w:rPr>
        <w:fldChar w:fldCharType="begin"/>
      </w:r>
      <w:r>
        <w:rPr>
          <w:noProof/>
          <w:webHidden/>
        </w:rPr>
        <w:instrText xml:space="preserve"> PAGEREF _Toc213171308 \h </w:instrText>
      </w:r>
      <w:r>
        <w:rPr>
          <w:noProof/>
          <w:webHidden/>
        </w:rPr>
        <w:fldChar w:fldCharType="separate"/>
      </w:r>
      <w:r>
        <w:rPr>
          <w:noProof/>
          <w:webHidden/>
        </w:rPr>
        <w:t>8</w:t>
      </w:r>
      <w:r>
        <w:rPr>
          <w:noProof/>
          <w:webHidden/>
        </w:rPr>
        <w:fldChar w:fldCharType="end"/>
      </w:r>
      <w:r>
        <w:rPr/>
        <w:fldChar w:fldCharType="end"/>
      </w:r>
    </w:p>
    <w:p>
      <w:pPr>
        <w:pStyle w:val="style19"/>
        <w:tabs>
          <w:tab w:val="right" w:leader="dot" w:pos="9350"/>
        </w:tabs>
        <w:spacing w:lineRule="auto" w:line="360"/>
        <w:rPr>
          <w:rFonts w:ascii="Cambria" w:cs="Vrinda" w:eastAsia="宋体" w:hAnsi="Cambria"/>
          <w:noProof/>
          <w:kern w:val="2"/>
          <w:lang w:val="en-IN"/>
          <w14:ligatures xmlns:w14="http://schemas.microsoft.com/office/word/2010/wordml" w14:val="standardContextual"/>
        </w:rPr>
      </w:pPr>
      <w:r>
        <w:rPr/>
        <w:fldChar w:fldCharType="begin"/>
      </w:r>
      <w:r>
        <w:instrText xml:space="preserve"> HYPERLINK \l "_Toc213171309" </w:instrText>
      </w:r>
      <w:r>
        <w:rPr/>
        <w:fldChar w:fldCharType="separate"/>
      </w:r>
      <w:r>
        <w:rPr>
          <w:rStyle w:val="style85"/>
          <w:noProof/>
          <w:lang w:val="en-GB"/>
        </w:rPr>
        <w:t>List of References</w:t>
      </w:r>
      <w:r>
        <w:rPr>
          <w:noProof/>
          <w:webHidden/>
        </w:rPr>
        <w:tab/>
      </w:r>
      <w:r>
        <w:rPr>
          <w:noProof/>
          <w:webHidden/>
        </w:rPr>
        <w:fldChar w:fldCharType="begin"/>
      </w:r>
      <w:r>
        <w:rPr>
          <w:noProof/>
          <w:webHidden/>
        </w:rPr>
        <w:instrText xml:space="preserve"> PAGEREF _Toc213171309 \h </w:instrText>
      </w:r>
      <w:r>
        <w:rPr>
          <w:noProof/>
          <w:webHidden/>
        </w:rPr>
        <w:fldChar w:fldCharType="separate"/>
      </w:r>
      <w:r>
        <w:rPr>
          <w:noProof/>
          <w:webHidden/>
        </w:rPr>
        <w:t>9</w:t>
      </w:r>
      <w:r>
        <w:rPr>
          <w:noProof/>
          <w:webHidden/>
        </w:rPr>
        <w:fldChar w:fldCharType="end"/>
      </w:r>
      <w:r>
        <w:rPr/>
        <w:fldChar w:fldCharType="end"/>
      </w:r>
    </w:p>
    <w:p>
      <w:pPr>
        <w:pStyle w:val="style0"/>
        <w:spacing w:lineRule="auto" w:line="360"/>
        <w:rPr>
          <w:lang w:val="en-GB"/>
        </w:rPr>
      </w:pPr>
      <w:r>
        <w:rPr>
          <w:b/>
          <w:bCs/>
          <w:noProof/>
          <w:lang w:val="en-GB"/>
        </w:rPr>
        <w:fldChar w:fldCharType="end"/>
      </w:r>
    </w:p>
    <w:p>
      <w:pPr>
        <w:pStyle w:val="style0"/>
        <w:spacing w:lineRule="auto" w:line="360"/>
        <w:rPr>
          <w:b/>
          <w:sz w:val="28"/>
          <w:szCs w:val="28"/>
          <w:lang w:val="en-GB"/>
        </w:rPr>
      </w:pPr>
      <w:r>
        <w:rPr>
          <w:lang w:val="en-GB"/>
        </w:rPr>
        <w:br w:type="page"/>
      </w:r>
    </w:p>
    <w:bookmarkStart w:id="13" w:name="_Toc213171303"/>
    <w:p>
      <w:pPr>
        <w:pStyle w:val="style1"/>
        <w:spacing w:lineRule="auto" w:line="360"/>
        <w:jc w:val="both"/>
        <w:rPr>
          <w:lang w:val="en-GB"/>
        </w:rPr>
      </w:pPr>
      <w:r>
        <w:rPr>
          <w:lang w:val="en-GB"/>
        </w:rPr>
        <w:t>Introduction</w:t>
      </w:r>
      <w:bookmarkEnd w:id="13"/>
    </w:p>
    <w:p>
      <w:pPr>
        <w:pStyle w:val="style0"/>
        <w:spacing w:lineRule="auto" w:line="360"/>
        <w:jc w:val="both"/>
        <w:rPr>
          <w:lang w:val="en-GB"/>
        </w:rPr>
      </w:pPr>
      <w:r>
        <w:rPr>
          <w:lang w:val="en-GB"/>
        </w:rPr>
        <w:t xml:space="preserve">This report will discuss the impact of national and international labour market dynamics on Human Resource Management (HRM) and International Human Resource Management </w:t>
      </w:r>
      <w:r>
        <w:rPr>
          <w:lang w:val="en-GB"/>
        </w:rPr>
        <w:t xml:space="preserve">(IHRM) strategies. It analyses elements like availability of workforce, level of skills, migration patterns, as well as economic conditions, which influence talent management practices. Organisations in the increasingly globalised environment are required </w:t>
      </w:r>
      <w:r>
        <w:rPr>
          <w:lang w:val="en-GB"/>
        </w:rPr>
        <w:t>to integrate their HRM practices with different labour laws, cultural values, and market conditions in order to remain competitive and successful in the long term.</w:t>
      </w:r>
    </w:p>
    <w:bookmarkStart w:id="14" w:name="_gofckgq79sdx" w:colFirst="0" w:colLast="0"/>
    <w:bookmarkStart w:id="15" w:name="_Toc213171304"/>
    <w:bookmarkEnd w:id="14"/>
    <w:p>
      <w:pPr>
        <w:pStyle w:val="style1"/>
        <w:spacing w:lineRule="auto" w:line="360"/>
        <w:jc w:val="both"/>
        <w:rPr>
          <w:lang w:val="en-GB"/>
        </w:rPr>
      </w:pPr>
      <w:r>
        <w:rPr>
          <w:lang w:val="en-GB"/>
        </w:rPr>
        <w:t>Technological Advancement</w:t>
      </w:r>
      <w:bookmarkEnd w:id="15"/>
    </w:p>
    <w:p>
      <w:pPr>
        <w:pStyle w:val="style0"/>
        <w:spacing w:lineRule="auto" w:line="360"/>
        <w:jc w:val="both"/>
        <w:rPr>
          <w:lang w:val="en-GB"/>
        </w:rPr>
      </w:pPr>
      <w:r>
        <w:rPr>
          <w:lang w:val="en-GB"/>
        </w:rPr>
        <w:t>The technological advancement has emerged as a major force that ca</w:t>
      </w:r>
      <w:r>
        <w:rPr>
          <w:lang w:val="en-GB"/>
        </w:rPr>
        <w:t>n impact the national and international labour markets, thus determining the HRM and IHRM strategy worldwide (</w:t>
      </w:r>
      <w:r>
        <w:rPr>
          <w:highlight w:val="white"/>
          <w:lang w:val="en-GB"/>
        </w:rPr>
        <w:t>Patrick</w:t>
      </w:r>
      <w:r>
        <w:rPr>
          <w:color w:val="222222"/>
          <w:highlight w:val="white"/>
          <w:lang w:val="en-GB"/>
        </w:rPr>
        <w:t xml:space="preserve"> </w:t>
      </w:r>
      <w:r>
        <w:rPr>
          <w:i/>
          <w:highlight w:val="white"/>
          <w:lang w:val="en-GB"/>
        </w:rPr>
        <w:t>et al</w:t>
      </w:r>
      <w:r>
        <w:rPr>
          <w:highlight w:val="white"/>
          <w:lang w:val="en-GB"/>
        </w:rPr>
        <w:t>., 2023</w:t>
      </w:r>
      <w:r>
        <w:rPr>
          <w:lang w:val="en-GB"/>
        </w:rPr>
        <w:t>). The quick development of new technologies, including artificial intelligence (AI), robotisation, data analytics, and digita</w:t>
      </w:r>
      <w:r>
        <w:rPr>
          <w:lang w:val="en-GB"/>
        </w:rPr>
        <w:t>l communication tools, has changed the manner in which organisation come to deal with their human resource and engage with the global workforce. The innovations have transformed the nature of the jobs, skills needed, and the employment frameworks, and this</w:t>
      </w:r>
      <w:r>
        <w:rPr>
          <w:lang w:val="en-GB"/>
        </w:rPr>
        <w:t xml:space="preserve"> has made HR managers dynamic in their approach to their strategies, which have to vary with the new requirements.</w:t>
      </w:r>
    </w:p>
    <w:p>
      <w:pPr>
        <w:pStyle w:val="style0"/>
        <w:spacing w:lineRule="auto" w:line="360"/>
        <w:jc w:val="both"/>
        <w:rPr>
          <w:lang w:val="en-GB"/>
        </w:rPr>
      </w:pPr>
      <w:r>
        <w:rPr>
          <w:lang w:val="en-GB"/>
        </w:rPr>
        <w:t>Technological advancement, in the case of the national context, has resulted in a drastic change in the nature of work. Older industries, lik</w:t>
      </w:r>
      <w:r>
        <w:rPr>
          <w:lang w:val="en-GB"/>
        </w:rPr>
        <w:t>e manufacturing, banking, and retail, are slowly moving to automation and digitalisation, which is minimising the need to resort to the use of manual labour and offering new possibilities for highly-skilled professionals in the technology-intensive job sph</w:t>
      </w:r>
      <w:r>
        <w:rPr>
          <w:lang w:val="en-GB"/>
        </w:rPr>
        <w:t>ere. As a result, the HRM strategies have gone to focus on the development of skills, lifelong learning, as well as digital literacy. Reskilling and upskilling programs are becoming a reality within organisations, requiring them to invest heavily in the pr</w:t>
      </w:r>
      <w:r>
        <w:rPr>
          <w:lang w:val="en-GB"/>
        </w:rPr>
        <w:t>ograms in order to make their workforce stay competitive and relevant in the era of digital transformation (</w:t>
      </w:r>
      <w:r>
        <w:rPr>
          <w:highlight w:val="white"/>
          <w:lang w:val="en-GB"/>
        </w:rPr>
        <w:t xml:space="preserve">Lakshmi </w:t>
      </w:r>
      <w:r>
        <w:rPr>
          <w:i/>
          <w:highlight w:val="white"/>
          <w:lang w:val="en-GB"/>
        </w:rPr>
        <w:t>et al</w:t>
      </w:r>
      <w:r>
        <w:rPr>
          <w:highlight w:val="white"/>
          <w:lang w:val="en-GB"/>
        </w:rPr>
        <w:t>., 2024</w:t>
      </w:r>
      <w:r>
        <w:rPr>
          <w:lang w:val="en-GB"/>
        </w:rPr>
        <w:t xml:space="preserve">). </w:t>
      </w:r>
    </w:p>
    <w:p>
      <w:pPr>
        <w:pStyle w:val="style0"/>
        <w:spacing w:lineRule="auto" w:line="360"/>
        <w:jc w:val="both"/>
        <w:rPr>
          <w:lang w:val="en-GB"/>
        </w:rPr>
      </w:pPr>
      <w:r>
        <w:rPr>
          <w:lang w:val="en-GB"/>
        </w:rPr>
        <w:t>On a global scale, the world has become more collaborative and remote than at any time in history, with technological advanc</w:t>
      </w:r>
      <w:r>
        <w:rPr>
          <w:lang w:val="en-GB"/>
        </w:rPr>
        <w:t>ements making the possible. Cloud computing, virtual meeting tools, and online project management tools have helped companies to be borderless and operate efficiently and flexibly (</w:t>
      </w:r>
      <w:r>
        <w:rPr>
          <w:highlight w:val="white"/>
          <w:lang w:val="en-GB"/>
        </w:rPr>
        <w:t>Oye and Emilson, 2024</w:t>
      </w:r>
      <w:r>
        <w:rPr>
          <w:lang w:val="en-GB"/>
        </w:rPr>
        <w:t>). This has seen global teams being formed where emplo</w:t>
      </w:r>
      <w:r>
        <w:rPr>
          <w:lang w:val="en-GB"/>
        </w:rPr>
        <w:t xml:space="preserve">yees of various countries can easily work together. Consequently, the current trends in IHRM strategies on cross-cultural communications management, virtual </w:t>
      </w:r>
      <w:r>
        <w:rPr>
          <w:lang w:val="en-GB"/>
        </w:rPr>
        <w:t>teams’</w:t>
      </w:r>
      <w:r>
        <w:rPr>
          <w:lang w:val="en-GB"/>
        </w:rPr>
        <w:t xml:space="preserve"> leadership, and </w:t>
      </w:r>
      <w:r>
        <w:rPr>
          <w:lang w:val="en-GB"/>
        </w:rPr>
        <w:t xml:space="preserve">data protection should focus on diverse legal and technological conditions. </w:t>
      </w:r>
      <w:r>
        <w:rPr>
          <w:lang w:val="en-GB"/>
        </w:rPr>
        <w:t>The transition to the model of hybrid and remote work also implies that IHRM should deal with the challenges of employee engagement, performance monitoring, and preservation of organisational culture among the dispersed teams (</w:t>
      </w:r>
      <w:r>
        <w:rPr>
          <w:highlight w:val="white"/>
          <w:lang w:val="en-GB"/>
        </w:rPr>
        <w:t xml:space="preserve">Caligiuri </w:t>
      </w:r>
      <w:r>
        <w:rPr>
          <w:i/>
          <w:highlight w:val="white"/>
          <w:lang w:val="en-GB"/>
        </w:rPr>
        <w:t>et al.</w:t>
      </w:r>
      <w:r>
        <w:rPr>
          <w:highlight w:val="white"/>
          <w:lang w:val="en-GB"/>
        </w:rPr>
        <w:t>, 2022</w:t>
      </w:r>
      <w:r>
        <w:rPr>
          <w:lang w:val="en-GB"/>
        </w:rPr>
        <w:t>).</w:t>
      </w:r>
    </w:p>
    <w:p>
      <w:pPr>
        <w:pStyle w:val="style0"/>
        <w:spacing w:lineRule="auto" w:line="360"/>
        <w:jc w:val="both"/>
        <w:rPr>
          <w:lang w:val="en-GB"/>
        </w:rPr>
      </w:pPr>
      <w:r>
        <w:rPr>
          <w:lang w:val="en-GB"/>
        </w:rPr>
        <w:t>In a</w:t>
      </w:r>
      <w:r>
        <w:rPr>
          <w:lang w:val="en-GB"/>
        </w:rPr>
        <w:t>ddition, technology has made the recruitment and selection process better by using digital mediums, AI-based tests, and online interviews (</w:t>
      </w:r>
      <w:r>
        <w:rPr>
          <w:highlight w:val="white"/>
          <w:lang w:val="en-GB"/>
        </w:rPr>
        <w:t>Devi and Perumandla, 2024</w:t>
      </w:r>
      <w:r>
        <w:rPr>
          <w:lang w:val="en-GB"/>
        </w:rPr>
        <w:t xml:space="preserve">). The tools enable organisations to access talent around the world in an effective manner, </w:t>
      </w:r>
      <w:r>
        <w:rPr>
          <w:lang w:val="en-GB"/>
        </w:rPr>
        <w:t>as well as save on the time and costs of recruitment. Nonetheless, they also come along with certain difficulties associated with bias in AI algorithms, data protection, and fair access to technology, which HRM and IHRM practitioners should discuss with et</w:t>
      </w:r>
      <w:r>
        <w:rPr>
          <w:lang w:val="en-GB"/>
        </w:rPr>
        <w:t xml:space="preserve">hical and non-discriminative approaches. </w:t>
      </w:r>
    </w:p>
    <w:bookmarkStart w:id="16" w:name="_effxdvl79vcw" w:colFirst="0" w:colLast="0"/>
    <w:bookmarkStart w:id="17" w:name="_Toc213171305"/>
    <w:bookmarkEnd w:id="16"/>
    <w:p>
      <w:pPr>
        <w:pStyle w:val="style1"/>
        <w:spacing w:lineRule="auto" w:line="360"/>
        <w:jc w:val="both"/>
        <w:rPr>
          <w:lang w:val="en-GB"/>
        </w:rPr>
      </w:pPr>
      <w:r>
        <w:rPr>
          <w:lang w:val="en-GB"/>
        </w:rPr>
        <w:t>Demographic and Geopolitical Factors</w:t>
      </w:r>
      <w:bookmarkEnd w:id="17"/>
    </w:p>
    <w:p>
      <w:pPr>
        <w:pStyle w:val="style0"/>
        <w:spacing w:lineRule="auto" w:line="360"/>
        <w:jc w:val="both"/>
        <w:rPr>
          <w:lang w:val="en-GB"/>
        </w:rPr>
      </w:pPr>
      <w:r>
        <w:rPr>
          <w:lang w:val="en-GB"/>
        </w:rPr>
        <w:t>Demographic and geopolitical aspects are also important in determining the structure and strategies of the Human Resource Management (HRM) and International Human Resource Manag</w:t>
      </w:r>
      <w:r>
        <w:rPr>
          <w:lang w:val="en-GB"/>
        </w:rPr>
        <w:t xml:space="preserve">ement (IHRM). As an indication, the composition of the </w:t>
      </w:r>
      <w:r>
        <w:rPr>
          <w:lang w:val="en-GB"/>
        </w:rPr>
        <w:t>labour</w:t>
      </w:r>
      <w:r>
        <w:rPr>
          <w:lang w:val="en-GB"/>
        </w:rPr>
        <w:t xml:space="preserve"> force, population trends, and migration patterns of the nations and political stability of the nations have a direct effect on the manner in which organisations manage, recruit, and maintain wor</w:t>
      </w:r>
      <w:r>
        <w:rPr>
          <w:lang w:val="en-GB"/>
        </w:rPr>
        <w:t>kers at the national and international levels. In a globalising world, the realisation of such dynamics has become critical in formulating effective HR and IHRM policies (</w:t>
      </w:r>
      <w:r>
        <w:rPr>
          <w:highlight w:val="white"/>
          <w:lang w:val="en-GB"/>
        </w:rPr>
        <w:t xml:space="preserve">Reiche </w:t>
      </w:r>
      <w:r>
        <w:rPr>
          <w:i/>
          <w:highlight w:val="white"/>
          <w:lang w:val="en-GB"/>
        </w:rPr>
        <w:t>et al</w:t>
      </w:r>
      <w:r>
        <w:rPr>
          <w:highlight w:val="white"/>
          <w:lang w:val="en-GB"/>
        </w:rPr>
        <w:t>., 2022</w:t>
      </w:r>
      <w:r>
        <w:rPr>
          <w:lang w:val="en-GB"/>
        </w:rPr>
        <w:t>).</w:t>
      </w:r>
    </w:p>
    <w:p>
      <w:pPr>
        <w:pStyle w:val="style0"/>
        <w:spacing w:lineRule="auto" w:line="360"/>
        <w:jc w:val="both"/>
        <w:rPr>
          <w:lang w:val="en-GB"/>
        </w:rPr>
      </w:pPr>
      <w:r>
        <w:rPr>
          <w:lang w:val="en-GB"/>
        </w:rPr>
        <w:t>Demographically speaking, population dynamics like aging proces</w:t>
      </w:r>
      <w:r>
        <w:rPr>
          <w:lang w:val="en-GB"/>
        </w:rPr>
        <w:t>ses, lower birth rates, and unemployment of the youth influence labour supply and quality. In developed markets such as Japan, Germany, and the United Kingdom, an aging workforce poses problems in planning their succession and sharing their experiences wit</w:t>
      </w:r>
      <w:r>
        <w:rPr>
          <w:lang w:val="en-GB"/>
        </w:rPr>
        <w:t>h the young generations (</w:t>
      </w:r>
      <w:r>
        <w:rPr>
          <w:color w:val="222222"/>
          <w:highlight w:val="white"/>
          <w:lang w:val="en-GB"/>
        </w:rPr>
        <w:t>Brown, 2025</w:t>
      </w:r>
      <w:r>
        <w:rPr>
          <w:lang w:val="en-GB"/>
        </w:rPr>
        <w:t>). The HRM practices in these nations are geared towards increasing the age of retirement, flexible working hours, and enhancing lifelong learning so as to maintain the experienced employees. On the other hand, in the de</w:t>
      </w:r>
      <w:r>
        <w:rPr>
          <w:lang w:val="en-GB"/>
        </w:rPr>
        <w:t xml:space="preserve">veloping countries between India and Nigeria, a young population would offer a source of demographic dividend, but the HRM policies would have to deal with the supply side problems of skill, employability, and participation of the workforce to utilise the </w:t>
      </w:r>
      <w:r>
        <w:rPr>
          <w:lang w:val="en-GB"/>
        </w:rPr>
        <w:t xml:space="preserve">available potential </w:t>
      </w:r>
      <w:r>
        <w:rPr>
          <w:color w:val="222222"/>
          <w:highlight w:val="white"/>
          <w:lang w:val="en-GB"/>
        </w:rPr>
        <w:t>(</w:t>
      </w:r>
      <w:r>
        <w:rPr>
          <w:highlight w:val="white"/>
          <w:lang w:val="en-GB"/>
        </w:rPr>
        <w:t xml:space="preserve">Mehrotra </w:t>
      </w:r>
      <w:r>
        <w:rPr>
          <w:i/>
          <w:highlight w:val="white"/>
          <w:lang w:val="en-GB"/>
        </w:rPr>
        <w:t>et al.</w:t>
      </w:r>
      <w:r>
        <w:rPr>
          <w:highlight w:val="white"/>
          <w:lang w:val="en-GB"/>
        </w:rPr>
        <w:t>, 2022)</w:t>
      </w:r>
      <w:r>
        <w:rPr>
          <w:lang w:val="en-GB"/>
        </w:rPr>
        <w:t>.</w:t>
      </w:r>
    </w:p>
    <w:p>
      <w:pPr>
        <w:pStyle w:val="style0"/>
        <w:spacing w:lineRule="auto" w:line="360"/>
        <w:jc w:val="both"/>
        <w:rPr>
          <w:lang w:val="en-GB"/>
        </w:rPr>
      </w:pPr>
      <w:r>
        <w:rPr>
          <w:lang w:val="en-GB"/>
        </w:rPr>
        <w:t>Another critical demographic issue in HRM has also been gender diversity and inclusion. The growing women's participation in the labour market and the shifting family dynamics necessitate organisations to come u</w:t>
      </w:r>
      <w:r>
        <w:rPr>
          <w:lang w:val="en-GB"/>
        </w:rPr>
        <w:t xml:space="preserve">p with policies that can guide them to meet the needs of work-life balance, </w:t>
      </w:r>
      <w:r>
        <w:rPr>
          <w:lang w:val="en-GB"/>
        </w:rPr>
        <w:t>maturity, and potential unrest. This has generated migration patterns that have caused labour to be redistributed all over the world. The companies are forced to balance their cult</w:t>
      </w:r>
      <w:r>
        <w:rPr>
          <w:lang w:val="en-GB"/>
        </w:rPr>
        <w:t xml:space="preserve">urally different teams, considering the immigration policies, visa laws, and ethics in hiring employees </w:t>
      </w:r>
      <w:r>
        <w:rPr>
          <w:highlight w:val="white"/>
          <w:lang w:val="en-GB"/>
        </w:rPr>
        <w:t>(Švejdarová, 2024)</w:t>
      </w:r>
      <w:r>
        <w:rPr>
          <w:lang w:val="en-GB"/>
        </w:rPr>
        <w:t>.</w:t>
      </w:r>
    </w:p>
    <w:p>
      <w:pPr>
        <w:pStyle w:val="style0"/>
        <w:spacing w:lineRule="auto" w:line="360"/>
        <w:jc w:val="both"/>
        <w:rPr>
          <w:lang w:val="en-GB"/>
        </w:rPr>
      </w:pPr>
      <w:r>
        <w:rPr>
          <w:lang w:val="en-GB"/>
        </w:rPr>
        <w:t>There are significant impacts of geopolitics on HRM and IHRM strategies, such as trade relations, political stability, and internati</w:t>
      </w:r>
      <w:r>
        <w:rPr>
          <w:lang w:val="en-GB"/>
        </w:rPr>
        <w:t>onal conflicts. As an illustration, labour supply chains may be disrupted by political instabilities or even war, forcing organisations to shift operations or human resources. The case of Brexit was one of such, as it strongly impacted on labour movement a</w:t>
      </w:r>
      <w:r>
        <w:rPr>
          <w:lang w:val="en-GB"/>
        </w:rPr>
        <w:t>nd availability of talent in the European Union, and HR professionals had to review their policies on recruitment and expatriate management. To the same end, the rivalry of the mainstream economies such as the United States and China influences the busines</w:t>
      </w:r>
      <w:r>
        <w:rPr>
          <w:lang w:val="en-GB"/>
        </w:rPr>
        <w:t>s strategies worldwide, which necessitates the alteration of the approaches to managing and deploying talents and the management of risks (</w:t>
      </w:r>
      <w:r>
        <w:rPr>
          <w:color w:val="222222"/>
          <w:highlight w:val="white"/>
          <w:lang w:val="en-GB"/>
        </w:rPr>
        <w:t>Okoye</w:t>
      </w:r>
      <w:r>
        <w:rPr>
          <w:i/>
          <w:color w:val="222222"/>
          <w:highlight w:val="white"/>
          <w:lang w:val="en-GB"/>
        </w:rPr>
        <w:t xml:space="preserve"> et al</w:t>
      </w:r>
      <w:r>
        <w:rPr>
          <w:color w:val="222222"/>
          <w:highlight w:val="white"/>
          <w:lang w:val="en-GB"/>
        </w:rPr>
        <w:t>., 2024</w:t>
      </w:r>
      <w:r>
        <w:rPr>
          <w:lang w:val="en-GB"/>
        </w:rPr>
        <w:t>).</w:t>
      </w:r>
    </w:p>
    <w:p>
      <w:pPr>
        <w:pStyle w:val="style0"/>
        <w:spacing w:lineRule="auto" w:line="360"/>
        <w:jc w:val="both"/>
        <w:rPr>
          <w:lang w:val="en-GB"/>
        </w:rPr>
      </w:pPr>
      <w:r>
        <w:rPr>
          <w:lang w:val="en-GB"/>
        </w:rPr>
        <w:t>The implications of various government policies, tax systems, and labour legislation vary in dif</w:t>
      </w:r>
      <w:r>
        <w:rPr>
          <w:lang w:val="en-GB"/>
        </w:rPr>
        <w:t>ferent areas, and ought to be sensitive to the IHRM strategies. A change in the geopolitical situation, such as trade agreements, immigration restrictions, into the programmes of staffing programmes, is also applicable to multinational corporations, partic</w:t>
      </w:r>
      <w:r>
        <w:rPr>
          <w:lang w:val="en-GB"/>
        </w:rPr>
        <w:t>ularly when it comes to expatriate assignment and offshoring. HR managers need to be adaptable in their management of international mobility, and simultaneously, they should be capable of adhering to the laws of the host country. Moreover, the growing rang</w:t>
      </w:r>
      <w:r>
        <w:rPr>
          <w:lang w:val="en-GB"/>
        </w:rPr>
        <w:t>e of sustainability and corporate social responsibility in countries influences the workforce demands and the necessity of organisations to make sure that the HR policies are anchored on ethical and environmental principles.</w:t>
      </w:r>
    </w:p>
    <w:bookmarkStart w:id="18" w:name="_kd0wbeo0bb5o" w:colFirst="0" w:colLast="0"/>
    <w:bookmarkStart w:id="19" w:name="_Toc213171306"/>
    <w:bookmarkEnd w:id="18"/>
    <w:p>
      <w:pPr>
        <w:pStyle w:val="style1"/>
        <w:spacing w:lineRule="auto" w:line="360"/>
        <w:jc w:val="both"/>
        <w:rPr>
          <w:lang w:val="en-GB"/>
        </w:rPr>
      </w:pPr>
      <w:r>
        <w:rPr>
          <w:lang w:val="en-GB"/>
        </w:rPr>
        <w:t>Skill Gaps and Talent Shortages</w:t>
      </w:r>
      <w:bookmarkEnd w:id="19"/>
    </w:p>
    <w:p>
      <w:pPr>
        <w:pStyle w:val="style0"/>
        <w:spacing w:lineRule="auto" w:line="360"/>
        <w:jc w:val="both"/>
        <w:rPr>
          <w:lang w:val="en-GB"/>
        </w:rPr>
      </w:pPr>
      <w:r>
        <w:rPr>
          <w:lang w:val="en-GB"/>
        </w:rPr>
        <w:t>Topping skill shortages, talent shortages have become a significant concern to organisations in a number of industries, namely in technology, health, and the hospitality sector, in the contemporary labour market. Rapid technological advancements, demograp</w:t>
      </w:r>
      <w:r>
        <w:rPr>
          <w:lang w:val="en-GB"/>
        </w:rPr>
        <w:t xml:space="preserve">hic shifts, and the changing </w:t>
      </w:r>
      <w:r>
        <w:rPr>
          <w:lang w:val="en-GB"/>
        </w:rPr>
        <w:t>labour</w:t>
      </w:r>
      <w:r>
        <w:rPr>
          <w:lang w:val="en-GB"/>
        </w:rPr>
        <w:t xml:space="preserve"> demands are the primary contributors to these gaps. Organisations should employ strategic human resource management (SHRM) practices that would keep them competitive and sustainable by ensuring that workforce competencie</w:t>
      </w:r>
      <w:r>
        <w:rPr>
          <w:lang w:val="en-GB"/>
        </w:rPr>
        <w:t>s are aligned to long-term business objectives (</w:t>
      </w:r>
      <w:r>
        <w:rPr>
          <w:color w:val="222222"/>
          <w:highlight w:val="white"/>
          <w:lang w:val="en-GB"/>
        </w:rPr>
        <w:t>Tawfig and Kamarudin, 2021</w:t>
      </w:r>
      <w:r>
        <w:rPr>
          <w:lang w:val="en-GB"/>
        </w:rPr>
        <w:t>).</w:t>
      </w:r>
    </w:p>
    <w:p>
      <w:pPr>
        <w:pStyle w:val="style0"/>
        <w:spacing w:lineRule="auto" w:line="360"/>
        <w:jc w:val="both"/>
        <w:rPr>
          <w:lang w:val="en-GB"/>
        </w:rPr>
      </w:pPr>
      <w:r>
        <w:rPr>
          <w:lang w:val="en-GB"/>
        </w:rPr>
        <w:t>SHRM has best practices, strategic workforce planning being one of them, that help fight skills shortage. It involves the analysis of the current and future needs of skills, labou</w:t>
      </w:r>
      <w:r>
        <w:rPr>
          <w:lang w:val="en-GB"/>
        </w:rPr>
        <w:t>r prognosis needs, and the probable gaps. Using the example of the digital transformation taking place on the technological front at an extremely rapid pace, this aspect has created the incidental requirement of artificial intelligence, data mining, and cy</w:t>
      </w:r>
      <w:r>
        <w:rPr>
          <w:lang w:val="en-GB"/>
        </w:rPr>
        <w:t xml:space="preserve">bersecurity specialists. Strategic HRM enables organisations to address these requirements beforehand by recruiting, educating with a specific training program, and partnering with institutions of learning. Industry-academia partnerships could also assist </w:t>
      </w:r>
      <w:r>
        <w:rPr>
          <w:lang w:val="en-GB"/>
        </w:rPr>
        <w:t>in maintaining the relevancy of the curriculum to changes in the market, thereby increasing graduate marketability.</w:t>
      </w:r>
    </w:p>
    <w:p>
      <w:pPr>
        <w:pStyle w:val="style0"/>
        <w:spacing w:lineRule="auto" w:line="360"/>
        <w:jc w:val="both"/>
        <w:rPr>
          <w:lang w:val="en-GB"/>
        </w:rPr>
      </w:pPr>
      <w:r>
        <w:rPr>
          <w:lang w:val="en-GB"/>
        </w:rPr>
        <w:t>Expansion of the market development and lifelong learning is also critical in curbing skills shortages. In the medical sector, supply and de</w:t>
      </w:r>
      <w:r>
        <w:rPr>
          <w:lang w:val="en-GB"/>
        </w:rPr>
        <w:t>mand of qualified professionals can be unequal, considering most positions require specific skills to fill, which is where an HRM approach that encourages upskilling and reskilling can be used to cover the gap. This can be through e-learning modules, train</w:t>
      </w:r>
      <w:r>
        <w:rPr>
          <w:lang w:val="en-GB"/>
        </w:rPr>
        <w:t>ing that is conducted in the form of simulation, or through rotational assignments where employees get to experience different things. Strategic HRM also leads to the creation of a culture of lifelong learning, making employees actively responsible for the</w:t>
      </w:r>
      <w:r>
        <w:rPr>
          <w:lang w:val="en-GB"/>
        </w:rPr>
        <w:t>ir professional development. The Chartered Institute of Personnel and Development writes that organisations making investments in continuous professional development express improved retention and performance results of the staff (</w:t>
      </w:r>
      <w:r>
        <w:rPr>
          <w:highlight w:val="white"/>
          <w:lang w:val="en-GB"/>
        </w:rPr>
        <w:t>Bhaskar</w:t>
      </w:r>
      <w:r>
        <w:rPr>
          <w:i/>
          <w:highlight w:val="white"/>
          <w:lang w:val="en-GB"/>
        </w:rPr>
        <w:t xml:space="preserve"> et al</w:t>
      </w:r>
      <w:r>
        <w:rPr>
          <w:highlight w:val="white"/>
          <w:lang w:val="en-GB"/>
        </w:rPr>
        <w:t>., 2021)</w:t>
      </w:r>
      <w:r>
        <w:rPr>
          <w:lang w:val="en-GB"/>
        </w:rPr>
        <w:t xml:space="preserve">. </w:t>
      </w:r>
    </w:p>
    <w:p>
      <w:pPr>
        <w:pStyle w:val="style0"/>
        <w:spacing w:lineRule="auto" w:line="360"/>
        <w:jc w:val="both"/>
        <w:rPr>
          <w:lang w:val="en-GB"/>
        </w:rPr>
      </w:pPr>
      <w:r>
        <w:rPr>
          <w:lang w:val="en-GB"/>
        </w:rPr>
        <w:t>Talent attraction and employer branding are other important strategies. Talent crisis is a common occurrence in the hospitality sector as employees leave their jobs mainly due to the perceived instability (</w:t>
      </w:r>
      <w:r>
        <w:rPr>
          <w:color w:val="222222"/>
          <w:highlight w:val="white"/>
          <w:lang w:val="en-GB"/>
        </w:rPr>
        <w:t xml:space="preserve">Sigala </w:t>
      </w:r>
      <w:r>
        <w:rPr>
          <w:i/>
          <w:color w:val="222222"/>
          <w:highlight w:val="white"/>
          <w:lang w:val="en-GB"/>
        </w:rPr>
        <w:t>et al.</w:t>
      </w:r>
      <w:r>
        <w:rPr>
          <w:color w:val="222222"/>
          <w:highlight w:val="white"/>
          <w:lang w:val="en-GB"/>
        </w:rPr>
        <w:t>, 2023</w:t>
      </w:r>
      <w:r>
        <w:rPr>
          <w:lang w:val="en-GB"/>
        </w:rPr>
        <w:t>). Organisations can enhance th</w:t>
      </w:r>
      <w:r>
        <w:rPr>
          <w:lang w:val="en-GB"/>
        </w:rPr>
        <w:t>eir employer value proposition (EVP) by carrying out strategic HRM activities, including flexible working policies, performance rewards, and defined career advancement opportunities. Branding enables the organisation to get the right candidates in terms of</w:t>
      </w:r>
      <w:r>
        <w:rPr>
          <w:lang w:val="en-GB"/>
        </w:rPr>
        <w:t xml:space="preserve"> skills and cultural compatibility, which lowers the cost of recruitment and enhances the retention incurred by the organisation.</w:t>
      </w:r>
    </w:p>
    <w:p>
      <w:pPr>
        <w:pStyle w:val="style0"/>
        <w:spacing w:lineRule="auto" w:line="360"/>
        <w:jc w:val="both"/>
        <w:rPr>
          <w:lang w:val="en-GB"/>
        </w:rPr>
      </w:pPr>
      <w:r>
        <w:rPr>
          <w:lang w:val="en-GB"/>
        </w:rPr>
        <w:t>Diversity and inclusion (D&amp;I) initiatives also come in handy when tackling the lack of skills (</w:t>
      </w:r>
      <w:r>
        <w:rPr>
          <w:highlight w:val="white"/>
          <w:lang w:val="en-GB"/>
        </w:rPr>
        <w:t xml:space="preserve">Lima </w:t>
      </w:r>
      <w:r>
        <w:rPr>
          <w:i/>
          <w:highlight w:val="white"/>
          <w:lang w:val="en-GB"/>
        </w:rPr>
        <w:t>et al.</w:t>
      </w:r>
      <w:r>
        <w:rPr>
          <w:highlight w:val="white"/>
          <w:lang w:val="en-GB"/>
        </w:rPr>
        <w:t>, 2025</w:t>
      </w:r>
      <w:r>
        <w:rPr>
          <w:lang w:val="en-GB"/>
        </w:rPr>
        <w:t>). With the op</w:t>
      </w:r>
      <w:r>
        <w:rPr>
          <w:lang w:val="en-GB"/>
        </w:rPr>
        <w:t xml:space="preserve">portunity to categorise </w:t>
      </w:r>
      <w:r>
        <w:rPr>
          <w:lang w:val="en-GB"/>
        </w:rPr>
        <w:t>under exploitable</w:t>
      </w:r>
      <w:r>
        <w:rPr>
          <w:lang w:val="en-GB"/>
        </w:rPr>
        <w:t xml:space="preserve"> sources of talent, such as women in technology or older workers in the medical industries, organisations can access a larger set of talent and experiences. SHRM supports the policies that do not welcome any prejudi</w:t>
      </w:r>
      <w:r>
        <w:rPr>
          <w:lang w:val="en-GB"/>
        </w:rPr>
        <w:t xml:space="preserve">ces during the </w:t>
      </w:r>
      <w:r>
        <w:rPr>
          <w:lang w:val="en-GB"/>
        </w:rPr>
        <w:t>recruitment and selection process since it facilitates innovation and increases the flexibility of the workforce (</w:t>
      </w:r>
      <w:r>
        <w:rPr>
          <w:highlight w:val="white"/>
          <w:lang w:val="en-GB"/>
        </w:rPr>
        <w:t xml:space="preserve">Ezeafulukwe </w:t>
      </w:r>
      <w:r>
        <w:rPr>
          <w:i/>
          <w:highlight w:val="white"/>
          <w:lang w:val="en-GB"/>
        </w:rPr>
        <w:t>et al.</w:t>
      </w:r>
      <w:r>
        <w:rPr>
          <w:highlight w:val="white"/>
          <w:lang w:val="en-GB"/>
        </w:rPr>
        <w:t>, 2024</w:t>
      </w:r>
      <w:r>
        <w:rPr>
          <w:lang w:val="en-GB"/>
        </w:rPr>
        <w:t xml:space="preserve">).  </w:t>
      </w:r>
    </w:p>
    <w:bookmarkStart w:id="20" w:name="_yjv4jmhdl7yp" w:colFirst="0" w:colLast="0"/>
    <w:bookmarkStart w:id="21" w:name="_Toc213171307"/>
    <w:bookmarkEnd w:id="20"/>
    <w:p>
      <w:pPr>
        <w:pStyle w:val="style1"/>
        <w:spacing w:lineRule="auto" w:line="360"/>
        <w:jc w:val="both"/>
        <w:rPr>
          <w:lang w:val="en-GB"/>
        </w:rPr>
      </w:pPr>
      <w:r>
        <w:rPr>
          <w:lang w:val="en-GB"/>
        </w:rPr>
        <w:t>Personal Reflection</w:t>
      </w:r>
      <w:bookmarkEnd w:id="21"/>
    </w:p>
    <w:p>
      <w:pPr>
        <w:pStyle w:val="style0"/>
        <w:spacing w:lineRule="auto" w:line="360"/>
        <w:jc w:val="both"/>
        <w:rPr>
          <w:lang w:val="en-GB"/>
        </w:rPr>
      </w:pPr>
      <w:r>
        <w:rPr>
          <w:lang w:val="en-GB"/>
        </w:rPr>
        <w:t xml:space="preserve">My study experience in the UK has allowed me to have a rich and multifaceted </w:t>
      </w:r>
      <w:r>
        <w:rPr>
          <w:lang w:val="en-GB"/>
        </w:rPr>
        <w:t>experience to learn about myself and my profession. This, along with learning techniques and exposure to multicultural classrooms and collaboration projects, has prepared me better to operate in an international work environment. This experience has helped</w:t>
      </w:r>
      <w:r>
        <w:rPr>
          <w:lang w:val="en-GB"/>
        </w:rPr>
        <w:t xml:space="preserve"> me to determine my strengths and areas of weakness in five fundamental areas of core dimensions as technology, communication, teamwork, leadership, and self-directed learning, that are important in succeeding in a globally linked labo</w:t>
      </w:r>
      <w:r>
        <w:rPr>
          <w:lang w:val="en-GB"/>
        </w:rPr>
        <w:t>u</w:t>
      </w:r>
      <w:r>
        <w:rPr>
          <w:lang w:val="en-GB"/>
        </w:rPr>
        <w:t>r market.</w:t>
      </w:r>
    </w:p>
    <w:p>
      <w:pPr>
        <w:pStyle w:val="style0"/>
        <w:spacing w:lineRule="auto" w:line="360"/>
        <w:rPr>
          <w:b/>
          <w:i/>
          <w:lang w:val="en-GB"/>
        </w:rPr>
      </w:pPr>
      <w:r>
        <w:rPr>
          <w:b/>
          <w:i/>
          <w:lang w:val="en-GB"/>
        </w:rPr>
        <w:t>1. Technol</w:t>
      </w:r>
      <w:r>
        <w:rPr>
          <w:b/>
          <w:i/>
          <w:lang w:val="en-GB"/>
        </w:rPr>
        <w:t>ogy</w:t>
      </w:r>
    </w:p>
    <w:p>
      <w:pPr>
        <w:pStyle w:val="style0"/>
        <w:spacing w:lineRule="auto" w:line="360"/>
        <w:jc w:val="both"/>
        <w:rPr>
          <w:lang w:val="en-GB"/>
        </w:rPr>
      </w:pPr>
      <w:r>
        <w:rPr>
          <w:lang w:val="en-GB"/>
        </w:rPr>
        <w:t xml:space="preserve">Technology has become one of the triggers of the modern workplace environment, and the years of my studies in the UK helped me to become much more technologically literate. The integrated system of online learning, such as Moodle, Microsoft Teams, and </w:t>
      </w:r>
      <w:r>
        <w:rPr>
          <w:lang w:val="en-GB"/>
        </w:rPr>
        <w:t>Turnitin, that I have used in my coursework has made me resilient to these new digital systems. Moreover, my proficiency in these data analytics software, such as Microsoft Excel, Power BI, and Python, has been proven in the course of my academic assignmen</w:t>
      </w:r>
      <w:r>
        <w:rPr>
          <w:lang w:val="en-GB"/>
        </w:rPr>
        <w:t xml:space="preserve">ts, which have equipped me with the skills </w:t>
      </w:r>
      <w:r>
        <w:rPr>
          <w:lang w:val="en-GB"/>
        </w:rPr>
        <w:t>for</w:t>
      </w:r>
      <w:r>
        <w:rPr>
          <w:lang w:val="en-GB"/>
        </w:rPr>
        <w:t xml:space="preserve"> a decision-making process using data in practice.</w:t>
      </w:r>
    </w:p>
    <w:p>
      <w:pPr>
        <w:pStyle w:val="style0"/>
        <w:spacing w:lineRule="auto" w:line="360"/>
        <w:jc w:val="both"/>
        <w:rPr>
          <w:lang w:val="en-GB"/>
        </w:rPr>
      </w:pPr>
      <w:r>
        <w:rPr>
          <w:lang w:val="en-GB"/>
        </w:rPr>
        <w:t>My strength is that I find it very easy to obtain new online tools and make good use of them to enhance efficiency. However, I have also realised that my aware</w:t>
      </w:r>
      <w:r>
        <w:rPr>
          <w:lang w:val="en-GB"/>
        </w:rPr>
        <w:t>ness of the newly introduced technologies and advances in the field of HR analytics and business forecasting, such as artificial intelligence (AI) and automation systems, has to be improved. In order to overcome this, I will complete online certification c</w:t>
      </w:r>
      <w:r>
        <w:rPr>
          <w:lang w:val="en-GB"/>
        </w:rPr>
        <w:t>ourses through online platforms such as Coursera and LinkedIn Learning so as to improve my technical abilities and stay current with work in a technology-directed setting.</w:t>
      </w:r>
    </w:p>
    <w:p>
      <w:pPr>
        <w:pStyle w:val="style0"/>
        <w:spacing w:lineRule="auto" w:line="360"/>
        <w:rPr>
          <w:b/>
          <w:i/>
          <w:lang w:val="en-GB"/>
        </w:rPr>
      </w:pPr>
      <w:r>
        <w:rPr>
          <w:b/>
          <w:i/>
          <w:lang w:val="en-GB"/>
        </w:rPr>
        <w:t>2. Communication</w:t>
      </w:r>
    </w:p>
    <w:p>
      <w:pPr>
        <w:pStyle w:val="style0"/>
        <w:spacing w:lineRule="auto" w:line="360"/>
        <w:jc w:val="both"/>
        <w:rPr>
          <w:lang w:val="en-GB"/>
        </w:rPr>
      </w:pPr>
      <w:r>
        <w:rPr>
          <w:lang w:val="en-GB"/>
        </w:rPr>
        <w:t>It is a must in the international setting where cross-cultural coop</w:t>
      </w:r>
      <w:r>
        <w:rPr>
          <w:lang w:val="en-GB"/>
        </w:rPr>
        <w:t>eration is the order of the day. The UK as a study place has helped me learn to express myself in a clear and respectable way when interacting with people of different cultural and linguistic orientations. Verbal and written communication is a strong aspec</w:t>
      </w:r>
      <w:r>
        <w:rPr>
          <w:lang w:val="en-GB"/>
        </w:rPr>
        <w:t xml:space="preserve">t that I have managed to develop during group discussions, class presentations, and written assignments. I have also understood how to change my communication </w:t>
      </w:r>
      <w:r>
        <w:rPr>
          <w:lang w:val="en-GB"/>
        </w:rPr>
        <w:t>style to suit the situation, which involves being sufficiently formal and minimalistic when talki</w:t>
      </w:r>
      <w:r>
        <w:rPr>
          <w:lang w:val="en-GB"/>
        </w:rPr>
        <w:t>ng to colleagues at work and more empathetic and collaborative when working with other members of the group.</w:t>
      </w:r>
    </w:p>
    <w:p>
      <w:pPr>
        <w:pStyle w:val="style0"/>
        <w:spacing w:lineRule="auto" w:line="360"/>
        <w:jc w:val="both"/>
        <w:rPr>
          <w:lang w:val="en-GB"/>
        </w:rPr>
      </w:pPr>
      <w:r>
        <w:rPr>
          <w:lang w:val="en-GB"/>
        </w:rPr>
        <w:t xml:space="preserve">The main aspect </w:t>
      </w:r>
    </w:p>
    <w:p>
      <w:pPr>
        <w:pStyle w:val="style0"/>
        <w:spacing w:lineRule="auto" w:line="360"/>
        <w:rPr>
          <w:b/>
          <w:i/>
          <w:lang w:val="en-GB"/>
        </w:rPr>
      </w:pPr>
      <w:r>
        <w:rPr>
          <w:b/>
          <w:i/>
          <w:lang w:val="en-GB"/>
        </w:rPr>
        <w:t>3. Teamwork</w:t>
      </w:r>
    </w:p>
    <w:p>
      <w:pPr>
        <w:pStyle w:val="style0"/>
        <w:spacing w:lineRule="auto" w:line="360"/>
        <w:jc w:val="both"/>
        <w:rPr>
          <w:highlight w:val="white"/>
          <w:lang w:val="en-GB"/>
        </w:rPr>
      </w:pPr>
      <w:r>
        <w:rPr>
          <w:lang w:val="en-GB"/>
        </w:rPr>
        <w:t xml:space="preserve">The aspect of teamwork </w:t>
      </w:r>
      <w:r>
        <w:rPr>
          <w:highlight w:val="white"/>
          <w:lang w:val="en-GB"/>
        </w:rPr>
        <w:t>has formed part of my studies in the UK. I have developed teamwork skills when cooperating with</w:t>
      </w:r>
      <w:r>
        <w:rPr>
          <w:highlight w:val="white"/>
          <w:lang w:val="en-GB"/>
        </w:rPr>
        <w:t xml:space="preserve"> various people whose work styles, values, and problem-solving styles are different, working in groups, and working on case studies. These experiences have helped me acquire good interpersonal and conflict-resolving skills. I have come to realise that incl</w:t>
      </w:r>
      <w:r>
        <w:rPr>
          <w:highlight w:val="white"/>
          <w:lang w:val="en-GB"/>
        </w:rPr>
        <w:t>usivity, flexibility, and collective responsibility are important in teams.</w:t>
      </w:r>
    </w:p>
    <w:p>
      <w:pPr>
        <w:pStyle w:val="style0"/>
        <w:spacing w:lineRule="auto" w:line="360"/>
        <w:jc w:val="both"/>
        <w:rPr>
          <w:lang w:val="en-GB"/>
        </w:rPr>
      </w:pPr>
      <w:r>
        <w:rPr>
          <w:highlight w:val="white"/>
          <w:lang w:val="en-GB"/>
        </w:rPr>
        <w:t xml:space="preserve">My asset is a team-building attitude, and I am able to get on well with members of my team to ensure that I have a trusted group of people working towards a common goal. </w:t>
      </w:r>
      <w:r>
        <w:rPr>
          <w:color w:val="222222"/>
          <w:highlight w:val="white"/>
          <w:lang w:val="en-GB"/>
        </w:rPr>
        <w:t>However, I</w:t>
      </w:r>
      <w:r>
        <w:rPr>
          <w:color w:val="222222"/>
          <w:highlight w:val="white"/>
          <w:lang w:val="en-GB"/>
        </w:rPr>
        <w:t xml:space="preserve"> know that sometimes I am too responsible to ensure each team is a success, and this can lead to overextension. In turn, I would also wish to work on my delegation skills by setting more specific tasks and making others engage in their work. This will enab</w:t>
      </w:r>
      <w:r>
        <w:rPr>
          <w:color w:val="222222"/>
          <w:highlight w:val="white"/>
          <w:lang w:val="en-GB"/>
        </w:rPr>
        <w:t>le me to play more strategic and sustainable roles in professional teams</w:t>
      </w:r>
    </w:p>
    <w:p>
      <w:pPr>
        <w:pStyle w:val="style0"/>
        <w:spacing w:lineRule="auto" w:line="360"/>
        <w:rPr>
          <w:b/>
          <w:i/>
          <w:lang w:val="en-GB"/>
        </w:rPr>
      </w:pPr>
      <w:r>
        <w:rPr>
          <w:b/>
          <w:i/>
          <w:lang w:val="en-GB"/>
        </w:rPr>
        <w:t>4. Leadership</w:t>
      </w:r>
    </w:p>
    <w:p>
      <w:pPr>
        <w:pStyle w:val="style0"/>
        <w:spacing w:lineRule="auto" w:line="360"/>
        <w:jc w:val="both"/>
        <w:rPr>
          <w:lang w:val="en-GB"/>
        </w:rPr>
      </w:pPr>
      <w:r>
        <w:rPr>
          <w:color w:val="222222"/>
          <w:highlight w:val="white"/>
          <w:lang w:val="en-GB"/>
        </w:rPr>
        <w:t>It is important to remember that being a leader in a global arena implies the possession of vision, the ability to empathise, and the opportunity to accommodate diversit</w:t>
      </w:r>
      <w:r>
        <w:rPr>
          <w:color w:val="222222"/>
          <w:highlight w:val="white"/>
          <w:lang w:val="en-GB"/>
        </w:rPr>
        <w:t>y. I was also able to assume leadership roles in group activities during my studies, and I coordinated and motivated other students, as well as ensuring that deadlines were met. The experiences enhanced my organisational abilities and the ability to lead d</w:t>
      </w:r>
      <w:r>
        <w:rPr>
          <w:color w:val="222222"/>
          <w:highlight w:val="white"/>
          <w:lang w:val="en-GB"/>
        </w:rPr>
        <w:t>ifferent teams. My leadership style was participative, which presupposed open discussion and respect for the contributions of each of the members. This strategy enhanced the team unity and performance.</w:t>
      </w:r>
      <w:r>
        <w:rPr>
          <w:lang w:val="en-GB"/>
        </w:rPr>
        <w:t xml:space="preserve"> </w:t>
      </w:r>
    </w:p>
    <w:p>
      <w:pPr>
        <w:pStyle w:val="style0"/>
        <w:spacing w:lineRule="auto" w:line="360"/>
        <w:jc w:val="both"/>
        <w:rPr>
          <w:lang w:val="en-GB"/>
        </w:rPr>
      </w:pPr>
      <w:r>
        <w:rPr>
          <w:lang w:val="en-GB"/>
        </w:rPr>
        <w:t xml:space="preserve">My primary leadership </w:t>
      </w:r>
      <w:r>
        <w:rPr>
          <w:color w:val="222222"/>
          <w:highlight w:val="white"/>
          <w:lang w:val="en-GB"/>
        </w:rPr>
        <w:t>capability is that my team spir</w:t>
      </w:r>
      <w:r>
        <w:rPr>
          <w:color w:val="222222"/>
          <w:highlight w:val="white"/>
          <w:lang w:val="en-GB"/>
        </w:rPr>
        <w:t xml:space="preserve">it leads to cooperation and a good atmosphere of working atmosphere. </w:t>
      </w:r>
      <w:r>
        <w:rPr>
          <w:color w:val="222222"/>
          <w:highlight w:val="white"/>
          <w:lang w:val="en-GB"/>
        </w:rPr>
        <w:t>However,</w:t>
      </w:r>
      <w:r>
        <w:rPr>
          <w:color w:val="222222"/>
          <w:highlight w:val="white"/>
          <w:lang w:val="en-GB"/>
        </w:rPr>
        <w:t xml:space="preserve"> I do understand that I still have much to learn about making sound decisions, especially in a pressure situation. In other cases, my tendency to achieve a consensus postponed crucial decisions. To improve on this, I will improve my strategic thinking and </w:t>
      </w:r>
      <w:r>
        <w:rPr>
          <w:color w:val="222222"/>
          <w:highlight w:val="white"/>
          <w:lang w:val="en-GB"/>
        </w:rPr>
        <w:t>situational leadership skills by taking mentorship and leadership training programmes. Professional volunteering experiences or becoming a student leader will also assist me in putting these lessons into practice.</w:t>
      </w:r>
    </w:p>
    <w:p>
      <w:pPr>
        <w:pStyle w:val="style0"/>
        <w:spacing w:lineRule="auto" w:line="360"/>
        <w:rPr>
          <w:b/>
          <w:i/>
          <w:lang w:val="en-GB"/>
        </w:rPr>
      </w:pPr>
      <w:r>
        <w:rPr>
          <w:b/>
          <w:i/>
          <w:lang w:val="en-GB"/>
        </w:rPr>
        <w:t>5. Self-directed learning</w:t>
      </w:r>
    </w:p>
    <w:p>
      <w:pPr>
        <w:pStyle w:val="style0"/>
        <w:spacing w:lineRule="auto" w:line="360"/>
        <w:jc w:val="both"/>
        <w:rPr>
          <w:lang w:val="en-GB"/>
        </w:rPr>
      </w:pPr>
      <w:r>
        <w:rPr>
          <w:lang w:val="en-GB"/>
        </w:rPr>
        <w:t>The higher educa</w:t>
      </w:r>
      <w:r>
        <w:rPr>
          <w:lang w:val="en-GB"/>
        </w:rPr>
        <w:t xml:space="preserve">tion system </w:t>
      </w:r>
      <w:r>
        <w:rPr>
          <w:color w:val="222222"/>
          <w:highlight w:val="white"/>
          <w:lang w:val="en-GB"/>
        </w:rPr>
        <w:t>in the UK has been characterized by self-directed learning and assignments with critical thinking, independent research, and reflective practice. I have also learned to manage my time, set learning objectives, and review my progress critically.</w:t>
      </w:r>
      <w:r>
        <w:rPr>
          <w:color w:val="222222"/>
          <w:highlight w:val="white"/>
          <w:lang w:val="en-GB"/>
        </w:rPr>
        <w:t xml:space="preserve"> The competency has helped me to adjust to emerging academic and work-related demands quickly. I am also a strong individual who is proactive and resourceful in the pursuit of information and feedback.</w:t>
      </w:r>
      <w:r>
        <w:rPr>
          <w:lang w:val="en-GB"/>
        </w:rPr>
        <w:t xml:space="preserve"> </w:t>
      </w:r>
    </w:p>
    <w:p>
      <w:pPr>
        <w:pStyle w:val="style0"/>
        <w:spacing w:lineRule="auto" w:line="360"/>
        <w:jc w:val="both"/>
        <w:rPr>
          <w:lang w:val="en-GB"/>
        </w:rPr>
      </w:pPr>
      <w:r>
        <w:rPr>
          <w:lang w:val="en-GB"/>
        </w:rPr>
        <w:t xml:space="preserve">Nevertheless, </w:t>
      </w:r>
      <w:r>
        <w:rPr>
          <w:color w:val="222222"/>
          <w:highlight w:val="white"/>
          <w:lang w:val="en-GB"/>
        </w:rPr>
        <w:t>I admit that there are moments when I f</w:t>
      </w:r>
      <w:r>
        <w:rPr>
          <w:color w:val="222222"/>
          <w:highlight w:val="white"/>
          <w:lang w:val="en-GB"/>
        </w:rPr>
        <w:t>ace certain difficulties in prioritising several tasks, especially trying to balance between academic work and extracurricular activities. In order to become better, I will enhance my time management by working with digital planning tools, which include Tr</w:t>
      </w:r>
      <w:r>
        <w:rPr>
          <w:color w:val="222222"/>
          <w:highlight w:val="white"/>
          <w:lang w:val="en-GB"/>
        </w:rPr>
        <w:t xml:space="preserve">ello and Notion, and realistic and measurable goal setting. On top of it, I will keep a learning journal to trace my improvement and keep on refining my methods of learning. </w:t>
      </w:r>
    </w:p>
    <w:bookmarkStart w:id="22" w:name="_bpudbjapqrea" w:colFirst="0" w:colLast="0"/>
    <w:bookmarkStart w:id="23" w:name="_Toc213171308"/>
    <w:bookmarkEnd w:id="22"/>
    <w:p>
      <w:pPr>
        <w:pStyle w:val="style1"/>
        <w:spacing w:lineRule="auto" w:line="360"/>
        <w:jc w:val="both"/>
        <w:rPr>
          <w:lang w:val="en-GB"/>
        </w:rPr>
      </w:pPr>
      <w:r>
        <w:rPr>
          <w:lang w:val="en-GB"/>
        </w:rPr>
        <w:t>Conclusion</w:t>
      </w:r>
      <w:bookmarkEnd w:id="23"/>
    </w:p>
    <w:p>
      <w:pPr>
        <w:pStyle w:val="style0"/>
        <w:spacing w:lineRule="auto" w:line="360"/>
        <w:jc w:val="both"/>
        <w:rPr>
          <w:lang w:val="en-GB"/>
        </w:rPr>
      </w:pPr>
      <w:r>
        <w:rPr>
          <w:color w:val="222222"/>
          <w:highlight w:val="white"/>
          <w:lang w:val="en-GB"/>
        </w:rPr>
        <w:t>In total, it can be stated that the study experience and the United Ki</w:t>
      </w:r>
      <w:r>
        <w:rPr>
          <w:color w:val="222222"/>
          <w:highlight w:val="white"/>
          <w:lang w:val="en-GB"/>
        </w:rPr>
        <w:t>ngdom provide substantial prepositions to the person regarding the readiness to work under the conditions of the international environment. Cross-cultural communication skills, digital literacy, and teamwork abilities have been greatly enhanced, and leader</w:t>
      </w:r>
      <w:r>
        <w:rPr>
          <w:color w:val="222222"/>
          <w:highlight w:val="white"/>
          <w:lang w:val="en-GB"/>
        </w:rPr>
        <w:t>ship and self-directed learning skills have been developed. Some more attention is still paid to some areas, such as the aggressiveness in communication, the ability to make decisions when it is important, and highly technical skills. These areas can be co</w:t>
      </w:r>
      <w:r>
        <w:rPr>
          <w:color w:val="222222"/>
          <w:highlight w:val="white"/>
          <w:lang w:val="en-GB"/>
        </w:rPr>
        <w:t>mpetently dealt with through professional training, reflective practice, and learning by experience.</w:t>
      </w:r>
      <w:r>
        <w:rPr>
          <w:lang w:val="en-GB"/>
        </w:rPr>
        <w:t xml:space="preserve"> </w:t>
      </w:r>
    </w:p>
    <w:bookmarkStart w:id="24" w:name="_o7zc2ybjf3mq" w:colFirst="0" w:colLast="0"/>
    <w:bookmarkEnd w:id="24"/>
    <w:p>
      <w:pPr>
        <w:pStyle w:val="style1"/>
        <w:spacing w:lineRule="auto" w:line="360"/>
        <w:rPr>
          <w:lang w:val="en-GB"/>
        </w:rPr>
      </w:pPr>
      <w:r>
        <w:rPr>
          <w:lang w:val="en-GB"/>
        </w:rPr>
        <w:br w:type="page"/>
      </w:r>
    </w:p>
    <w:bookmarkStart w:id="25" w:name="_5nvc4pgxzjci" w:colFirst="0" w:colLast="0"/>
    <w:bookmarkStart w:id="26" w:name="_Toc213171309"/>
    <w:bookmarkEnd w:id="25"/>
    <w:p>
      <w:pPr>
        <w:pStyle w:val="style1"/>
        <w:spacing w:lineRule="auto" w:line="360"/>
        <w:rPr>
          <w:lang w:val="en-GB"/>
        </w:rPr>
      </w:pPr>
      <w:r>
        <w:rPr>
          <w:lang w:val="en-GB"/>
        </w:rPr>
        <w:t>List of References</w:t>
      </w:r>
      <w:bookmarkEnd w:id="26"/>
    </w:p>
    <w:p>
      <w:pPr>
        <w:pStyle w:val="style0"/>
        <w:spacing w:lineRule="auto" w:line="360"/>
        <w:jc w:val="both"/>
        <w:rPr>
          <w:color w:val="222222"/>
          <w:highlight w:val="white"/>
          <w:lang w:val="en-GB"/>
        </w:rPr>
      </w:pPr>
      <w:r>
        <w:rPr>
          <w:highlight w:val="white"/>
          <w:lang w:val="en-GB"/>
        </w:rPr>
        <w:t xml:space="preserve">Bhaskar, P., Joshi, A. and Chopra, G., (2021). Career growth and development: the buzzword is continuing education. </w:t>
      </w:r>
      <w:r>
        <w:rPr>
          <w:i/>
          <w:highlight w:val="white"/>
          <w:lang w:val="en-GB"/>
        </w:rPr>
        <w:t>International Journal of Knowledge and Learning</w:t>
      </w:r>
      <w:r>
        <w:rPr>
          <w:highlight w:val="white"/>
          <w:lang w:val="en-GB"/>
        </w:rPr>
        <w:t xml:space="preserve">, </w:t>
      </w:r>
      <w:r>
        <w:rPr>
          <w:i/>
          <w:highlight w:val="white"/>
          <w:lang w:val="en-GB"/>
        </w:rPr>
        <w:t>14</w:t>
      </w:r>
      <w:r>
        <w:rPr>
          <w:highlight w:val="white"/>
          <w:lang w:val="en-GB"/>
        </w:rPr>
        <w:t>(1), pp.39-62.</w:t>
      </w:r>
      <w:r>
        <w:rPr/>
        <w:fldChar w:fldCharType="begin"/>
      </w:r>
      <w:r>
        <w:instrText xml:space="preserve"> HYPERLINK "https://www.researchgate.net/profile/Preeti-Bhaskar/publication/351610149_Career_growth_and_development_The_buzzword_is_continuing_education/links/667a495f1dec0c3c6fa30bdf/Career-growth-and-development-The-buzzword-is-continuing-education.pdf" </w:instrText>
      </w:r>
      <w:r>
        <w:rPr/>
        <w:fldChar w:fldCharType="separate"/>
      </w:r>
      <w:r>
        <w:rPr>
          <w:color w:val="1155cc"/>
          <w:highlight w:val="white"/>
          <w:u w:val="single"/>
          <w:lang w:val="en-GB"/>
        </w:rPr>
        <w:t>https://www.researchgate.net/profile/Preeti-Bhaskar/publication/351610149_Career_growth_and_development_The_buzzword_is_continuing_education/links/667a495f1dec0c3c6fa30bdf/Career-growth-and-development-The-buzzword-is-continuing-education.pdf</w:t>
      </w:r>
      <w:r>
        <w:rPr/>
        <w:fldChar w:fldCharType="end"/>
      </w:r>
      <w:r>
        <w:rPr>
          <w:color w:val="222222"/>
          <w:highlight w:val="white"/>
          <w:lang w:val="en-GB"/>
        </w:rPr>
        <w:t xml:space="preserve"> </w:t>
      </w:r>
    </w:p>
    <w:p>
      <w:pPr>
        <w:pStyle w:val="style0"/>
        <w:spacing w:lineRule="auto" w:line="360"/>
        <w:jc w:val="both"/>
        <w:rPr>
          <w:color w:val="222222"/>
          <w:highlight w:val="white"/>
          <w:lang w:val="en-GB"/>
        </w:rPr>
      </w:pPr>
      <w:r>
        <w:rPr>
          <w:color w:val="222222"/>
          <w:highlight w:val="white"/>
          <w:lang w:val="en-GB"/>
        </w:rPr>
        <w:t xml:space="preserve">Brown, D.M., (2025). How internal marketing can increase the satisfaction and retention of Generation Z employees in the banking sector. </w:t>
      </w:r>
      <w:r>
        <w:rPr>
          <w:i/>
          <w:color w:val="222222"/>
          <w:highlight w:val="white"/>
          <w:lang w:val="en-GB"/>
        </w:rPr>
        <w:t>International Journal of Bank Marketing</w:t>
      </w:r>
      <w:r>
        <w:rPr>
          <w:color w:val="222222"/>
          <w:highlight w:val="white"/>
          <w:lang w:val="en-GB"/>
        </w:rPr>
        <w:t xml:space="preserve">, </w:t>
      </w:r>
      <w:r>
        <w:rPr>
          <w:i/>
          <w:color w:val="222222"/>
          <w:highlight w:val="white"/>
          <w:lang w:val="en-GB"/>
        </w:rPr>
        <w:t>43</w:t>
      </w:r>
      <w:r>
        <w:rPr>
          <w:color w:val="222222"/>
          <w:highlight w:val="white"/>
          <w:lang w:val="en-GB"/>
        </w:rPr>
        <w:t xml:space="preserve">(5), pp.1122-1145. </w:t>
      </w:r>
      <w:r>
        <w:rPr/>
        <w:fldChar w:fldCharType="begin"/>
      </w:r>
      <w:r>
        <w:instrText xml:space="preserve"> HYPERLINK "https://www.emerald.com/ijbm/article-abstract/43/5/1122/1246455/How-internal-marketing-can-increase-the?redirectedFrom=fulltext" </w:instrText>
      </w:r>
      <w:r>
        <w:rPr/>
        <w:fldChar w:fldCharType="separate"/>
      </w:r>
      <w:r>
        <w:rPr>
          <w:color w:val="1155cc"/>
          <w:highlight w:val="white"/>
          <w:u w:val="single"/>
          <w:lang w:val="en-GB"/>
        </w:rPr>
        <w:t>https://www.emerald.com/ijbm/article-abstract/43/5/1122/1246455/How-internal-marketing-can-increase-the?redirectedFrom=fulltext</w:t>
      </w:r>
      <w:r>
        <w:rPr/>
        <w:fldChar w:fldCharType="end"/>
      </w:r>
      <w:r>
        <w:rPr>
          <w:color w:val="222222"/>
          <w:highlight w:val="white"/>
          <w:lang w:val="en-GB"/>
        </w:rPr>
        <w:t xml:space="preserve"> </w:t>
      </w:r>
    </w:p>
    <w:p>
      <w:pPr>
        <w:pStyle w:val="style0"/>
        <w:spacing w:lineRule="auto" w:line="360"/>
        <w:jc w:val="both"/>
        <w:rPr>
          <w:color w:val="222222"/>
          <w:highlight w:val="white"/>
          <w:lang w:val="en-GB"/>
        </w:rPr>
      </w:pPr>
      <w:r>
        <w:rPr>
          <w:color w:val="222222"/>
          <w:highlight w:val="white"/>
          <w:lang w:val="en-GB"/>
        </w:rPr>
        <w:t xml:space="preserve">Caligiuri, P., De Cieri, H., </w:t>
      </w:r>
      <w:r>
        <w:rPr>
          <w:color w:val="222222"/>
          <w:highlight w:val="white"/>
          <w:lang w:val="en-GB"/>
        </w:rPr>
        <w:t>Minbaeva</w:t>
      </w:r>
      <w:r>
        <w:rPr>
          <w:color w:val="222222"/>
          <w:highlight w:val="white"/>
          <w:lang w:val="en-GB"/>
        </w:rPr>
        <w:t xml:space="preserve">, D., Verbeke, A. and Zimmermann, A., (2022). International HRM insights for navigating the COVID-19 pandemic: Implications for future research and practice. In </w:t>
      </w:r>
      <w:r>
        <w:rPr>
          <w:i/>
          <w:color w:val="222222"/>
          <w:highlight w:val="white"/>
          <w:lang w:val="en-GB"/>
        </w:rPr>
        <w:t>Crises and disruptions in international business: How multinational enterprises respond to crises</w:t>
      </w:r>
      <w:r>
        <w:rPr>
          <w:color w:val="222222"/>
          <w:highlight w:val="white"/>
          <w:lang w:val="en-GB"/>
        </w:rPr>
        <w:t xml:space="preserve"> (pp. 417-454). Cham: Springer International Publishing. </w:t>
      </w:r>
      <w:r>
        <w:rPr/>
        <w:fldChar w:fldCharType="begin"/>
      </w:r>
      <w:r>
        <w:instrText xml:space="preserve"> HYPERLINK "https://pmc.ncbi.nlm.nih.gov/articles/PMC7266413/pdf/41267_2020_Article_335.pdf" </w:instrText>
      </w:r>
      <w:r>
        <w:rPr/>
        <w:fldChar w:fldCharType="separate"/>
      </w:r>
      <w:r>
        <w:rPr>
          <w:color w:val="1155cc"/>
          <w:highlight w:val="white"/>
          <w:u w:val="single"/>
          <w:lang w:val="en-GB"/>
        </w:rPr>
        <w:t>https://pmc.ncbi.nlm.nih.gov/articles/PMC7266413/pdf/41267_2020_Article_335.pdf</w:t>
      </w:r>
      <w:r>
        <w:rPr/>
        <w:fldChar w:fldCharType="end"/>
      </w:r>
      <w:r>
        <w:rPr>
          <w:color w:val="222222"/>
          <w:highlight w:val="white"/>
          <w:lang w:val="en-GB"/>
        </w:rPr>
        <w:t xml:space="preserve"> </w:t>
      </w:r>
    </w:p>
    <w:p>
      <w:pPr>
        <w:pStyle w:val="style0"/>
        <w:spacing w:lineRule="auto" w:line="360"/>
        <w:jc w:val="both"/>
        <w:rPr>
          <w:color w:val="222222"/>
          <w:highlight w:val="white"/>
          <w:lang w:val="en-GB"/>
        </w:rPr>
      </w:pPr>
      <w:r>
        <w:rPr>
          <w:highlight w:val="white"/>
          <w:lang w:val="en-GB"/>
        </w:rPr>
        <w:t xml:space="preserve">Devi, R.S. and Perumandla, S., (2024). Revolutionizing Recruitment: Skill-Based Interview Models in the Artificial Intelligence-Driven Economy. In </w:t>
      </w:r>
      <w:r>
        <w:rPr>
          <w:i/>
          <w:highlight w:val="white"/>
          <w:lang w:val="en-GB"/>
        </w:rPr>
        <w:t>AI-Oriented Competency Framework for Talent Management in the Digital Economy</w:t>
      </w:r>
      <w:r>
        <w:rPr>
          <w:highlight w:val="white"/>
          <w:lang w:val="en-GB"/>
        </w:rPr>
        <w:t xml:space="preserve"> (pp. 256-267). CRC Press</w:t>
      </w:r>
      <w:r>
        <w:rPr>
          <w:color w:val="222222"/>
          <w:highlight w:val="white"/>
          <w:lang w:val="en-GB"/>
        </w:rPr>
        <w:t xml:space="preserve">. </w:t>
      </w:r>
      <w:r>
        <w:rPr/>
        <w:fldChar w:fldCharType="begin"/>
      </w:r>
      <w:r>
        <w:instrText xml:space="preserve"> HYPERLINK "https://www.taylorfrancis.com/chapters/edit/10.1201/9781003440901-16/revolutionizing-recruitment-sharmila-devi-swamy-perumandla" </w:instrText>
      </w:r>
      <w:r>
        <w:rPr/>
        <w:fldChar w:fldCharType="separate"/>
      </w:r>
      <w:r>
        <w:rPr>
          <w:color w:val="1155cc"/>
          <w:highlight w:val="white"/>
          <w:u w:val="single"/>
          <w:lang w:val="en-GB"/>
        </w:rPr>
        <w:t>https://www.taylorfrancis.com/chapters/edit/10.1201/9781003440901-16/revolutionizing-recruitment-sharmila-devi-swamy-perumandla</w:t>
      </w:r>
      <w:r>
        <w:rPr/>
        <w:fldChar w:fldCharType="end"/>
      </w:r>
      <w:r>
        <w:rPr>
          <w:color w:val="222222"/>
          <w:highlight w:val="white"/>
          <w:lang w:val="en-GB"/>
        </w:rPr>
        <w:t xml:space="preserve"> </w:t>
      </w:r>
    </w:p>
    <w:p>
      <w:pPr>
        <w:pStyle w:val="style0"/>
        <w:spacing w:lineRule="auto" w:line="360"/>
        <w:jc w:val="both"/>
        <w:rPr>
          <w:color w:val="222222"/>
          <w:highlight w:val="white"/>
          <w:lang w:val="en-GB"/>
        </w:rPr>
      </w:pPr>
      <w:r>
        <w:rPr>
          <w:highlight w:val="white"/>
          <w:lang w:val="en-GB"/>
        </w:rPr>
        <w:t xml:space="preserve">Ezeafulukwe, C., </w:t>
      </w:r>
      <w:r>
        <w:rPr>
          <w:highlight w:val="white"/>
          <w:lang w:val="en-GB"/>
        </w:rPr>
        <w:t>Onyekwelu</w:t>
      </w:r>
      <w:r>
        <w:rPr>
          <w:highlight w:val="white"/>
          <w:lang w:val="en-GB"/>
        </w:rPr>
        <w:t xml:space="preserve">, S.C., </w:t>
      </w:r>
      <w:r>
        <w:rPr>
          <w:highlight w:val="white"/>
          <w:lang w:val="en-GB"/>
        </w:rPr>
        <w:t>Onyekwelu</w:t>
      </w:r>
      <w:r>
        <w:rPr>
          <w:highlight w:val="white"/>
          <w:lang w:val="en-GB"/>
        </w:rPr>
        <w:t xml:space="preserve">, N.P., Ike, C.U., Bello, B.G. and </w:t>
      </w:r>
      <w:r>
        <w:rPr>
          <w:highlight w:val="white"/>
          <w:lang w:val="en-GB"/>
        </w:rPr>
        <w:t>Asuzu</w:t>
      </w:r>
      <w:r>
        <w:rPr>
          <w:highlight w:val="white"/>
          <w:lang w:val="en-GB"/>
        </w:rPr>
        <w:t xml:space="preserve">, F.O., (2024). Best practices in human resources for inclusive employment: An in-depth review. </w:t>
      </w:r>
      <w:r>
        <w:rPr>
          <w:i/>
          <w:highlight w:val="white"/>
          <w:lang w:val="en-GB"/>
        </w:rPr>
        <w:t>International Journal of Science and Research Archive</w:t>
      </w:r>
      <w:r>
        <w:rPr>
          <w:highlight w:val="white"/>
          <w:lang w:val="en-GB"/>
        </w:rPr>
        <w:t xml:space="preserve">, </w:t>
      </w:r>
      <w:r>
        <w:rPr>
          <w:i/>
          <w:highlight w:val="white"/>
          <w:lang w:val="en-GB"/>
        </w:rPr>
        <w:t>11</w:t>
      </w:r>
      <w:r>
        <w:rPr>
          <w:highlight w:val="white"/>
          <w:lang w:val="en-GB"/>
        </w:rPr>
        <w:t>(1), pp.1286-1293.</w:t>
      </w:r>
      <w:r>
        <w:rPr/>
        <w:fldChar w:fldCharType="begin"/>
      </w:r>
      <w:r>
        <w:instrText xml:space="preserve"> HYPERLINK "https://www.researchgate.net/profile/Njideka-Onyekwelu-2/publication/378125970_Best_practices_in_human_resources_for_inclusive_employment_An_in-depth_review/links/65c7e28f34bbff5ba7fb831a/Best-practices-in-human-resources-for-inclusive-employment-An-in-depth-review.pdf" </w:instrText>
      </w:r>
      <w:r>
        <w:rPr/>
        <w:fldChar w:fldCharType="separate"/>
      </w:r>
      <w:r>
        <w:rPr>
          <w:color w:val="1155cc"/>
          <w:highlight w:val="white"/>
          <w:u w:val="single"/>
          <w:lang w:val="en-GB"/>
        </w:rPr>
        <w:t>https://www.researchgate.net/profile/Njideka-Onyekwelu-2/publication/378125970_Best_practices_in_human_resources_for_inclusive_employment_An_in-depth_review/links/65c7e28f34bbff5ba7fb831a/Best-practices-in-human-resources-for-inclusive-employment-An-in-depth-review.pdf</w:t>
      </w:r>
      <w:r>
        <w:rPr/>
        <w:fldChar w:fldCharType="end"/>
      </w:r>
      <w:r>
        <w:rPr>
          <w:color w:val="222222"/>
          <w:highlight w:val="white"/>
          <w:lang w:val="en-GB"/>
        </w:rPr>
        <w:t xml:space="preserve"> </w:t>
      </w:r>
    </w:p>
    <w:p>
      <w:pPr>
        <w:pStyle w:val="style0"/>
        <w:spacing w:lineRule="auto" w:line="360"/>
        <w:jc w:val="both"/>
        <w:rPr>
          <w:color w:val="222222"/>
          <w:highlight w:val="white"/>
          <w:lang w:val="en-GB"/>
        </w:rPr>
      </w:pPr>
      <w:r>
        <w:rPr>
          <w:color w:val="222222"/>
          <w:highlight w:val="white"/>
          <w:lang w:val="en-GB"/>
        </w:rPr>
        <w:t xml:space="preserve">Lakshmi, S., </w:t>
      </w:r>
      <w:r>
        <w:rPr>
          <w:color w:val="222222"/>
          <w:highlight w:val="white"/>
          <w:lang w:val="en-GB"/>
        </w:rPr>
        <w:t>Durgude</w:t>
      </w:r>
      <w:r>
        <w:rPr>
          <w:color w:val="222222"/>
          <w:highlight w:val="white"/>
          <w:lang w:val="en-GB"/>
        </w:rPr>
        <w:t xml:space="preserve">, U. and Chitra, V., (2024). THE ROLE OF UPSKILLING AND RESKILLING FOR TALENT TRANSFORMATION IN THE ERA OF AI; THEORETICAL FRAMEWORK AND FUTURE RESEARCH DIRECTIONS. </w:t>
      </w:r>
      <w:r>
        <w:rPr>
          <w:i/>
          <w:color w:val="222222"/>
          <w:highlight w:val="white"/>
          <w:lang w:val="en-GB"/>
        </w:rPr>
        <w:t>Weser Books</w:t>
      </w:r>
      <w:r>
        <w:rPr>
          <w:color w:val="222222"/>
          <w:highlight w:val="white"/>
          <w:lang w:val="en-GB"/>
        </w:rPr>
        <w:t xml:space="preserve">, </w:t>
      </w:r>
      <w:r>
        <w:rPr>
          <w:color w:val="222222"/>
          <w:highlight w:val="white"/>
          <w:lang w:val="en-GB"/>
        </w:rPr>
        <w:t>p.198.</w:t>
      </w:r>
      <w:r>
        <w:rPr/>
        <w:fldChar w:fldCharType="begin"/>
      </w:r>
      <w:r>
        <w:instrText xml:space="preserve"> HYPERLINK "https://www.researchgate.net/profile/Uma-Durgude-2/publication/388103832_THE_ROLE_OF_UPSKILLING_AND_RESKILLING_FOR_TALENT_TRANSFORMATION_IN_THE_ERA_OF_AI_THEORETICAL_FRAMEWORK_AND_FUTURE_RESEARCH_DIRECTIONS/links/678a15deec3ae3435a67bb57/THE-ROLE-OF-UPSKILLING-AND-RESKILLING-FOR-TALENT-TRANSFORMATION-IN-THE-ERA-OF-AI-THEORETICAL-FRAMEWORK-AND-FUTURE-RESEARCH-DIRECTIONS.pdf" \l "page=207" </w:instrText>
      </w:r>
      <w:r>
        <w:rPr/>
        <w:fldChar w:fldCharType="separate"/>
      </w:r>
      <w:r>
        <w:rPr>
          <w:color w:val="1155cc"/>
          <w:highlight w:val="white"/>
          <w:u w:val="single"/>
          <w:lang w:val="en-GB"/>
        </w:rPr>
        <w:t>https://www.researchgate.net/profile/Uma-Durgude-2/publication/388103832_THE_ROLE_OF_UPSKILLING_AND_RESKILLING_FOR_TALENT_TRANSFORMATION_IN_THE_ERA_OF_AI_THEORETICAL_FRAMEWORK_AND_FUTURE_RESEARCH_DIRECTIONS/links/678a15deec3ae3435a67bb57/THE-ROLE-OF-UPSKILLING-AND-RESKILLING-FOR-TALENT-TRANSFORMATION-IN-THE-ERA-OF-AI-THEORETICAL-FRAMEWORK-AND-FUTURE-RESEARCH-DIRECTIONS.pdf#page=207</w:t>
      </w:r>
      <w:r>
        <w:rPr/>
        <w:fldChar w:fldCharType="end"/>
      </w:r>
      <w:r>
        <w:rPr>
          <w:color w:val="222222"/>
          <w:highlight w:val="white"/>
          <w:lang w:val="en-GB"/>
        </w:rPr>
        <w:t xml:space="preserve"> </w:t>
      </w:r>
    </w:p>
    <w:p>
      <w:pPr>
        <w:pStyle w:val="style0"/>
        <w:spacing w:lineRule="auto" w:line="360"/>
        <w:jc w:val="both"/>
        <w:rPr>
          <w:color w:val="222222"/>
          <w:highlight w:val="white"/>
          <w:lang w:val="en-GB"/>
        </w:rPr>
      </w:pPr>
      <w:r>
        <w:rPr>
          <w:highlight w:val="white"/>
          <w:lang w:val="en-GB"/>
        </w:rPr>
        <w:t xml:space="preserve">Lima, S.A., Rahman, M.M., Bhuiyan, M.I.H. and Rahman, Z., (2025). The Role of HRM in Shaping Inclusive Cultures: Navigating Cross-Cultural D&amp;I Challenges in US Organizations. </w:t>
      </w:r>
      <w:r>
        <w:rPr>
          <w:i/>
          <w:highlight w:val="white"/>
          <w:lang w:val="en-GB"/>
        </w:rPr>
        <w:t>Journal of Business and Management Studies</w:t>
      </w:r>
      <w:r>
        <w:rPr>
          <w:highlight w:val="white"/>
          <w:lang w:val="en-GB"/>
        </w:rPr>
        <w:t xml:space="preserve">, </w:t>
      </w:r>
      <w:r>
        <w:rPr>
          <w:i/>
          <w:highlight w:val="white"/>
          <w:lang w:val="en-GB"/>
        </w:rPr>
        <w:t>7</w:t>
      </w:r>
      <w:r>
        <w:rPr>
          <w:highlight w:val="white"/>
          <w:lang w:val="en-GB"/>
        </w:rPr>
        <w:t>(1), pp.263-272.</w:t>
      </w:r>
      <w:r>
        <w:rPr/>
        <w:fldChar w:fldCharType="begin"/>
      </w:r>
      <w:r>
        <w:instrText xml:space="preserve"> HYPERLINK "https://al-kindipublishers.org/index.php/jbms/article/view/8703" </w:instrText>
      </w:r>
      <w:r>
        <w:rPr/>
        <w:fldChar w:fldCharType="separate"/>
      </w:r>
      <w:r>
        <w:rPr>
          <w:color w:val="1155cc"/>
          <w:highlight w:val="white"/>
          <w:u w:val="single"/>
          <w:lang w:val="en-GB"/>
        </w:rPr>
        <w:t>https://al-kindipublishers.org/index.php/jbms/article/view/8703</w:t>
      </w:r>
      <w:r>
        <w:rPr/>
        <w:fldChar w:fldCharType="end"/>
      </w:r>
      <w:r>
        <w:rPr>
          <w:color w:val="222222"/>
          <w:highlight w:val="white"/>
          <w:lang w:val="en-GB"/>
        </w:rPr>
        <w:t xml:space="preserve"> </w:t>
      </w:r>
    </w:p>
    <w:p>
      <w:pPr>
        <w:pStyle w:val="style0"/>
        <w:spacing w:lineRule="auto" w:line="360"/>
        <w:jc w:val="both"/>
        <w:rPr>
          <w:color w:val="222222"/>
          <w:highlight w:val="white"/>
          <w:lang w:val="en-GB"/>
        </w:rPr>
      </w:pPr>
      <w:r>
        <w:rPr>
          <w:color w:val="222222"/>
          <w:highlight w:val="white"/>
          <w:lang w:val="en-GB"/>
        </w:rPr>
        <w:t xml:space="preserve">Mehrotra, S., Allais, S., Schoer, V. and Parida, J.K., (2022). </w:t>
      </w:r>
      <w:r>
        <w:rPr>
          <w:i/>
          <w:color w:val="222222"/>
          <w:highlight w:val="white"/>
          <w:lang w:val="en-GB"/>
        </w:rPr>
        <w:t>Achieving the Sustainable Development Goals through Industrialization while Realizing the Demographic Dividend</w:t>
      </w:r>
      <w:r>
        <w:rPr>
          <w:color w:val="222222"/>
          <w:highlight w:val="white"/>
          <w:lang w:val="en-GB"/>
        </w:rPr>
        <w:t xml:space="preserve"> [online] </w:t>
      </w:r>
      <w:r>
        <w:rPr/>
        <w:fldChar w:fldCharType="begin"/>
      </w:r>
      <w:r>
        <w:instrText xml:space="preserve"> HYPERLINK "https://www.r4d.ch/SiteCollectionDocuments/r4d%20EM%20Synthesis%20Paper_Achieving%20SDGs%20through%20Industrialization%20while%20realizing%20the%20Demographic%20Dividend.pdf" </w:instrText>
      </w:r>
      <w:r>
        <w:rPr/>
        <w:fldChar w:fldCharType="separate"/>
      </w:r>
      <w:r>
        <w:rPr>
          <w:color w:val="1155cc"/>
          <w:highlight w:val="white"/>
          <w:u w:val="single"/>
          <w:lang w:val="en-GB"/>
        </w:rPr>
        <w:t>https://www.r4d.ch/SiteCollectionDocuments/r4d%20EM%20Synthesis%20Paper_Achieving%20SDGs%20through%20Industrialization%20while%20realizing%20the%20Demographic%20Dividend.pdf</w:t>
      </w:r>
      <w:r>
        <w:rPr/>
        <w:fldChar w:fldCharType="end"/>
      </w:r>
      <w:r>
        <w:rPr>
          <w:color w:val="222222"/>
          <w:highlight w:val="white"/>
          <w:lang w:val="en-GB"/>
        </w:rPr>
        <w:t xml:space="preserve"> </w:t>
      </w:r>
    </w:p>
    <w:p>
      <w:pPr>
        <w:pStyle w:val="style0"/>
        <w:spacing w:lineRule="auto" w:line="360"/>
        <w:jc w:val="both"/>
        <w:rPr>
          <w:color w:val="222222"/>
          <w:highlight w:val="white"/>
          <w:lang w:val="en-GB"/>
        </w:rPr>
      </w:pPr>
      <w:r>
        <w:rPr>
          <w:color w:val="222222"/>
          <w:highlight w:val="white"/>
          <w:lang w:val="en-GB"/>
        </w:rPr>
        <w:t>Okoye</w:t>
      </w:r>
      <w:r>
        <w:rPr>
          <w:color w:val="222222"/>
          <w:highlight w:val="white"/>
          <w:lang w:val="en-GB"/>
        </w:rPr>
        <w:t xml:space="preserve">, C.C., </w:t>
      </w:r>
      <w:r>
        <w:rPr>
          <w:color w:val="222222"/>
          <w:highlight w:val="white"/>
          <w:lang w:val="en-GB"/>
        </w:rPr>
        <w:t>Ofodile</w:t>
      </w:r>
      <w:r>
        <w:rPr>
          <w:color w:val="222222"/>
          <w:highlight w:val="white"/>
          <w:lang w:val="en-GB"/>
        </w:rPr>
        <w:t xml:space="preserve">, O.C., Tula, S.T., </w:t>
      </w:r>
      <w:r>
        <w:rPr>
          <w:color w:val="222222"/>
          <w:highlight w:val="white"/>
          <w:lang w:val="en-GB"/>
        </w:rPr>
        <w:t>Nifise</w:t>
      </w:r>
      <w:r>
        <w:rPr>
          <w:color w:val="222222"/>
          <w:highlight w:val="white"/>
          <w:lang w:val="en-GB"/>
        </w:rPr>
        <w:t xml:space="preserve">, A.O.A., </w:t>
      </w:r>
      <w:r>
        <w:rPr>
          <w:color w:val="222222"/>
          <w:highlight w:val="white"/>
          <w:lang w:val="en-GB"/>
        </w:rPr>
        <w:t>Falaiye</w:t>
      </w:r>
      <w:r>
        <w:rPr>
          <w:color w:val="222222"/>
          <w:highlight w:val="white"/>
          <w:lang w:val="en-GB"/>
        </w:rPr>
        <w:t xml:space="preserve">, T., </w:t>
      </w:r>
      <w:r>
        <w:rPr>
          <w:color w:val="222222"/>
          <w:highlight w:val="white"/>
          <w:lang w:val="en-GB"/>
        </w:rPr>
        <w:t>Ejairu</w:t>
      </w:r>
      <w:r>
        <w:rPr>
          <w:color w:val="222222"/>
          <w:highlight w:val="white"/>
          <w:lang w:val="en-GB"/>
        </w:rPr>
        <w:t xml:space="preserve">, E. and Addy, W.A., (2024). Risk management in international supply chains: A review with USA and African Cases. </w:t>
      </w:r>
      <w:r>
        <w:rPr>
          <w:i/>
          <w:color w:val="222222"/>
          <w:highlight w:val="white"/>
          <w:lang w:val="en-GB"/>
        </w:rPr>
        <w:t>Magna Scientia Advanced Research and Reviews</w:t>
      </w:r>
      <w:r>
        <w:rPr>
          <w:color w:val="222222"/>
          <w:highlight w:val="white"/>
          <w:lang w:val="en-GB"/>
        </w:rPr>
        <w:t xml:space="preserve">, </w:t>
      </w:r>
      <w:r>
        <w:rPr>
          <w:i/>
          <w:color w:val="222222"/>
          <w:highlight w:val="white"/>
          <w:lang w:val="en-GB"/>
        </w:rPr>
        <w:t>10</w:t>
      </w:r>
      <w:r>
        <w:rPr>
          <w:color w:val="222222"/>
          <w:highlight w:val="white"/>
          <w:lang w:val="en-GB"/>
        </w:rPr>
        <w:t>(1), pp.256-264.</w:t>
      </w:r>
      <w:r>
        <w:rPr/>
        <w:fldChar w:fldCharType="begin"/>
      </w:r>
      <w:r>
        <w:instrText xml:space="preserve"> HYPERLINK "https://www.researchgate.net/profile/Emuesiri-Ejairu/publication/378268185_Risk_management_in_international_supply_chains_A_review_with_USA_and_African_Cases/links/65d0696b01325d46520fcda1/Risk-management-in-international-supply-chains-A-review-with-USA-and-African-Cases.pdf" </w:instrText>
      </w:r>
      <w:r>
        <w:rPr/>
        <w:fldChar w:fldCharType="separate"/>
      </w:r>
      <w:r>
        <w:rPr>
          <w:color w:val="1155cc"/>
          <w:highlight w:val="white"/>
          <w:u w:val="single"/>
          <w:lang w:val="en-GB"/>
        </w:rPr>
        <w:t>https://www.researchgate.net/profile/Emuesiri-Ejairu/publication/378268185_Risk_management_in_international_supply_chains_A_review_with_USA_and_African_Cases/links/65d0696b01325d46520fcda1/Risk-management-in-international-supply-chains-A-review-with-USA-and-African-Cases.pdf</w:t>
      </w:r>
      <w:r>
        <w:rPr/>
        <w:fldChar w:fldCharType="end"/>
      </w:r>
      <w:r>
        <w:rPr>
          <w:color w:val="222222"/>
          <w:highlight w:val="white"/>
          <w:lang w:val="en-GB"/>
        </w:rPr>
        <w:t xml:space="preserve"> </w:t>
      </w:r>
    </w:p>
    <w:p>
      <w:pPr>
        <w:pStyle w:val="style0"/>
        <w:spacing w:lineRule="auto" w:line="360"/>
        <w:jc w:val="both"/>
        <w:rPr>
          <w:color w:val="222222"/>
          <w:highlight w:val="white"/>
          <w:lang w:val="en-GB"/>
        </w:rPr>
      </w:pPr>
      <w:r>
        <w:rPr>
          <w:color w:val="222222"/>
          <w:highlight w:val="white"/>
          <w:lang w:val="en-GB"/>
        </w:rPr>
        <w:t xml:space="preserve">Oye, E. and Emilson, L., (2024). Impact of Cloud Solutions on Remote Work Efficiency. </w:t>
      </w:r>
      <w:r>
        <w:rPr/>
        <w:fldChar w:fldCharType="begin"/>
      </w:r>
      <w:r>
        <w:instrText xml:space="preserve"> HYPERLINK "https://www.researchgate.net/profile/Emma-Oye/publication/391212301_Impact_of_Cloud_Solutions_on_Remote_Work_Efficiency/links/680e2d5cbd3f1930dd6529d3/Impact-of-Cloud-Solutions-on-Remote-Work-Efficiency.pdf" </w:instrText>
      </w:r>
      <w:r>
        <w:rPr/>
        <w:fldChar w:fldCharType="separate"/>
      </w:r>
      <w:r>
        <w:rPr>
          <w:color w:val="1155cc"/>
          <w:highlight w:val="white"/>
          <w:u w:val="single"/>
          <w:lang w:val="en-GB"/>
        </w:rPr>
        <w:t>https://www.researchgate.net/profile/Emma-Oye/publication/391212301_Impact_of_Cloud_Solutions_on_Remote_Work_Efficiency/links/680e2d5cbd3f1930dd6529d3/Impact-of-Cloud-Solutions-on-Remote-Work-Efficiency.pdf</w:t>
      </w:r>
      <w:r>
        <w:rPr/>
        <w:fldChar w:fldCharType="end"/>
      </w:r>
      <w:r>
        <w:rPr>
          <w:color w:val="222222"/>
          <w:highlight w:val="white"/>
          <w:lang w:val="en-GB"/>
        </w:rPr>
        <w:t xml:space="preserve"> </w:t>
      </w:r>
    </w:p>
    <w:p>
      <w:pPr>
        <w:pStyle w:val="style0"/>
        <w:spacing w:lineRule="auto" w:line="360"/>
        <w:jc w:val="both"/>
        <w:rPr>
          <w:color w:val="222222"/>
          <w:highlight w:val="white"/>
          <w:lang w:val="en-GB"/>
        </w:rPr>
      </w:pPr>
      <w:r>
        <w:rPr>
          <w:color w:val="222222"/>
          <w:highlight w:val="white"/>
          <w:lang w:val="en-GB"/>
        </w:rPr>
        <w:t xml:space="preserve">Patrick, W.S., Jha, J.K. and Sharma, K.G., (2023). Strategic international human resource management (SIHRM) framework: an integrated review and directions for future research. </w:t>
      </w:r>
      <w:r>
        <w:rPr>
          <w:i/>
          <w:color w:val="222222"/>
          <w:highlight w:val="white"/>
          <w:lang w:val="en-GB"/>
        </w:rPr>
        <w:t>Journal of global mobility: The home of expatriate management research</w:t>
      </w:r>
      <w:r>
        <w:rPr>
          <w:color w:val="222222"/>
          <w:highlight w:val="white"/>
          <w:lang w:val="en-GB"/>
        </w:rPr>
        <w:t xml:space="preserve">, </w:t>
      </w:r>
      <w:r>
        <w:rPr>
          <w:i/>
          <w:color w:val="222222"/>
          <w:highlight w:val="white"/>
          <w:lang w:val="en-GB"/>
        </w:rPr>
        <w:t>11</w:t>
      </w:r>
      <w:r>
        <w:rPr>
          <w:color w:val="222222"/>
          <w:highlight w:val="white"/>
          <w:lang w:val="en-GB"/>
        </w:rPr>
        <w:t>(2), pp.274-294.</w:t>
      </w:r>
      <w:r>
        <w:rPr/>
        <w:fldChar w:fldCharType="begin"/>
      </w:r>
      <w:r>
        <w:instrText xml:space="preserve"> HYPERLINK "https://www.researchgate.net/profile/Jatinder-Jha/publication/365423313_Strategic_International_Human_Resource_Management_SIHRM_Framework_An_Integrated_Review_and_Directions_for_Future_Research/links/638f2b31e42faa7e759d7d56/Strategic-International-Human-Resource-Management-SIHRM-Framework-An-Integrated-Review-and-Directions-for-Future-Research.pdf" </w:instrText>
      </w:r>
      <w:r>
        <w:rPr/>
        <w:fldChar w:fldCharType="separate"/>
      </w:r>
      <w:r>
        <w:rPr>
          <w:color w:val="1155cc"/>
          <w:highlight w:val="white"/>
          <w:u w:val="single"/>
          <w:lang w:val="en-GB"/>
        </w:rPr>
        <w:t>https://www.researchgate.net/profile/Jatinder-</w:t>
      </w:r>
      <w:r>
        <w:rPr>
          <w:color w:val="1155cc"/>
          <w:highlight w:val="white"/>
          <w:u w:val="single"/>
          <w:lang w:val="en-GB"/>
        </w:rPr>
        <w:t>Jha/publication/365423313_Strategic_International_Human_Resource_Management_SIHRM_Framework_An_Integrated_Review_and_Directions_for_Future_Research/links/638f2b31e42faa7e759d7d56/Strategic-International-Human-Resource-Management-SIHRM-Framework-An-Integrated-Review-and-Directions-for-Future-Research.pdf</w:t>
      </w:r>
      <w:r>
        <w:rPr/>
        <w:fldChar w:fldCharType="end"/>
      </w:r>
      <w:r>
        <w:rPr>
          <w:color w:val="222222"/>
          <w:highlight w:val="white"/>
          <w:lang w:val="en-GB"/>
        </w:rPr>
        <w:t xml:space="preserve"> </w:t>
      </w:r>
    </w:p>
    <w:p>
      <w:pPr>
        <w:pStyle w:val="style0"/>
        <w:spacing w:lineRule="auto" w:line="360"/>
        <w:jc w:val="both"/>
        <w:rPr>
          <w:color w:val="222222"/>
          <w:highlight w:val="white"/>
          <w:lang w:val="en-GB"/>
        </w:rPr>
      </w:pPr>
      <w:r>
        <w:rPr>
          <w:highlight w:val="white"/>
          <w:lang w:val="en-GB"/>
        </w:rPr>
        <w:t>Reiche</w:t>
      </w:r>
      <w:r>
        <w:rPr>
          <w:highlight w:val="white"/>
          <w:lang w:val="en-GB"/>
        </w:rPr>
        <w:t xml:space="preserve">, B.S., </w:t>
      </w:r>
      <w:r>
        <w:rPr>
          <w:highlight w:val="white"/>
          <w:lang w:val="en-GB"/>
        </w:rPr>
        <w:t>Harzing</w:t>
      </w:r>
      <w:r>
        <w:rPr>
          <w:highlight w:val="white"/>
          <w:lang w:val="en-GB"/>
        </w:rPr>
        <w:t xml:space="preserve">, A.W. and </w:t>
      </w:r>
      <w:r>
        <w:rPr>
          <w:highlight w:val="white"/>
          <w:lang w:val="en-GB"/>
        </w:rPr>
        <w:t>Tenzer</w:t>
      </w:r>
      <w:r>
        <w:rPr>
          <w:highlight w:val="white"/>
          <w:lang w:val="en-GB"/>
        </w:rPr>
        <w:t xml:space="preserve">, H., (2022). International human resource management. </w:t>
      </w:r>
      <w:r>
        <w:rPr/>
        <w:fldChar w:fldCharType="begin"/>
      </w:r>
      <w:r>
        <w:instrText xml:space="preserve"> HYPERLINK "https://www.torrossa.com/en/resources/an/5409518" </w:instrText>
      </w:r>
      <w:r>
        <w:rPr/>
        <w:fldChar w:fldCharType="separate"/>
      </w:r>
      <w:r>
        <w:rPr>
          <w:color w:val="1155cc"/>
          <w:highlight w:val="white"/>
          <w:u w:val="single"/>
          <w:lang w:val="en-GB"/>
        </w:rPr>
        <w:t>https://www.torrossa.com/en/resources/an/5409518</w:t>
      </w:r>
      <w:r>
        <w:rPr/>
        <w:fldChar w:fldCharType="end"/>
      </w:r>
    </w:p>
    <w:p>
      <w:pPr>
        <w:pStyle w:val="style0"/>
        <w:spacing w:lineRule="auto" w:line="360"/>
        <w:jc w:val="both"/>
        <w:rPr>
          <w:color w:val="222222"/>
          <w:highlight w:val="white"/>
          <w:lang w:val="en-GB"/>
        </w:rPr>
      </w:pPr>
      <w:r>
        <w:rPr>
          <w:color w:val="222222"/>
          <w:highlight w:val="white"/>
          <w:lang w:val="en-GB"/>
        </w:rPr>
        <w:t xml:space="preserve">Sigala, M., Ren, L., Li, Z. and </w:t>
      </w:r>
      <w:r>
        <w:rPr>
          <w:color w:val="222222"/>
          <w:highlight w:val="white"/>
          <w:lang w:val="en-GB"/>
        </w:rPr>
        <w:t>Dioko</w:t>
      </w:r>
      <w:r>
        <w:rPr>
          <w:color w:val="222222"/>
          <w:highlight w:val="white"/>
          <w:lang w:val="en-GB"/>
        </w:rPr>
        <w:t xml:space="preserve">, L.D.A., (2023). Talent management in hospitality during the COVID-19 pandemic in Macao: a contingency approach. </w:t>
      </w:r>
      <w:r>
        <w:rPr>
          <w:i/>
          <w:color w:val="222222"/>
          <w:highlight w:val="white"/>
          <w:lang w:val="en-GB"/>
        </w:rPr>
        <w:t>International Journal of Contemporary Hospitality Management</w:t>
      </w:r>
      <w:r>
        <w:rPr>
          <w:color w:val="222222"/>
          <w:highlight w:val="white"/>
          <w:lang w:val="en-GB"/>
        </w:rPr>
        <w:t xml:space="preserve">, </w:t>
      </w:r>
      <w:r>
        <w:rPr>
          <w:i/>
          <w:color w:val="222222"/>
          <w:highlight w:val="white"/>
          <w:lang w:val="en-GB"/>
        </w:rPr>
        <w:t>35</w:t>
      </w:r>
      <w:r>
        <w:rPr>
          <w:color w:val="222222"/>
          <w:highlight w:val="white"/>
          <w:lang w:val="en-GB"/>
        </w:rPr>
        <w:t>(8), pp.2773-2792.</w:t>
      </w:r>
      <w:r>
        <w:rPr/>
        <w:fldChar w:fldCharType="begin"/>
      </w:r>
      <w:r>
        <w:instrText xml:space="preserve"> HYPERLINK "https://shura.shu.ac.uk/31824/3/Sigala-TalentManagementInHospitality%28AM%29.pdf" </w:instrText>
      </w:r>
      <w:r>
        <w:rPr/>
        <w:fldChar w:fldCharType="separate"/>
      </w:r>
      <w:r>
        <w:rPr>
          <w:color w:val="1155cc"/>
          <w:highlight w:val="white"/>
          <w:u w:val="single"/>
          <w:lang w:val="en-GB"/>
        </w:rPr>
        <w:t>https://shura.shu.ac.uk/31824/3/Sigala-TalentManagementInHospitality%28AM%29.pdf</w:t>
      </w:r>
      <w:r>
        <w:rPr/>
        <w:fldChar w:fldCharType="end"/>
      </w:r>
      <w:r>
        <w:rPr>
          <w:color w:val="222222"/>
          <w:highlight w:val="white"/>
          <w:lang w:val="en-GB"/>
        </w:rPr>
        <w:t xml:space="preserve"> </w:t>
      </w:r>
    </w:p>
    <w:p>
      <w:pPr>
        <w:pStyle w:val="style0"/>
        <w:spacing w:lineRule="auto" w:line="360"/>
        <w:jc w:val="both"/>
        <w:rPr>
          <w:color w:val="222222"/>
          <w:highlight w:val="white"/>
          <w:lang w:val="en-GB"/>
        </w:rPr>
      </w:pPr>
      <w:r>
        <w:rPr>
          <w:highlight w:val="white"/>
          <w:lang w:val="en-GB"/>
        </w:rPr>
        <w:t xml:space="preserve">Švejdarová, E., (2024). Beyond borders: Understanding the inclusion challenges and motivators of foreign employees: Suggestions for sustainable human resources practices. </w:t>
      </w:r>
      <w:r>
        <w:rPr>
          <w:i/>
          <w:highlight w:val="white"/>
          <w:lang w:val="en-GB"/>
        </w:rPr>
        <w:t>Human Resources Management and Services</w:t>
      </w:r>
      <w:r>
        <w:rPr>
          <w:highlight w:val="white"/>
          <w:lang w:val="en-GB"/>
        </w:rPr>
        <w:t xml:space="preserve">, </w:t>
      </w:r>
      <w:r>
        <w:rPr>
          <w:i/>
          <w:highlight w:val="white"/>
          <w:lang w:val="en-GB"/>
        </w:rPr>
        <w:t>6</w:t>
      </w:r>
      <w:r>
        <w:rPr>
          <w:highlight w:val="white"/>
          <w:lang w:val="en-GB"/>
        </w:rPr>
        <w:t xml:space="preserve">(3), p.3427. </w:t>
      </w:r>
      <w:r>
        <w:rPr/>
        <w:fldChar w:fldCharType="begin"/>
      </w:r>
      <w:r>
        <w:instrText xml:space="preserve"> HYPERLINK "https://www.researchgate.net/profile/Eva-Svejdarova/publication/378298740_Beyond_borders_Understanding_the_inclusion_challenges_and_motivators_of_foreign_employees_Suggestions_for_sustainable_human_resources_practices/links/65d22b28476dd15fb344284a/Beyond-borders-Understanding-the-inclusion-challenges-and-motivators-of-foreign-employees-Suggestions-for-sustainable-human-resources-practices.pdf" </w:instrText>
      </w:r>
      <w:r>
        <w:rPr/>
        <w:fldChar w:fldCharType="separate"/>
      </w:r>
      <w:r>
        <w:rPr>
          <w:color w:val="1155cc"/>
          <w:highlight w:val="white"/>
          <w:u w:val="single"/>
          <w:lang w:val="en-GB"/>
        </w:rPr>
        <w:t>https://www.researchgate.net/profile/Eva-Svejdarova/publication/378298740_Beyond_borders_Understanding_the_inclusion_challenges_and_motivators_of_foreign_employees_Suggestions_for_sustainable_human_resources_practices/links/65d22b28476dd15fb344284a/Beyond-borders-Understanding-the-inclusion-challenges-and-motivators-of-foreign-employees-Suggestions-for-sustainable-human-resources-practices.pdf</w:t>
      </w:r>
      <w:r>
        <w:rPr/>
        <w:fldChar w:fldCharType="end"/>
      </w:r>
      <w:r>
        <w:rPr>
          <w:rFonts w:eastAsia="Arial"/>
          <w:color w:val="222222"/>
          <w:sz w:val="20"/>
          <w:szCs w:val="20"/>
          <w:highlight w:val="white"/>
          <w:lang w:val="en-GB"/>
        </w:rPr>
        <w:t xml:space="preserve"> </w:t>
      </w:r>
    </w:p>
    <w:p>
      <w:pPr>
        <w:pStyle w:val="style0"/>
        <w:spacing w:lineRule="auto" w:line="360"/>
        <w:jc w:val="both"/>
        <w:rPr>
          <w:color w:val="222222"/>
          <w:sz w:val="28"/>
          <w:szCs w:val="28"/>
          <w:highlight w:val="white"/>
          <w:lang w:val="en-GB"/>
        </w:rPr>
      </w:pPr>
      <w:r>
        <w:rPr>
          <w:color w:val="222222"/>
          <w:highlight w:val="white"/>
          <w:lang w:val="en-GB"/>
        </w:rPr>
        <w:t xml:space="preserve">Tawfig, N.F. and Kamarudin, S., (2021). Role of strategic human resource management practices on the achieving of sustainable competitive advantages: the mediation role of strategic leadership and organizational culture. </w:t>
      </w:r>
      <w:r>
        <w:rPr>
          <w:i/>
          <w:color w:val="222222"/>
          <w:highlight w:val="white"/>
          <w:lang w:val="en-GB"/>
        </w:rPr>
        <w:t>Review of International Geographical Education Online</w:t>
      </w:r>
      <w:r>
        <w:rPr>
          <w:color w:val="222222"/>
          <w:highlight w:val="white"/>
          <w:lang w:val="en-GB"/>
        </w:rPr>
        <w:t xml:space="preserve">, </w:t>
      </w:r>
      <w:r>
        <w:rPr>
          <w:i/>
          <w:color w:val="222222"/>
          <w:highlight w:val="white"/>
          <w:lang w:val="en-GB"/>
        </w:rPr>
        <w:t>11</w:t>
      </w:r>
      <w:r>
        <w:rPr>
          <w:color w:val="222222"/>
          <w:highlight w:val="white"/>
          <w:lang w:val="en-GB"/>
        </w:rPr>
        <w:t>(5), pp.583-604.</w:t>
      </w:r>
      <w:r>
        <w:rPr/>
        <w:fldChar w:fldCharType="begin"/>
      </w:r>
      <w:r>
        <w:instrText xml:space="preserve"> HYPERLINK "https://www.researchgate.net/profile/Nadra-Tawfig/publication/359494839_Role_of_Strategic_Human_Resource_Management_Practices_on_the_Achieving_of_Sustainable_Competitive_Advantages_The_Mediation_Role_of_Strategic_Leadership_and_Organizational_Culture/links/63fc51120cf1030a5655ade8/Role-of-Strategic-Human-Resource-Management-Practices-on-the-Achieving-of-Sustainable-Competitive-Advantages-The-Mediation-Role-of-Strategic-Leadership-and-Organizational-Culture.pdf" </w:instrText>
      </w:r>
      <w:r>
        <w:rPr/>
        <w:fldChar w:fldCharType="separate"/>
      </w:r>
      <w:r>
        <w:rPr>
          <w:color w:val="1155cc"/>
          <w:highlight w:val="white"/>
          <w:u w:val="single"/>
          <w:lang w:val="en-GB"/>
        </w:rPr>
        <w:t>https://www.researchgate.net/profile/Nadra-Tawfig/publication/359494839_Role_of_Strategic_Human_Resource_Management_Practices_on_the_Achieving_of_Sustainable_Competitive_Advantages_The_Mediation_Role_of_Strategic_Leadership_and_Organizational_Culture/links/63fc51120cf1030a5655ade8/Role-of-Strategic-Human-Resource-Management-Practices-on-the-Achieving-of-Sustainable-Competitive-Advantages-The-Mediation-Role-of-Strategic-Leadership-and-Organizational-Culture.pdf</w:t>
      </w:r>
      <w:r>
        <w:rPr/>
        <w:fldChar w:fldCharType="end"/>
      </w:r>
      <w:r>
        <w:rPr>
          <w:color w:val="222222"/>
          <w:highlight w:val="white"/>
          <w:lang w:val="en-GB"/>
        </w:rPr>
        <w:t xml:space="preserve"> </w:t>
      </w:r>
    </w:p>
    <w:sectPr>
      <w:footerReference w:type="default" r:id="rId3"/>
      <w:pgSz w:w="12240" w:h="15840" w:orient="portrait"/>
      <w:pgMar w:top="1440" w:right="1440" w:bottom="1440" w:left="1440" w:header="720" w:footer="720" w:gutter="0"/>
      <w:pgBorders w:zOrder="front" w:display="allPage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Calibri">
    <w:altName w:val="Calibri"/>
    <w:panose1 w:val="020f0502020002030204"/>
    <w:charset w:val="00"/>
    <w:family w:val="swiss"/>
    <w:pitch w:val="variable"/>
    <w:sig w:usb0="E4002EFF" w:usb1="C2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mbria">
    <w:altName w:val="Cambria"/>
    <w:panose1 w:val="02040503050004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right"/>
      <w:rPr/>
    </w:pPr>
    <w:r>
      <w:rPr>
        <w:sz w:val="22"/>
        <w:szCs w:val="22"/>
      </w:rPr>
      <w:t xml:space="preserve">Page </w:t>
    </w:r>
    <w:r>
      <w:rPr>
        <w:sz w:val="22"/>
        <w:szCs w:val="22"/>
      </w:rPr>
      <w:fldChar w:fldCharType="begin"/>
    </w:r>
    <w:r>
      <w:rPr>
        <w:sz w:val="22"/>
        <w:szCs w:val="22"/>
      </w:rPr>
      <w:instrText xml:space="preserve"> PAGE </w:instrText>
    </w:r>
    <w:r>
      <w:rPr>
        <w:sz w:val="22"/>
        <w:szCs w:val="22"/>
      </w:rPr>
      <w:fldChar w:fldCharType="separate"/>
    </w:r>
    <w:r>
      <w:rPr>
        <w:noProof/>
        <w:sz w:val="22"/>
        <w:szCs w:val="22"/>
      </w:rPr>
      <w:t>1</w:t>
    </w:r>
    <w:r>
      <w:rPr>
        <w:sz w:val="22"/>
        <w:szCs w:val="22"/>
      </w:rPr>
      <w:fldChar w:fldCharType="end"/>
    </w:r>
    <w:r>
      <w:rPr>
        <w:sz w:val="22"/>
        <w:szCs w:val="22"/>
      </w:rPr>
      <w:t xml:space="preserve"> of </w:t>
    </w:r>
    <w:r>
      <w:rPr>
        <w:sz w:val="22"/>
        <w:szCs w:val="22"/>
      </w:rPr>
      <w:fldChar w:fldCharType="begin"/>
    </w:r>
    <w:r>
      <w:rPr>
        <w:sz w:val="22"/>
        <w:szCs w:val="22"/>
      </w:rPr>
      <w:instrText xml:space="preserve"> NUMPAGES  </w:instrText>
    </w:r>
    <w:r>
      <w:rPr>
        <w:sz w:val="22"/>
        <w:szCs w:val="22"/>
      </w:rPr>
      <w:fldChar w:fldCharType="separate"/>
    </w:r>
    <w:r>
      <w:rPr>
        <w:noProof/>
        <w:sz w:val="22"/>
        <w:szCs w:val="22"/>
      </w:rPr>
      <w:t>12</w:t>
    </w:r>
    <w:r>
      <w:rPr>
        <w:sz w:val="22"/>
        <w:szCs w:val="22"/>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embedTrueTypeFonts/>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bidi="as-I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Times New Roman" w:hAnsi="Times New Roman"/>
        <w:sz w:val="24"/>
        <w:szCs w:val="24"/>
        <w:lang w:bidi="ar-SA" w:eastAsia="en-IN"/>
      </w:rPr>
    </w:rPrDefault>
    <w:pPrDefault>
      <w:pPr>
        <w:spacing w:lineRule="auto" w:line="276"/>
      </w:pPr>
    </w:pPrDefault>
  </w:docDefaults>
  <w:style w:type="paragraph" w:default="1" w:styleId="style0">
    <w:name w:val="Normal"/>
    <w:next w:val="style0"/>
    <w:qFormat/>
    <w:pPr/>
  </w:style>
  <w:style w:type="paragraph" w:styleId="style1">
    <w:name w:val="heading 1"/>
    <w:basedOn w:val="style0"/>
    <w:next w:val="style0"/>
    <w:qFormat/>
    <w:uiPriority w:val="9"/>
    <w:pPr>
      <w:keepNext/>
      <w:keepLines/>
      <w:outlineLvl w:val="0"/>
    </w:pPr>
    <w:rPr>
      <w:b/>
      <w:sz w:val="28"/>
      <w:szCs w:val="28"/>
    </w:rPr>
  </w:style>
  <w:style w:type="paragraph" w:styleId="style2">
    <w:name w:val="heading 2"/>
    <w:basedOn w:val="style0"/>
    <w:next w:val="style0"/>
    <w:qFormat/>
    <w:uiPriority w:val="9"/>
    <w:pPr>
      <w:keepNext/>
      <w:keepLines/>
      <w:spacing w:before="360" w:after="120"/>
      <w:outlineLvl w:val="1"/>
    </w:pPr>
    <w:rPr>
      <w:sz w:val="32"/>
      <w:szCs w:val="32"/>
    </w:rPr>
  </w:style>
  <w:style w:type="paragraph" w:styleId="style3">
    <w:name w:val="heading 3"/>
    <w:basedOn w:val="style0"/>
    <w:next w:val="style0"/>
    <w:qFormat/>
    <w:uiPriority w:val="9"/>
    <w:pPr>
      <w:keepNext/>
      <w:keepLines/>
      <w:spacing w:before="320" w:after="80"/>
      <w:outlineLvl w:val="2"/>
    </w:pPr>
    <w:rPr>
      <w:color w:val="434343"/>
      <w:sz w:val="28"/>
      <w:szCs w:val="28"/>
    </w:rPr>
  </w:style>
  <w:style w:type="paragraph" w:styleId="style4">
    <w:name w:val="heading 4"/>
    <w:basedOn w:val="style0"/>
    <w:next w:val="style0"/>
    <w:qFormat/>
    <w:uiPriority w:val="9"/>
    <w:pPr>
      <w:keepNext/>
      <w:keepLines/>
      <w:spacing w:before="280" w:after="80"/>
      <w:outlineLvl w:val="3"/>
    </w:pPr>
    <w:rPr>
      <w:color w:val="666666"/>
    </w:rPr>
  </w:style>
  <w:style w:type="paragraph" w:styleId="style5">
    <w:name w:val="heading 5"/>
    <w:basedOn w:val="style0"/>
    <w:next w:val="style0"/>
    <w:qFormat/>
    <w:uiPriority w:val="9"/>
    <w:pPr>
      <w:keepNext/>
      <w:keepLines/>
      <w:spacing w:before="240" w:after="80"/>
      <w:outlineLvl w:val="4"/>
    </w:pPr>
    <w:rPr>
      <w:color w:val="666666"/>
      <w:sz w:val="22"/>
      <w:szCs w:val="22"/>
    </w:rPr>
  </w:style>
  <w:style w:type="paragraph" w:styleId="style6">
    <w:name w:val="heading 6"/>
    <w:basedOn w:val="style0"/>
    <w:next w:val="style0"/>
    <w:qFormat/>
    <w:uiPriority w:val="9"/>
    <w:pPr>
      <w:keepNext/>
      <w:keepLines/>
      <w:spacing w:before="240" w:after="80"/>
      <w:outlineLvl w:val="5"/>
    </w:pPr>
    <w:rPr>
      <w:i/>
      <w:color w:val="666666"/>
      <w:sz w:val="22"/>
      <w:szCs w:val="22"/>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table" w:customStyle="1" w:styleId="style4097">
    <w:name w:val="TableNormal"/>
    <w:next w:val="style4097"/>
    <w:pPr/>
    <w:rPr/>
    <w:tblPr>
      <w:tblCellMar>
        <w:top w:w="100" w:type="dxa"/>
        <w:left w:w="100" w:type="dxa"/>
        <w:bottom w:w="100" w:type="dxa"/>
        <w:right w:w="100" w:type="dxa"/>
      </w:tblCellMar>
    </w:tblPr>
    <w:tcPr>
      <w:tcBorders/>
    </w:tcPr>
  </w:style>
  <w:style w:type="paragraph" w:styleId="style62">
    <w:name w:val="Title"/>
    <w:basedOn w:val="style0"/>
    <w:next w:val="style0"/>
    <w:qFormat/>
    <w:uiPriority w:val="10"/>
    <w:pPr>
      <w:keepNext/>
      <w:keepLines/>
      <w:jc w:val="center"/>
    </w:pPr>
    <w:rPr>
      <w:b/>
      <w:sz w:val="32"/>
      <w:szCs w:val="32"/>
    </w:rPr>
  </w:style>
  <w:style w:type="paragraph" w:styleId="style74">
    <w:name w:val="Subtitle"/>
    <w:basedOn w:val="style0"/>
    <w:next w:val="style0"/>
    <w:qFormat/>
    <w:uiPriority w:val="11"/>
    <w:pPr>
      <w:keepNext/>
      <w:keepLines/>
      <w:spacing w:after="320"/>
    </w:pPr>
    <w:rPr>
      <w:rFonts w:ascii="Arial" w:cs="Arial" w:eastAsia="Arial" w:hAnsi="Arial"/>
      <w:color w:val="666666"/>
      <w:sz w:val="30"/>
      <w:szCs w:val="30"/>
    </w:rPr>
  </w:style>
  <w:style w:type="paragraph" w:styleId="style31">
    <w:name w:val="header"/>
    <w:basedOn w:val="style0"/>
    <w:next w:val="style31"/>
    <w:link w:val="style4098"/>
    <w:uiPriority w:val="99"/>
    <w:pPr>
      <w:tabs>
        <w:tab w:val="center" w:leader="none" w:pos="4513"/>
        <w:tab w:val="right" w:leader="none" w:pos="9026"/>
      </w:tabs>
      <w:spacing w:lineRule="auto" w:line="240"/>
    </w:pPr>
    <w:rPr/>
  </w:style>
  <w:style w:type="character" w:customStyle="1" w:styleId="style4098">
    <w:name w:val="Header Char_8fbeec93-534e-4204-84b8-6711cbb539d9"/>
    <w:basedOn w:val="style65"/>
    <w:next w:val="style4098"/>
    <w:link w:val="style31"/>
    <w:uiPriority w:val="99"/>
  </w:style>
  <w:style w:type="paragraph" w:styleId="style32">
    <w:name w:val="footer"/>
    <w:basedOn w:val="style0"/>
    <w:next w:val="style32"/>
    <w:link w:val="style4099"/>
    <w:uiPriority w:val="99"/>
    <w:pPr>
      <w:tabs>
        <w:tab w:val="center" w:leader="none" w:pos="4513"/>
        <w:tab w:val="right" w:leader="none" w:pos="9026"/>
      </w:tabs>
      <w:spacing w:lineRule="auto" w:line="240"/>
    </w:pPr>
    <w:rPr/>
  </w:style>
  <w:style w:type="character" w:customStyle="1" w:styleId="style4099">
    <w:name w:val="Footer Char_e634595a-5b7c-4db8-bae4-b1b1e2068b20"/>
    <w:basedOn w:val="style65"/>
    <w:next w:val="style4099"/>
    <w:link w:val="style32"/>
    <w:uiPriority w:val="99"/>
  </w:style>
  <w:style w:type="paragraph" w:styleId="style266">
    <w:name w:val="TOC Heading"/>
    <w:basedOn w:val="style1"/>
    <w:next w:val="style0"/>
    <w:qFormat/>
    <w:uiPriority w:val="39"/>
    <w:pPr>
      <w:spacing w:before="240" w:lineRule="auto" w:line="259"/>
      <w:outlineLvl w:val="9"/>
    </w:pPr>
    <w:rPr>
      <w:rFonts w:ascii="Calibri" w:cs="Vrinda" w:eastAsia="宋体" w:hAnsi="Calibri"/>
      <w:b w:val="false"/>
      <w:color w:val="365f91"/>
      <w:sz w:val="32"/>
      <w:szCs w:val="32"/>
      <w:lang w:val="en-US" w:eastAsia="en-US"/>
    </w:rPr>
  </w:style>
  <w:style w:type="paragraph" w:styleId="style19">
    <w:name w:val="toc 1"/>
    <w:basedOn w:val="style0"/>
    <w:next w:val="style0"/>
    <w:uiPriority w:val="39"/>
    <w:pPr>
      <w:spacing w:after="100"/>
    </w:pPr>
    <w:rPr/>
  </w:style>
  <w:style w:type="character" w:styleId="style85">
    <w:name w:val="Hyperlink"/>
    <w:basedOn w:val="style65"/>
    <w:next w:val="style85"/>
    <w:uiPriority w:val="99"/>
    <w:rPr>
      <w:color w:val="0000ff"/>
      <w:u w:val="single"/>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footer" Target="footer1.xml"/><Relationship Id="rId4" Type="http://schemas.openxmlformats.org/officeDocument/2006/relationships/styles" Target="styles.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7402FB-C564-4928-826E-B632F70DFA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Words>3072</Words>
  <Pages>12</Pages>
  <Characters>21207</Characters>
  <Application>WPS Office</Application>
  <DocSecurity>0</DocSecurity>
  <Paragraphs>87</Paragraphs>
  <ScaleCrop>false</ScaleCrop>
  <LinksUpToDate>false</LinksUpToDate>
  <CharactersWithSpaces>24234</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2025-11-04T12:18:00Z</dcterms:created>
  <dc:creator>WPS Office</dc:creator>
  <lastModifiedBy>SM-F731B</lastModifiedBy>
  <dcterms:modified xsi:type="dcterms:W3CDTF">2025-11-13T06:04:28Z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2e3b9729-5110-4479-9ab8-2b8ce7c83fd5</vt:lpwstr>
  </property>
  <property fmtid="{D5CDD505-2E9C-101B-9397-08002B2CF9AE}" pid="3" name="ICV">
    <vt:lpwstr>99ae7a872d8348b0b14ceabe66a5126b</vt:lpwstr>
  </property>
</Properties>
</file>