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A1EE60" w14:textId="77777777" w:rsidR="00BB539D" w:rsidRPr="00BB539D" w:rsidRDefault="00BB539D" w:rsidP="005938FF">
      <w:pPr>
        <w:pStyle w:val="Heading1"/>
        <w:spacing w:line="360" w:lineRule="auto"/>
        <w:ind w:left="-1"/>
        <w:jc w:val="both"/>
        <w:rPr>
          <w:rFonts w:ascii="Arial" w:hAnsi="Arial" w:cs="Arial"/>
          <w:sz w:val="32"/>
          <w:szCs w:val="32"/>
        </w:rPr>
      </w:pPr>
      <w:bookmarkStart w:id="0" w:name="_Toc14949"/>
    </w:p>
    <w:p w14:paraId="5B15EB71" w14:textId="77777777" w:rsidR="00BB539D" w:rsidRPr="00BB539D" w:rsidRDefault="00BB539D" w:rsidP="005938FF">
      <w:pPr>
        <w:pStyle w:val="Heading1"/>
        <w:spacing w:line="360" w:lineRule="auto"/>
        <w:ind w:left="-1"/>
        <w:jc w:val="both"/>
        <w:rPr>
          <w:rFonts w:ascii="Arial" w:hAnsi="Arial" w:cs="Arial"/>
          <w:sz w:val="32"/>
          <w:szCs w:val="32"/>
        </w:rPr>
      </w:pPr>
    </w:p>
    <w:p w14:paraId="6C533A3C" w14:textId="77777777" w:rsidR="00BB539D" w:rsidRPr="00BB539D" w:rsidRDefault="00BB539D" w:rsidP="005938FF">
      <w:pPr>
        <w:pStyle w:val="Heading1"/>
        <w:spacing w:line="360" w:lineRule="auto"/>
        <w:ind w:left="-1"/>
        <w:jc w:val="both"/>
        <w:rPr>
          <w:rFonts w:ascii="Arial" w:hAnsi="Arial" w:cs="Arial"/>
          <w:sz w:val="32"/>
          <w:szCs w:val="32"/>
        </w:rPr>
      </w:pPr>
    </w:p>
    <w:p w14:paraId="7767CA18" w14:textId="77777777" w:rsidR="00BB539D" w:rsidRPr="00BB539D" w:rsidRDefault="00BB539D" w:rsidP="005938FF">
      <w:pPr>
        <w:pStyle w:val="Heading1"/>
        <w:spacing w:line="360" w:lineRule="auto"/>
        <w:ind w:left="-1"/>
        <w:jc w:val="both"/>
        <w:rPr>
          <w:rFonts w:ascii="Arial" w:hAnsi="Arial" w:cs="Arial"/>
          <w:sz w:val="32"/>
          <w:szCs w:val="32"/>
        </w:rPr>
      </w:pPr>
    </w:p>
    <w:p w14:paraId="7B983660" w14:textId="77777777" w:rsidR="00BB539D" w:rsidRPr="00BB539D" w:rsidRDefault="00BB539D" w:rsidP="005938FF">
      <w:pPr>
        <w:pStyle w:val="Heading1"/>
        <w:spacing w:line="360" w:lineRule="auto"/>
        <w:ind w:left="-1"/>
        <w:jc w:val="both"/>
        <w:rPr>
          <w:rFonts w:ascii="Arial" w:hAnsi="Arial" w:cs="Arial"/>
          <w:sz w:val="32"/>
          <w:szCs w:val="32"/>
        </w:rPr>
      </w:pPr>
    </w:p>
    <w:p w14:paraId="370CE57F" w14:textId="77777777" w:rsidR="00BB539D" w:rsidRPr="00BB539D" w:rsidRDefault="00BB539D" w:rsidP="005938FF">
      <w:pPr>
        <w:pStyle w:val="Heading1"/>
        <w:spacing w:line="360" w:lineRule="auto"/>
        <w:ind w:left="-1"/>
        <w:jc w:val="both"/>
        <w:rPr>
          <w:rFonts w:ascii="Arial" w:hAnsi="Arial" w:cs="Arial"/>
          <w:sz w:val="32"/>
          <w:szCs w:val="32"/>
        </w:rPr>
      </w:pPr>
    </w:p>
    <w:p w14:paraId="60173211" w14:textId="77777777" w:rsidR="009457AF" w:rsidRDefault="0039541E" w:rsidP="0039541E">
      <w:pPr>
        <w:pStyle w:val="Heading1"/>
        <w:spacing w:line="360" w:lineRule="auto"/>
        <w:ind w:left="-1"/>
        <w:jc w:val="center"/>
        <w:rPr>
          <w:rFonts w:ascii="Arial" w:hAnsi="Arial" w:cs="Arial"/>
          <w:sz w:val="28"/>
          <w:szCs w:val="28"/>
        </w:rPr>
      </w:pPr>
      <w:r w:rsidRPr="0039541E">
        <w:rPr>
          <w:rFonts w:ascii="Arial" w:hAnsi="Arial" w:cs="Arial"/>
          <w:sz w:val="28"/>
          <w:szCs w:val="28"/>
        </w:rPr>
        <w:t xml:space="preserve">Student </w:t>
      </w:r>
      <w:r w:rsidR="009457AF">
        <w:rPr>
          <w:rFonts w:ascii="Arial" w:hAnsi="Arial" w:cs="Arial"/>
          <w:sz w:val="28"/>
          <w:szCs w:val="28"/>
        </w:rPr>
        <w:t>Name</w:t>
      </w:r>
    </w:p>
    <w:p w14:paraId="33DCDF33" w14:textId="5DCBA720" w:rsidR="00D815EB" w:rsidRDefault="009457AF" w:rsidP="009457AF">
      <w:pPr>
        <w:rPr>
          <w:sz w:val="28"/>
          <w:szCs w:val="28"/>
        </w:rPr>
      </w:pPr>
      <w:r>
        <w:t xml:space="preserve">                                        </w:t>
      </w:r>
      <w:r w:rsidR="008C2432">
        <w:t xml:space="preserve">    </w:t>
      </w:r>
      <w:proofErr w:type="spellStart"/>
      <w:r w:rsidR="00063058" w:rsidRPr="00D815EB">
        <w:rPr>
          <w:sz w:val="28"/>
          <w:szCs w:val="28"/>
        </w:rPr>
        <w:t>Shahzad</w:t>
      </w:r>
      <w:proofErr w:type="spellEnd"/>
      <w:r w:rsidR="00063058" w:rsidRPr="00D815EB">
        <w:rPr>
          <w:sz w:val="28"/>
          <w:szCs w:val="28"/>
        </w:rPr>
        <w:t xml:space="preserve"> </w:t>
      </w:r>
      <w:r w:rsidR="00D815EB">
        <w:rPr>
          <w:sz w:val="28"/>
          <w:szCs w:val="28"/>
        </w:rPr>
        <w:t>khan</w:t>
      </w:r>
    </w:p>
    <w:p w14:paraId="3B6B7A66" w14:textId="09B86C2F" w:rsidR="00D815EB" w:rsidRPr="00F0109C" w:rsidRDefault="00D815EB" w:rsidP="009457AF">
      <w:pPr>
        <w:rPr>
          <w:sz w:val="28"/>
          <w:szCs w:val="28"/>
        </w:rPr>
      </w:pPr>
      <w:r>
        <w:rPr>
          <w:sz w:val="28"/>
          <w:szCs w:val="28"/>
        </w:rPr>
        <w:t xml:space="preserve">                                </w:t>
      </w:r>
      <w:r w:rsidR="008C2432">
        <w:rPr>
          <w:sz w:val="28"/>
          <w:szCs w:val="28"/>
        </w:rPr>
        <w:t xml:space="preserve">   </w:t>
      </w:r>
      <w:r w:rsidRPr="00F0109C">
        <w:rPr>
          <w:sz w:val="28"/>
          <w:szCs w:val="28"/>
        </w:rPr>
        <w:t xml:space="preserve">Student ID </w:t>
      </w:r>
      <w:r w:rsidR="00F0109C" w:rsidRPr="00F0109C">
        <w:rPr>
          <w:sz w:val="28"/>
          <w:szCs w:val="28"/>
        </w:rPr>
        <w:t>2027375</w:t>
      </w:r>
    </w:p>
    <w:p w14:paraId="7B541933" w14:textId="254370D9" w:rsidR="0039541E" w:rsidRPr="0039541E" w:rsidRDefault="0039541E" w:rsidP="0039541E">
      <w:pPr>
        <w:jc w:val="center"/>
        <w:rPr>
          <w:rFonts w:ascii="Arial" w:hAnsi="Arial" w:cs="Arial"/>
          <w:bCs/>
          <w:sz w:val="28"/>
          <w:szCs w:val="28"/>
        </w:rPr>
      </w:pPr>
    </w:p>
    <w:p w14:paraId="79360BA3" w14:textId="37A96538" w:rsidR="0039541E" w:rsidRPr="0039541E" w:rsidRDefault="0039541E" w:rsidP="0039541E">
      <w:pPr>
        <w:jc w:val="center"/>
        <w:rPr>
          <w:rFonts w:ascii="Arial" w:hAnsi="Arial" w:cs="Arial"/>
          <w:b/>
          <w:sz w:val="28"/>
          <w:szCs w:val="28"/>
        </w:rPr>
      </w:pPr>
      <w:r w:rsidRPr="0039541E">
        <w:rPr>
          <w:rFonts w:ascii="Arial" w:hAnsi="Arial" w:cs="Arial"/>
          <w:b/>
          <w:sz w:val="28"/>
          <w:szCs w:val="28"/>
        </w:rPr>
        <w:t>Lecturer Name</w:t>
      </w:r>
    </w:p>
    <w:p w14:paraId="789CDAE0" w14:textId="2439ACBF" w:rsidR="0039541E" w:rsidRPr="0039541E" w:rsidRDefault="00D815EB" w:rsidP="0039541E">
      <w:pPr>
        <w:jc w:val="center"/>
        <w:rPr>
          <w:rFonts w:ascii="Arial" w:hAnsi="Arial" w:cs="Arial"/>
          <w:bCs/>
          <w:sz w:val="28"/>
          <w:szCs w:val="28"/>
        </w:rPr>
      </w:pPr>
      <w:r>
        <w:rPr>
          <w:rFonts w:ascii="Arial" w:hAnsi="Arial" w:cs="Arial"/>
          <w:bCs/>
          <w:sz w:val="28"/>
          <w:szCs w:val="28"/>
        </w:rPr>
        <w:t xml:space="preserve">Dale </w:t>
      </w:r>
      <w:proofErr w:type="spellStart"/>
      <w:r>
        <w:rPr>
          <w:rFonts w:ascii="Arial" w:hAnsi="Arial" w:cs="Arial"/>
          <w:bCs/>
          <w:sz w:val="28"/>
          <w:szCs w:val="28"/>
        </w:rPr>
        <w:t>clark</w:t>
      </w:r>
      <w:proofErr w:type="spellEnd"/>
      <w:r>
        <w:rPr>
          <w:rFonts w:ascii="Arial" w:hAnsi="Arial" w:cs="Arial"/>
          <w:bCs/>
          <w:sz w:val="28"/>
          <w:szCs w:val="28"/>
        </w:rPr>
        <w:t xml:space="preserve"> </w:t>
      </w:r>
    </w:p>
    <w:p w14:paraId="0F37FDB8" w14:textId="41BFBD51" w:rsidR="0039541E" w:rsidRPr="0039541E" w:rsidRDefault="0039541E" w:rsidP="0039541E">
      <w:pPr>
        <w:jc w:val="center"/>
        <w:rPr>
          <w:rFonts w:ascii="Arial" w:hAnsi="Arial" w:cs="Arial"/>
          <w:b/>
          <w:sz w:val="28"/>
          <w:szCs w:val="28"/>
        </w:rPr>
      </w:pPr>
      <w:r w:rsidRPr="0039541E">
        <w:rPr>
          <w:rFonts w:ascii="Arial" w:hAnsi="Arial" w:cs="Arial"/>
          <w:b/>
          <w:sz w:val="28"/>
          <w:szCs w:val="28"/>
        </w:rPr>
        <w:t>Module Code</w:t>
      </w:r>
    </w:p>
    <w:p w14:paraId="73CEAE5B" w14:textId="4ACC43D0" w:rsidR="0039541E" w:rsidRPr="0039541E" w:rsidRDefault="0039541E" w:rsidP="0039541E">
      <w:pPr>
        <w:jc w:val="center"/>
        <w:rPr>
          <w:rFonts w:ascii="Arial" w:hAnsi="Arial" w:cs="Arial"/>
          <w:bCs/>
          <w:sz w:val="28"/>
          <w:szCs w:val="28"/>
        </w:rPr>
      </w:pPr>
      <w:r w:rsidRPr="0039541E">
        <w:rPr>
          <w:rFonts w:ascii="Arial" w:hAnsi="Arial" w:cs="Arial"/>
          <w:bCs/>
          <w:sz w:val="28"/>
          <w:szCs w:val="28"/>
        </w:rPr>
        <w:t>BMIH5007</w:t>
      </w:r>
    </w:p>
    <w:p w14:paraId="19524D92" w14:textId="7C95CC14" w:rsidR="0039541E" w:rsidRPr="0039541E" w:rsidRDefault="0039541E" w:rsidP="0039541E">
      <w:pPr>
        <w:jc w:val="center"/>
        <w:rPr>
          <w:rFonts w:ascii="Arial" w:hAnsi="Arial" w:cs="Arial"/>
          <w:b/>
          <w:sz w:val="28"/>
          <w:szCs w:val="28"/>
        </w:rPr>
      </w:pPr>
      <w:r w:rsidRPr="0039541E">
        <w:rPr>
          <w:rFonts w:ascii="Arial" w:hAnsi="Arial" w:cs="Arial"/>
          <w:b/>
          <w:sz w:val="28"/>
          <w:szCs w:val="28"/>
        </w:rPr>
        <w:t>Financial Management for the Hotel Industry</w:t>
      </w:r>
    </w:p>
    <w:p w14:paraId="26C30532" w14:textId="77777777" w:rsidR="00BB539D" w:rsidRPr="00BB539D" w:rsidRDefault="00BB539D" w:rsidP="005938FF">
      <w:pPr>
        <w:pStyle w:val="Heading1"/>
        <w:spacing w:line="360" w:lineRule="auto"/>
        <w:ind w:left="-1"/>
        <w:jc w:val="both"/>
        <w:rPr>
          <w:rFonts w:ascii="Arial" w:hAnsi="Arial" w:cs="Arial"/>
          <w:sz w:val="32"/>
          <w:szCs w:val="32"/>
        </w:rPr>
      </w:pPr>
    </w:p>
    <w:p w14:paraId="1720AD47" w14:textId="77777777" w:rsidR="00BB539D" w:rsidRPr="00BB539D" w:rsidRDefault="00BB539D" w:rsidP="005938FF">
      <w:pPr>
        <w:pStyle w:val="Heading1"/>
        <w:spacing w:line="360" w:lineRule="auto"/>
        <w:ind w:left="-1"/>
        <w:jc w:val="both"/>
        <w:rPr>
          <w:rFonts w:ascii="Arial" w:hAnsi="Arial" w:cs="Arial"/>
          <w:sz w:val="32"/>
          <w:szCs w:val="32"/>
        </w:rPr>
      </w:pPr>
    </w:p>
    <w:p w14:paraId="452FF4FD" w14:textId="77777777" w:rsidR="00BB539D" w:rsidRPr="00BB539D" w:rsidRDefault="00BB539D" w:rsidP="005938FF">
      <w:pPr>
        <w:pStyle w:val="Heading1"/>
        <w:spacing w:line="360" w:lineRule="auto"/>
        <w:ind w:left="-1"/>
        <w:jc w:val="both"/>
        <w:rPr>
          <w:rFonts w:ascii="Arial" w:hAnsi="Arial" w:cs="Arial"/>
          <w:sz w:val="32"/>
          <w:szCs w:val="32"/>
        </w:rPr>
      </w:pPr>
    </w:p>
    <w:p w14:paraId="4A9C2AD4" w14:textId="77777777" w:rsidR="00BB539D" w:rsidRPr="00BB539D" w:rsidRDefault="00BB539D" w:rsidP="005938FF">
      <w:pPr>
        <w:pStyle w:val="Heading1"/>
        <w:spacing w:line="360" w:lineRule="auto"/>
        <w:ind w:left="-1"/>
        <w:jc w:val="both"/>
        <w:rPr>
          <w:rFonts w:ascii="Arial" w:hAnsi="Arial" w:cs="Arial"/>
          <w:sz w:val="32"/>
          <w:szCs w:val="32"/>
        </w:rPr>
      </w:pPr>
    </w:p>
    <w:p w14:paraId="4F4AE52B" w14:textId="77777777" w:rsidR="00BB539D" w:rsidRPr="00BB539D" w:rsidRDefault="00BB539D" w:rsidP="005938FF">
      <w:pPr>
        <w:pStyle w:val="Heading1"/>
        <w:spacing w:line="360" w:lineRule="auto"/>
        <w:ind w:left="-1"/>
        <w:jc w:val="both"/>
        <w:rPr>
          <w:rFonts w:ascii="Arial" w:hAnsi="Arial" w:cs="Arial"/>
          <w:sz w:val="32"/>
          <w:szCs w:val="32"/>
        </w:rPr>
      </w:pPr>
    </w:p>
    <w:p w14:paraId="63A19BCC" w14:textId="38F9A723" w:rsidR="00BB539D" w:rsidRDefault="00BB539D" w:rsidP="0039541E">
      <w:pPr>
        <w:pStyle w:val="Heading1"/>
        <w:spacing w:line="360" w:lineRule="auto"/>
        <w:ind w:left="0" w:firstLine="0"/>
        <w:jc w:val="both"/>
        <w:rPr>
          <w:rFonts w:ascii="Arial" w:hAnsi="Arial" w:cs="Arial"/>
          <w:sz w:val="32"/>
          <w:szCs w:val="32"/>
        </w:rPr>
      </w:pPr>
    </w:p>
    <w:p w14:paraId="5C8DAFEC" w14:textId="42A2D224" w:rsidR="0039541E" w:rsidRDefault="0039541E" w:rsidP="0039541E"/>
    <w:p w14:paraId="7B648E02" w14:textId="5BA8E83F" w:rsidR="0039541E" w:rsidRDefault="0039541E" w:rsidP="0039541E"/>
    <w:p w14:paraId="79E2AD19" w14:textId="77777777" w:rsidR="0039541E" w:rsidRPr="0039541E" w:rsidRDefault="0039541E" w:rsidP="0039541E"/>
    <w:p w14:paraId="1E639D53" w14:textId="77777777" w:rsidR="00BB539D" w:rsidRPr="00BB539D" w:rsidRDefault="00BB539D" w:rsidP="005938FF">
      <w:pPr>
        <w:pStyle w:val="Heading1"/>
        <w:spacing w:line="360" w:lineRule="auto"/>
        <w:ind w:left="-1"/>
        <w:jc w:val="both"/>
        <w:rPr>
          <w:rFonts w:ascii="Arial" w:hAnsi="Arial" w:cs="Arial"/>
          <w:sz w:val="32"/>
          <w:szCs w:val="32"/>
        </w:rPr>
      </w:pPr>
    </w:p>
    <w:p w14:paraId="101A6252" w14:textId="49E2D71F" w:rsidR="00BF4106" w:rsidRPr="00BB539D" w:rsidRDefault="005938FF" w:rsidP="00BB539D">
      <w:pPr>
        <w:pStyle w:val="Heading1"/>
        <w:rPr>
          <w:rFonts w:ascii="Arial" w:hAnsi="Arial" w:cs="Arial"/>
          <w:sz w:val="32"/>
          <w:szCs w:val="28"/>
        </w:rPr>
      </w:pPr>
      <w:bookmarkStart w:id="1" w:name="_Toc120719269"/>
      <w:r w:rsidRPr="00BB539D">
        <w:rPr>
          <w:rFonts w:ascii="Arial" w:hAnsi="Arial" w:cs="Arial"/>
          <w:sz w:val="32"/>
          <w:szCs w:val="28"/>
        </w:rPr>
        <w:t>Executive Summary</w:t>
      </w:r>
      <w:bookmarkEnd w:id="1"/>
    </w:p>
    <w:p w14:paraId="0C71C3DE" w14:textId="1F5DC8D5" w:rsidR="005938FF" w:rsidRPr="00BB539D" w:rsidRDefault="005938FF" w:rsidP="005938FF">
      <w:pPr>
        <w:spacing w:line="360" w:lineRule="auto"/>
        <w:jc w:val="both"/>
        <w:rPr>
          <w:rFonts w:ascii="Arial" w:hAnsi="Arial" w:cs="Arial"/>
          <w:sz w:val="24"/>
          <w:szCs w:val="24"/>
        </w:rPr>
      </w:pPr>
      <w:r w:rsidRPr="00BB539D">
        <w:rPr>
          <w:rFonts w:ascii="Arial" w:hAnsi="Arial" w:cs="Arial"/>
          <w:sz w:val="24"/>
          <w:szCs w:val="24"/>
        </w:rPr>
        <w:t>The various ratios that will be created for the relevant company Marriott International are highlighted in the following report. The company under consideration is a hotel management firm with a global concentration on portfolio management. Here three different ratios of liquidity, profitability, and gearing will be compared in order to evaluate Marriott International's financial performance for the two years of 2020 and 2021. However, the benefits of the ratios for the particular company will be discussed. To further demonstrate the relevance of the financial ratios, the limitations of the ratios will also be discussed for the relevant corporation, Marriott International.</w:t>
      </w:r>
    </w:p>
    <w:p w14:paraId="7820FCC5" w14:textId="248E191D" w:rsidR="005938FF" w:rsidRPr="00BB539D" w:rsidRDefault="005938FF" w:rsidP="005938FF">
      <w:pPr>
        <w:rPr>
          <w:rFonts w:ascii="Arial" w:hAnsi="Arial" w:cs="Arial"/>
        </w:rPr>
      </w:pPr>
    </w:p>
    <w:p w14:paraId="7A6637A3" w14:textId="787C27F6" w:rsidR="005938FF" w:rsidRDefault="005938FF" w:rsidP="005938FF">
      <w:pPr>
        <w:rPr>
          <w:rFonts w:ascii="Arial" w:hAnsi="Arial" w:cs="Arial"/>
        </w:rPr>
      </w:pPr>
    </w:p>
    <w:p w14:paraId="4E160F2A" w14:textId="3F508F68" w:rsidR="00BB539D" w:rsidRDefault="00BB539D" w:rsidP="005938FF">
      <w:pPr>
        <w:rPr>
          <w:rFonts w:ascii="Arial" w:hAnsi="Arial" w:cs="Arial"/>
        </w:rPr>
      </w:pPr>
    </w:p>
    <w:p w14:paraId="109A57C2" w14:textId="0C257230" w:rsidR="00BB539D" w:rsidRDefault="00BB539D" w:rsidP="005938FF">
      <w:pPr>
        <w:rPr>
          <w:rFonts w:ascii="Arial" w:hAnsi="Arial" w:cs="Arial"/>
        </w:rPr>
      </w:pPr>
    </w:p>
    <w:p w14:paraId="139A6492" w14:textId="2510F34E" w:rsidR="00BB539D" w:rsidRDefault="00BB539D" w:rsidP="005938FF">
      <w:pPr>
        <w:rPr>
          <w:rFonts w:ascii="Arial" w:hAnsi="Arial" w:cs="Arial"/>
        </w:rPr>
      </w:pPr>
    </w:p>
    <w:p w14:paraId="1652CF01" w14:textId="01DC20C6" w:rsidR="00BB539D" w:rsidRDefault="00BB539D" w:rsidP="005938FF">
      <w:pPr>
        <w:rPr>
          <w:rFonts w:ascii="Arial" w:hAnsi="Arial" w:cs="Arial"/>
        </w:rPr>
      </w:pPr>
    </w:p>
    <w:p w14:paraId="74E20360" w14:textId="1DA8639B" w:rsidR="00BB539D" w:rsidRDefault="00BB539D" w:rsidP="005938FF">
      <w:pPr>
        <w:rPr>
          <w:rFonts w:ascii="Arial" w:hAnsi="Arial" w:cs="Arial"/>
        </w:rPr>
      </w:pPr>
    </w:p>
    <w:p w14:paraId="6001E0BD" w14:textId="43178BAD" w:rsidR="00BB539D" w:rsidRDefault="00BB539D" w:rsidP="005938FF">
      <w:pPr>
        <w:rPr>
          <w:rFonts w:ascii="Arial" w:hAnsi="Arial" w:cs="Arial"/>
        </w:rPr>
      </w:pPr>
    </w:p>
    <w:p w14:paraId="79563D97" w14:textId="7C85D093" w:rsidR="00BB539D" w:rsidRDefault="00BB539D" w:rsidP="005938FF">
      <w:pPr>
        <w:rPr>
          <w:rFonts w:ascii="Arial" w:hAnsi="Arial" w:cs="Arial"/>
        </w:rPr>
      </w:pPr>
    </w:p>
    <w:p w14:paraId="349F8805" w14:textId="673201F4" w:rsidR="00BB539D" w:rsidRDefault="00BB539D" w:rsidP="005938FF">
      <w:pPr>
        <w:rPr>
          <w:rFonts w:ascii="Arial" w:hAnsi="Arial" w:cs="Arial"/>
        </w:rPr>
      </w:pPr>
    </w:p>
    <w:p w14:paraId="0481DB31" w14:textId="04C28959" w:rsidR="00BB539D" w:rsidRDefault="00BB539D" w:rsidP="005938FF">
      <w:pPr>
        <w:rPr>
          <w:rFonts w:ascii="Arial" w:hAnsi="Arial" w:cs="Arial"/>
        </w:rPr>
      </w:pPr>
    </w:p>
    <w:p w14:paraId="361BC4B2" w14:textId="62559E54" w:rsidR="00BB539D" w:rsidRDefault="00BB539D" w:rsidP="005938FF">
      <w:pPr>
        <w:rPr>
          <w:rFonts w:ascii="Arial" w:hAnsi="Arial" w:cs="Arial"/>
        </w:rPr>
      </w:pPr>
    </w:p>
    <w:p w14:paraId="09A7E92A" w14:textId="09A8B246" w:rsidR="00BB539D" w:rsidRDefault="00BB539D" w:rsidP="005938FF">
      <w:pPr>
        <w:rPr>
          <w:rFonts w:ascii="Arial" w:hAnsi="Arial" w:cs="Arial"/>
        </w:rPr>
      </w:pPr>
    </w:p>
    <w:p w14:paraId="27CBDBE2" w14:textId="52BF2645" w:rsidR="00BB539D" w:rsidRDefault="00BB539D" w:rsidP="005938FF">
      <w:pPr>
        <w:rPr>
          <w:rFonts w:ascii="Arial" w:hAnsi="Arial" w:cs="Arial"/>
        </w:rPr>
      </w:pPr>
    </w:p>
    <w:p w14:paraId="0A2C159D" w14:textId="5845D4C4" w:rsidR="00BB539D" w:rsidRDefault="00BB539D" w:rsidP="005938FF">
      <w:pPr>
        <w:rPr>
          <w:rFonts w:ascii="Arial" w:hAnsi="Arial" w:cs="Arial"/>
        </w:rPr>
      </w:pPr>
    </w:p>
    <w:p w14:paraId="0A004DE8" w14:textId="48B96392" w:rsidR="00BB539D" w:rsidRDefault="00BB539D" w:rsidP="005938FF">
      <w:pPr>
        <w:rPr>
          <w:rFonts w:ascii="Arial" w:hAnsi="Arial" w:cs="Arial"/>
        </w:rPr>
      </w:pPr>
    </w:p>
    <w:p w14:paraId="0B2DAAEA" w14:textId="7202826F" w:rsidR="00BB539D" w:rsidRDefault="00BB539D" w:rsidP="005938FF">
      <w:pPr>
        <w:rPr>
          <w:rFonts w:ascii="Arial" w:hAnsi="Arial" w:cs="Arial"/>
        </w:rPr>
      </w:pPr>
    </w:p>
    <w:p w14:paraId="6552DBB3" w14:textId="36C35A23" w:rsidR="00BB539D" w:rsidRDefault="00BB539D" w:rsidP="005938FF">
      <w:pPr>
        <w:rPr>
          <w:rFonts w:ascii="Arial" w:hAnsi="Arial" w:cs="Arial"/>
        </w:rPr>
      </w:pPr>
    </w:p>
    <w:p w14:paraId="7F65D112" w14:textId="00129003" w:rsidR="00BB539D" w:rsidRDefault="00BB539D" w:rsidP="005938FF">
      <w:pPr>
        <w:rPr>
          <w:rFonts w:ascii="Arial" w:hAnsi="Arial" w:cs="Arial"/>
        </w:rPr>
      </w:pPr>
    </w:p>
    <w:p w14:paraId="632B68ED" w14:textId="136541E4" w:rsidR="00BB539D" w:rsidRDefault="00BB539D" w:rsidP="005938FF">
      <w:pPr>
        <w:rPr>
          <w:rFonts w:ascii="Arial" w:hAnsi="Arial" w:cs="Arial"/>
        </w:rPr>
      </w:pPr>
    </w:p>
    <w:p w14:paraId="2E9D7742" w14:textId="69F4F7FD" w:rsidR="00BB539D" w:rsidRDefault="00BB539D" w:rsidP="005938FF">
      <w:pPr>
        <w:rPr>
          <w:rFonts w:ascii="Arial" w:hAnsi="Arial" w:cs="Arial"/>
        </w:rPr>
      </w:pPr>
    </w:p>
    <w:sdt>
      <w:sdtPr>
        <w:rPr>
          <w:rFonts w:ascii="Arial" w:eastAsiaTheme="minorHAnsi" w:hAnsi="Arial" w:cs="Arial"/>
          <w:color w:val="auto"/>
          <w:sz w:val="22"/>
          <w:szCs w:val="22"/>
        </w:rPr>
        <w:id w:val="-371227319"/>
        <w:docPartObj>
          <w:docPartGallery w:val="Table of Contents"/>
          <w:docPartUnique/>
        </w:docPartObj>
      </w:sdtPr>
      <w:sdtEndPr>
        <w:rPr>
          <w:rFonts w:asciiTheme="minorHAnsi" w:hAnsiTheme="minorHAnsi" w:cstheme="minorBidi"/>
          <w:b/>
          <w:bCs/>
          <w:noProof/>
        </w:rPr>
      </w:sdtEndPr>
      <w:sdtContent>
        <w:p w14:paraId="33A45577" w14:textId="5985B293" w:rsidR="00BB539D" w:rsidRPr="0039541E" w:rsidRDefault="00BB539D">
          <w:pPr>
            <w:pStyle w:val="TOCHeading"/>
            <w:rPr>
              <w:rFonts w:ascii="Arial" w:hAnsi="Arial" w:cs="Arial"/>
              <w:color w:val="auto"/>
            </w:rPr>
          </w:pPr>
          <w:r w:rsidRPr="0039541E">
            <w:rPr>
              <w:rFonts w:ascii="Arial" w:hAnsi="Arial" w:cs="Arial"/>
              <w:color w:val="auto"/>
            </w:rPr>
            <w:t>Table of Contents</w:t>
          </w:r>
        </w:p>
        <w:p w14:paraId="33F1AA44" w14:textId="06F053C8" w:rsidR="0039541E" w:rsidRDefault="00BB539D">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20719269" w:history="1">
            <w:r w:rsidR="0039541E" w:rsidRPr="008D7B55">
              <w:rPr>
                <w:rStyle w:val="Hyperlink"/>
                <w:rFonts w:ascii="Arial" w:hAnsi="Arial" w:cs="Arial"/>
                <w:noProof/>
              </w:rPr>
              <w:t>Executive Summary</w:t>
            </w:r>
            <w:r w:rsidR="0039541E">
              <w:rPr>
                <w:noProof/>
                <w:webHidden/>
              </w:rPr>
              <w:tab/>
            </w:r>
            <w:r w:rsidR="0039541E">
              <w:rPr>
                <w:noProof/>
                <w:webHidden/>
              </w:rPr>
              <w:fldChar w:fldCharType="begin"/>
            </w:r>
            <w:r w:rsidR="0039541E">
              <w:rPr>
                <w:noProof/>
                <w:webHidden/>
              </w:rPr>
              <w:instrText xml:space="preserve"> PAGEREF _Toc120719269 \h </w:instrText>
            </w:r>
            <w:r w:rsidR="0039541E">
              <w:rPr>
                <w:noProof/>
                <w:webHidden/>
              </w:rPr>
            </w:r>
            <w:r w:rsidR="0039541E">
              <w:rPr>
                <w:noProof/>
                <w:webHidden/>
              </w:rPr>
              <w:fldChar w:fldCharType="separate"/>
            </w:r>
            <w:r w:rsidR="0039541E">
              <w:rPr>
                <w:noProof/>
                <w:webHidden/>
              </w:rPr>
              <w:t>2</w:t>
            </w:r>
            <w:r w:rsidR="0039541E">
              <w:rPr>
                <w:noProof/>
                <w:webHidden/>
              </w:rPr>
              <w:fldChar w:fldCharType="end"/>
            </w:r>
          </w:hyperlink>
        </w:p>
        <w:p w14:paraId="591DD144" w14:textId="4A52F832" w:rsidR="0039541E" w:rsidRDefault="00D653C8">
          <w:pPr>
            <w:pStyle w:val="TOC1"/>
            <w:tabs>
              <w:tab w:val="right" w:leader="dot" w:pos="9350"/>
            </w:tabs>
            <w:rPr>
              <w:rFonts w:eastAsiaTheme="minorEastAsia"/>
              <w:noProof/>
            </w:rPr>
          </w:pPr>
          <w:hyperlink w:anchor="_Toc120719270" w:history="1">
            <w:r w:rsidR="0039541E" w:rsidRPr="008D7B55">
              <w:rPr>
                <w:rStyle w:val="Hyperlink"/>
                <w:rFonts w:ascii="Arial" w:hAnsi="Arial" w:cs="Arial"/>
                <w:noProof/>
              </w:rPr>
              <w:t>Comparison of Marriott International ratios considering year 2020 and 2021</w:t>
            </w:r>
            <w:r w:rsidR="0039541E">
              <w:rPr>
                <w:noProof/>
                <w:webHidden/>
              </w:rPr>
              <w:tab/>
            </w:r>
            <w:r w:rsidR="0039541E">
              <w:rPr>
                <w:noProof/>
                <w:webHidden/>
              </w:rPr>
              <w:fldChar w:fldCharType="begin"/>
            </w:r>
            <w:r w:rsidR="0039541E">
              <w:rPr>
                <w:noProof/>
                <w:webHidden/>
              </w:rPr>
              <w:instrText xml:space="preserve"> PAGEREF _Toc120719270 \h </w:instrText>
            </w:r>
            <w:r w:rsidR="0039541E">
              <w:rPr>
                <w:noProof/>
                <w:webHidden/>
              </w:rPr>
            </w:r>
            <w:r w:rsidR="0039541E">
              <w:rPr>
                <w:noProof/>
                <w:webHidden/>
              </w:rPr>
              <w:fldChar w:fldCharType="separate"/>
            </w:r>
            <w:r w:rsidR="0039541E">
              <w:rPr>
                <w:noProof/>
                <w:webHidden/>
              </w:rPr>
              <w:t>4</w:t>
            </w:r>
            <w:r w:rsidR="0039541E">
              <w:rPr>
                <w:noProof/>
                <w:webHidden/>
              </w:rPr>
              <w:fldChar w:fldCharType="end"/>
            </w:r>
          </w:hyperlink>
        </w:p>
        <w:p w14:paraId="67F1F105" w14:textId="5B44D7D0" w:rsidR="0039541E" w:rsidRDefault="00D653C8">
          <w:pPr>
            <w:pStyle w:val="TOC2"/>
            <w:tabs>
              <w:tab w:val="right" w:leader="dot" w:pos="9350"/>
            </w:tabs>
            <w:rPr>
              <w:rFonts w:eastAsiaTheme="minorEastAsia"/>
              <w:noProof/>
            </w:rPr>
          </w:pPr>
          <w:hyperlink w:anchor="_Toc120719271" w:history="1">
            <w:r w:rsidR="0039541E" w:rsidRPr="008D7B55">
              <w:rPr>
                <w:rStyle w:val="Hyperlink"/>
                <w:rFonts w:ascii="Arial" w:hAnsi="Arial" w:cs="Arial"/>
                <w:b/>
                <w:bCs/>
                <w:noProof/>
              </w:rPr>
              <w:t>LIQUIDITY RATIOS</w:t>
            </w:r>
            <w:r w:rsidR="0039541E">
              <w:rPr>
                <w:noProof/>
                <w:webHidden/>
              </w:rPr>
              <w:tab/>
            </w:r>
            <w:r w:rsidR="0039541E">
              <w:rPr>
                <w:noProof/>
                <w:webHidden/>
              </w:rPr>
              <w:fldChar w:fldCharType="begin"/>
            </w:r>
            <w:r w:rsidR="0039541E">
              <w:rPr>
                <w:noProof/>
                <w:webHidden/>
              </w:rPr>
              <w:instrText xml:space="preserve"> PAGEREF _Toc120719271 \h </w:instrText>
            </w:r>
            <w:r w:rsidR="0039541E">
              <w:rPr>
                <w:noProof/>
                <w:webHidden/>
              </w:rPr>
            </w:r>
            <w:r w:rsidR="0039541E">
              <w:rPr>
                <w:noProof/>
                <w:webHidden/>
              </w:rPr>
              <w:fldChar w:fldCharType="separate"/>
            </w:r>
            <w:r w:rsidR="0039541E">
              <w:rPr>
                <w:noProof/>
                <w:webHidden/>
              </w:rPr>
              <w:t>4</w:t>
            </w:r>
            <w:r w:rsidR="0039541E">
              <w:rPr>
                <w:noProof/>
                <w:webHidden/>
              </w:rPr>
              <w:fldChar w:fldCharType="end"/>
            </w:r>
          </w:hyperlink>
        </w:p>
        <w:p w14:paraId="47B84C6B" w14:textId="32607500" w:rsidR="0039541E" w:rsidRDefault="00D653C8">
          <w:pPr>
            <w:pStyle w:val="TOC2"/>
            <w:tabs>
              <w:tab w:val="right" w:leader="dot" w:pos="9350"/>
            </w:tabs>
            <w:rPr>
              <w:rFonts w:eastAsiaTheme="minorEastAsia"/>
              <w:noProof/>
            </w:rPr>
          </w:pPr>
          <w:hyperlink w:anchor="_Toc120719272" w:history="1">
            <w:r w:rsidR="0039541E" w:rsidRPr="008D7B55">
              <w:rPr>
                <w:rStyle w:val="Hyperlink"/>
                <w:rFonts w:ascii="Arial" w:hAnsi="Arial" w:cs="Arial"/>
                <w:b/>
                <w:bCs/>
                <w:noProof/>
              </w:rPr>
              <w:t>PROFITABILITY RATIOS</w:t>
            </w:r>
            <w:r w:rsidR="0039541E">
              <w:rPr>
                <w:noProof/>
                <w:webHidden/>
              </w:rPr>
              <w:tab/>
            </w:r>
            <w:r w:rsidR="0039541E">
              <w:rPr>
                <w:noProof/>
                <w:webHidden/>
              </w:rPr>
              <w:fldChar w:fldCharType="begin"/>
            </w:r>
            <w:r w:rsidR="0039541E">
              <w:rPr>
                <w:noProof/>
                <w:webHidden/>
              </w:rPr>
              <w:instrText xml:space="preserve"> PAGEREF _Toc120719272 \h </w:instrText>
            </w:r>
            <w:r w:rsidR="0039541E">
              <w:rPr>
                <w:noProof/>
                <w:webHidden/>
              </w:rPr>
            </w:r>
            <w:r w:rsidR="0039541E">
              <w:rPr>
                <w:noProof/>
                <w:webHidden/>
              </w:rPr>
              <w:fldChar w:fldCharType="separate"/>
            </w:r>
            <w:r w:rsidR="0039541E">
              <w:rPr>
                <w:noProof/>
                <w:webHidden/>
              </w:rPr>
              <w:t>4</w:t>
            </w:r>
            <w:r w:rsidR="0039541E">
              <w:rPr>
                <w:noProof/>
                <w:webHidden/>
              </w:rPr>
              <w:fldChar w:fldCharType="end"/>
            </w:r>
          </w:hyperlink>
        </w:p>
        <w:p w14:paraId="04588B87" w14:textId="53E88250" w:rsidR="0039541E" w:rsidRDefault="00D653C8">
          <w:pPr>
            <w:pStyle w:val="TOC2"/>
            <w:tabs>
              <w:tab w:val="right" w:leader="dot" w:pos="9350"/>
            </w:tabs>
            <w:rPr>
              <w:rFonts w:eastAsiaTheme="minorEastAsia"/>
              <w:noProof/>
            </w:rPr>
          </w:pPr>
          <w:hyperlink w:anchor="_Toc120719273" w:history="1">
            <w:r w:rsidR="0039541E" w:rsidRPr="008D7B55">
              <w:rPr>
                <w:rStyle w:val="Hyperlink"/>
                <w:rFonts w:ascii="Arial" w:hAnsi="Arial" w:cs="Arial"/>
                <w:b/>
                <w:bCs/>
                <w:noProof/>
              </w:rPr>
              <w:t>GEARING RATIOS</w:t>
            </w:r>
            <w:r w:rsidR="0039541E">
              <w:rPr>
                <w:noProof/>
                <w:webHidden/>
              </w:rPr>
              <w:tab/>
            </w:r>
            <w:r w:rsidR="0039541E">
              <w:rPr>
                <w:noProof/>
                <w:webHidden/>
              </w:rPr>
              <w:fldChar w:fldCharType="begin"/>
            </w:r>
            <w:r w:rsidR="0039541E">
              <w:rPr>
                <w:noProof/>
                <w:webHidden/>
              </w:rPr>
              <w:instrText xml:space="preserve"> PAGEREF _Toc120719273 \h </w:instrText>
            </w:r>
            <w:r w:rsidR="0039541E">
              <w:rPr>
                <w:noProof/>
                <w:webHidden/>
              </w:rPr>
            </w:r>
            <w:r w:rsidR="0039541E">
              <w:rPr>
                <w:noProof/>
                <w:webHidden/>
              </w:rPr>
              <w:fldChar w:fldCharType="separate"/>
            </w:r>
            <w:r w:rsidR="0039541E">
              <w:rPr>
                <w:noProof/>
                <w:webHidden/>
              </w:rPr>
              <w:t>6</w:t>
            </w:r>
            <w:r w:rsidR="0039541E">
              <w:rPr>
                <w:noProof/>
                <w:webHidden/>
              </w:rPr>
              <w:fldChar w:fldCharType="end"/>
            </w:r>
          </w:hyperlink>
        </w:p>
        <w:p w14:paraId="53ED67AC" w14:textId="6E981E66" w:rsidR="0039541E" w:rsidRDefault="00D653C8">
          <w:pPr>
            <w:pStyle w:val="TOC1"/>
            <w:tabs>
              <w:tab w:val="right" w:leader="dot" w:pos="9350"/>
            </w:tabs>
            <w:rPr>
              <w:rFonts w:eastAsiaTheme="minorEastAsia"/>
              <w:noProof/>
            </w:rPr>
          </w:pPr>
          <w:hyperlink w:anchor="_Toc120719274" w:history="1">
            <w:r w:rsidR="0039541E" w:rsidRPr="008D7B55">
              <w:rPr>
                <w:rStyle w:val="Hyperlink"/>
                <w:rFonts w:ascii="Arial" w:hAnsi="Arial" w:cs="Arial"/>
                <w:noProof/>
              </w:rPr>
              <w:t>Importance of understanding of ratio and their fluctuations for hotel management</w:t>
            </w:r>
            <w:r w:rsidR="0039541E">
              <w:rPr>
                <w:noProof/>
                <w:webHidden/>
              </w:rPr>
              <w:tab/>
            </w:r>
            <w:r w:rsidR="0039541E">
              <w:rPr>
                <w:noProof/>
                <w:webHidden/>
              </w:rPr>
              <w:fldChar w:fldCharType="begin"/>
            </w:r>
            <w:r w:rsidR="0039541E">
              <w:rPr>
                <w:noProof/>
                <w:webHidden/>
              </w:rPr>
              <w:instrText xml:space="preserve"> PAGEREF _Toc120719274 \h </w:instrText>
            </w:r>
            <w:r w:rsidR="0039541E">
              <w:rPr>
                <w:noProof/>
                <w:webHidden/>
              </w:rPr>
            </w:r>
            <w:r w:rsidR="0039541E">
              <w:rPr>
                <w:noProof/>
                <w:webHidden/>
              </w:rPr>
              <w:fldChar w:fldCharType="separate"/>
            </w:r>
            <w:r w:rsidR="0039541E">
              <w:rPr>
                <w:noProof/>
                <w:webHidden/>
              </w:rPr>
              <w:t>7</w:t>
            </w:r>
            <w:r w:rsidR="0039541E">
              <w:rPr>
                <w:noProof/>
                <w:webHidden/>
              </w:rPr>
              <w:fldChar w:fldCharType="end"/>
            </w:r>
          </w:hyperlink>
        </w:p>
        <w:p w14:paraId="55AF2313" w14:textId="68EBCA2B" w:rsidR="0039541E" w:rsidRDefault="00D653C8">
          <w:pPr>
            <w:pStyle w:val="TOC1"/>
            <w:tabs>
              <w:tab w:val="right" w:leader="dot" w:pos="9350"/>
            </w:tabs>
            <w:rPr>
              <w:rFonts w:eastAsiaTheme="minorEastAsia"/>
              <w:noProof/>
            </w:rPr>
          </w:pPr>
          <w:hyperlink w:anchor="_Toc120719275" w:history="1">
            <w:r w:rsidR="0039541E" w:rsidRPr="008D7B55">
              <w:rPr>
                <w:rStyle w:val="Hyperlink"/>
                <w:rFonts w:ascii="Arial" w:hAnsi="Arial" w:cs="Arial"/>
                <w:noProof/>
              </w:rPr>
              <w:t>Outlining the importance of using the ratio analysis in order to make an effective decision making</w:t>
            </w:r>
            <w:r w:rsidR="0039541E">
              <w:rPr>
                <w:noProof/>
                <w:webHidden/>
              </w:rPr>
              <w:tab/>
            </w:r>
            <w:r w:rsidR="0039541E">
              <w:rPr>
                <w:noProof/>
                <w:webHidden/>
              </w:rPr>
              <w:fldChar w:fldCharType="begin"/>
            </w:r>
            <w:r w:rsidR="0039541E">
              <w:rPr>
                <w:noProof/>
                <w:webHidden/>
              </w:rPr>
              <w:instrText xml:space="preserve"> PAGEREF _Toc120719275 \h </w:instrText>
            </w:r>
            <w:r w:rsidR="0039541E">
              <w:rPr>
                <w:noProof/>
                <w:webHidden/>
              </w:rPr>
            </w:r>
            <w:r w:rsidR="0039541E">
              <w:rPr>
                <w:noProof/>
                <w:webHidden/>
              </w:rPr>
              <w:fldChar w:fldCharType="separate"/>
            </w:r>
            <w:r w:rsidR="0039541E">
              <w:rPr>
                <w:noProof/>
                <w:webHidden/>
              </w:rPr>
              <w:t>8</w:t>
            </w:r>
            <w:r w:rsidR="0039541E">
              <w:rPr>
                <w:noProof/>
                <w:webHidden/>
              </w:rPr>
              <w:fldChar w:fldCharType="end"/>
            </w:r>
          </w:hyperlink>
        </w:p>
        <w:p w14:paraId="3AE177D4" w14:textId="3FB4532F" w:rsidR="0039541E" w:rsidRDefault="00D653C8">
          <w:pPr>
            <w:pStyle w:val="TOC1"/>
            <w:tabs>
              <w:tab w:val="right" w:leader="dot" w:pos="9350"/>
            </w:tabs>
            <w:rPr>
              <w:rFonts w:eastAsiaTheme="minorEastAsia"/>
              <w:noProof/>
            </w:rPr>
          </w:pPr>
          <w:hyperlink w:anchor="_Toc120719276" w:history="1">
            <w:r w:rsidR="0039541E" w:rsidRPr="008D7B55">
              <w:rPr>
                <w:rStyle w:val="Hyperlink"/>
                <w:rFonts w:ascii="Arial" w:hAnsi="Arial" w:cs="Arial"/>
                <w:noProof/>
              </w:rPr>
              <w:t>Limitation of ratio analysis</w:t>
            </w:r>
            <w:r w:rsidR="0039541E">
              <w:rPr>
                <w:noProof/>
                <w:webHidden/>
              </w:rPr>
              <w:tab/>
            </w:r>
            <w:r w:rsidR="0039541E">
              <w:rPr>
                <w:noProof/>
                <w:webHidden/>
              </w:rPr>
              <w:fldChar w:fldCharType="begin"/>
            </w:r>
            <w:r w:rsidR="0039541E">
              <w:rPr>
                <w:noProof/>
                <w:webHidden/>
              </w:rPr>
              <w:instrText xml:space="preserve"> PAGEREF _Toc120719276 \h </w:instrText>
            </w:r>
            <w:r w:rsidR="0039541E">
              <w:rPr>
                <w:noProof/>
                <w:webHidden/>
              </w:rPr>
            </w:r>
            <w:r w:rsidR="0039541E">
              <w:rPr>
                <w:noProof/>
                <w:webHidden/>
              </w:rPr>
              <w:fldChar w:fldCharType="separate"/>
            </w:r>
            <w:r w:rsidR="0039541E">
              <w:rPr>
                <w:noProof/>
                <w:webHidden/>
              </w:rPr>
              <w:t>9</w:t>
            </w:r>
            <w:r w:rsidR="0039541E">
              <w:rPr>
                <w:noProof/>
                <w:webHidden/>
              </w:rPr>
              <w:fldChar w:fldCharType="end"/>
            </w:r>
          </w:hyperlink>
        </w:p>
        <w:p w14:paraId="76BED761" w14:textId="0E007FBA" w:rsidR="0039541E" w:rsidRDefault="00D653C8">
          <w:pPr>
            <w:pStyle w:val="TOC1"/>
            <w:tabs>
              <w:tab w:val="right" w:leader="dot" w:pos="9350"/>
            </w:tabs>
            <w:rPr>
              <w:rFonts w:eastAsiaTheme="minorEastAsia"/>
              <w:noProof/>
            </w:rPr>
          </w:pPr>
          <w:hyperlink w:anchor="_Toc120719277" w:history="1">
            <w:r w:rsidR="0039541E" w:rsidRPr="008D7B55">
              <w:rPr>
                <w:rStyle w:val="Hyperlink"/>
                <w:rFonts w:ascii="Arial" w:hAnsi="Arial" w:cs="Arial"/>
                <w:noProof/>
              </w:rPr>
              <w:t>Conclusion</w:t>
            </w:r>
            <w:r w:rsidR="0039541E">
              <w:rPr>
                <w:noProof/>
                <w:webHidden/>
              </w:rPr>
              <w:tab/>
            </w:r>
            <w:r w:rsidR="0039541E">
              <w:rPr>
                <w:noProof/>
                <w:webHidden/>
              </w:rPr>
              <w:fldChar w:fldCharType="begin"/>
            </w:r>
            <w:r w:rsidR="0039541E">
              <w:rPr>
                <w:noProof/>
                <w:webHidden/>
              </w:rPr>
              <w:instrText xml:space="preserve"> PAGEREF _Toc120719277 \h </w:instrText>
            </w:r>
            <w:r w:rsidR="0039541E">
              <w:rPr>
                <w:noProof/>
                <w:webHidden/>
              </w:rPr>
            </w:r>
            <w:r w:rsidR="0039541E">
              <w:rPr>
                <w:noProof/>
                <w:webHidden/>
              </w:rPr>
              <w:fldChar w:fldCharType="separate"/>
            </w:r>
            <w:r w:rsidR="0039541E">
              <w:rPr>
                <w:noProof/>
                <w:webHidden/>
              </w:rPr>
              <w:t>10</w:t>
            </w:r>
            <w:r w:rsidR="0039541E">
              <w:rPr>
                <w:noProof/>
                <w:webHidden/>
              </w:rPr>
              <w:fldChar w:fldCharType="end"/>
            </w:r>
          </w:hyperlink>
        </w:p>
        <w:p w14:paraId="12599C80" w14:textId="7EE29BC4" w:rsidR="0039541E" w:rsidRDefault="00D653C8">
          <w:pPr>
            <w:pStyle w:val="TOC1"/>
            <w:tabs>
              <w:tab w:val="right" w:leader="dot" w:pos="9350"/>
            </w:tabs>
            <w:rPr>
              <w:rFonts w:eastAsiaTheme="minorEastAsia"/>
              <w:noProof/>
            </w:rPr>
          </w:pPr>
          <w:hyperlink w:anchor="_Toc120719278" w:history="1">
            <w:r w:rsidR="0039541E" w:rsidRPr="008D7B55">
              <w:rPr>
                <w:rStyle w:val="Hyperlink"/>
                <w:noProof/>
              </w:rPr>
              <w:t>References</w:t>
            </w:r>
            <w:r w:rsidR="0039541E">
              <w:rPr>
                <w:noProof/>
                <w:webHidden/>
              </w:rPr>
              <w:tab/>
            </w:r>
            <w:r w:rsidR="0039541E">
              <w:rPr>
                <w:noProof/>
                <w:webHidden/>
              </w:rPr>
              <w:fldChar w:fldCharType="begin"/>
            </w:r>
            <w:r w:rsidR="0039541E">
              <w:rPr>
                <w:noProof/>
                <w:webHidden/>
              </w:rPr>
              <w:instrText xml:space="preserve"> PAGEREF _Toc120719278 \h </w:instrText>
            </w:r>
            <w:r w:rsidR="0039541E">
              <w:rPr>
                <w:noProof/>
                <w:webHidden/>
              </w:rPr>
            </w:r>
            <w:r w:rsidR="0039541E">
              <w:rPr>
                <w:noProof/>
                <w:webHidden/>
              </w:rPr>
              <w:fldChar w:fldCharType="separate"/>
            </w:r>
            <w:r w:rsidR="0039541E">
              <w:rPr>
                <w:noProof/>
                <w:webHidden/>
              </w:rPr>
              <w:t>11</w:t>
            </w:r>
            <w:r w:rsidR="0039541E">
              <w:rPr>
                <w:noProof/>
                <w:webHidden/>
              </w:rPr>
              <w:fldChar w:fldCharType="end"/>
            </w:r>
          </w:hyperlink>
        </w:p>
        <w:p w14:paraId="426F92FE" w14:textId="12D5A282" w:rsidR="00BB539D" w:rsidRDefault="00BB539D">
          <w:r>
            <w:rPr>
              <w:b/>
              <w:bCs/>
              <w:noProof/>
            </w:rPr>
            <w:fldChar w:fldCharType="end"/>
          </w:r>
        </w:p>
      </w:sdtContent>
    </w:sdt>
    <w:p w14:paraId="75DA9D04" w14:textId="77777777" w:rsidR="00BB539D" w:rsidRPr="00BB539D" w:rsidRDefault="00BB539D" w:rsidP="005938FF">
      <w:pPr>
        <w:rPr>
          <w:rFonts w:ascii="Arial" w:hAnsi="Arial" w:cs="Arial"/>
        </w:rPr>
      </w:pPr>
    </w:p>
    <w:p w14:paraId="1DB19A36" w14:textId="4175D5E5" w:rsidR="005938FF" w:rsidRPr="00BB539D" w:rsidRDefault="005938FF" w:rsidP="005938FF">
      <w:pPr>
        <w:rPr>
          <w:rFonts w:ascii="Arial" w:hAnsi="Arial" w:cs="Arial"/>
        </w:rPr>
      </w:pPr>
    </w:p>
    <w:p w14:paraId="609B8895" w14:textId="49D3A687" w:rsidR="005938FF" w:rsidRPr="00BB539D" w:rsidRDefault="005938FF" w:rsidP="005938FF">
      <w:pPr>
        <w:rPr>
          <w:rFonts w:ascii="Arial" w:hAnsi="Arial" w:cs="Arial"/>
        </w:rPr>
      </w:pPr>
    </w:p>
    <w:p w14:paraId="57A8602F" w14:textId="717ECE6D" w:rsidR="005938FF" w:rsidRPr="00BB539D" w:rsidRDefault="005938FF" w:rsidP="005938FF">
      <w:pPr>
        <w:rPr>
          <w:rFonts w:ascii="Arial" w:hAnsi="Arial" w:cs="Arial"/>
        </w:rPr>
      </w:pPr>
    </w:p>
    <w:p w14:paraId="28C22642" w14:textId="3B4272CA" w:rsidR="005938FF" w:rsidRPr="00BB539D" w:rsidRDefault="005938FF" w:rsidP="005938FF">
      <w:pPr>
        <w:rPr>
          <w:rFonts w:ascii="Arial" w:hAnsi="Arial" w:cs="Arial"/>
        </w:rPr>
      </w:pPr>
    </w:p>
    <w:p w14:paraId="7F3A8DCA" w14:textId="045E797E" w:rsidR="005938FF" w:rsidRPr="00BB539D" w:rsidRDefault="005938FF" w:rsidP="005938FF">
      <w:pPr>
        <w:rPr>
          <w:rFonts w:ascii="Arial" w:hAnsi="Arial" w:cs="Arial"/>
        </w:rPr>
      </w:pPr>
    </w:p>
    <w:p w14:paraId="37679B09" w14:textId="1CB36DF5" w:rsidR="005938FF" w:rsidRPr="00BB539D" w:rsidRDefault="005938FF" w:rsidP="005938FF">
      <w:pPr>
        <w:rPr>
          <w:rFonts w:ascii="Arial" w:hAnsi="Arial" w:cs="Arial"/>
        </w:rPr>
      </w:pPr>
    </w:p>
    <w:p w14:paraId="2A8E00A2" w14:textId="24BB1C46" w:rsidR="005938FF" w:rsidRPr="00BB539D" w:rsidRDefault="005938FF" w:rsidP="005938FF">
      <w:pPr>
        <w:rPr>
          <w:rFonts w:ascii="Arial" w:hAnsi="Arial" w:cs="Arial"/>
        </w:rPr>
      </w:pPr>
    </w:p>
    <w:p w14:paraId="39385F9B" w14:textId="42B87D4C" w:rsidR="005938FF" w:rsidRPr="00BB539D" w:rsidRDefault="005938FF" w:rsidP="005938FF">
      <w:pPr>
        <w:rPr>
          <w:rFonts w:ascii="Arial" w:hAnsi="Arial" w:cs="Arial"/>
        </w:rPr>
      </w:pPr>
    </w:p>
    <w:p w14:paraId="3AABAB18" w14:textId="66CF936E" w:rsidR="005938FF" w:rsidRPr="00BB539D" w:rsidRDefault="005938FF" w:rsidP="005938FF">
      <w:pPr>
        <w:rPr>
          <w:rFonts w:ascii="Arial" w:hAnsi="Arial" w:cs="Arial"/>
        </w:rPr>
      </w:pPr>
    </w:p>
    <w:p w14:paraId="4457C963" w14:textId="76D5C06A" w:rsidR="005938FF" w:rsidRPr="00BB539D" w:rsidRDefault="005938FF" w:rsidP="005938FF">
      <w:pPr>
        <w:rPr>
          <w:rFonts w:ascii="Arial" w:hAnsi="Arial" w:cs="Arial"/>
        </w:rPr>
      </w:pPr>
    </w:p>
    <w:p w14:paraId="0143A077" w14:textId="1A6FB5BF" w:rsidR="005938FF" w:rsidRPr="00BB539D" w:rsidRDefault="005938FF" w:rsidP="005938FF">
      <w:pPr>
        <w:rPr>
          <w:rFonts w:ascii="Arial" w:hAnsi="Arial" w:cs="Arial"/>
        </w:rPr>
      </w:pPr>
    </w:p>
    <w:p w14:paraId="4A9C22ED" w14:textId="62F4A876" w:rsidR="005938FF" w:rsidRPr="00BB539D" w:rsidRDefault="005938FF" w:rsidP="005938FF">
      <w:pPr>
        <w:rPr>
          <w:rFonts w:ascii="Arial" w:hAnsi="Arial" w:cs="Arial"/>
        </w:rPr>
      </w:pPr>
    </w:p>
    <w:p w14:paraId="5EEFAE9A" w14:textId="2C0A2DD4" w:rsidR="005938FF" w:rsidRPr="00BB539D" w:rsidRDefault="005938FF" w:rsidP="005938FF">
      <w:pPr>
        <w:rPr>
          <w:rFonts w:ascii="Arial" w:hAnsi="Arial" w:cs="Arial"/>
        </w:rPr>
      </w:pPr>
    </w:p>
    <w:p w14:paraId="1D8CD65D" w14:textId="3F08780A" w:rsidR="005938FF" w:rsidRPr="00BB539D" w:rsidRDefault="005938FF" w:rsidP="005938FF">
      <w:pPr>
        <w:rPr>
          <w:rFonts w:ascii="Arial" w:hAnsi="Arial" w:cs="Arial"/>
        </w:rPr>
      </w:pPr>
    </w:p>
    <w:p w14:paraId="42F1F1B2" w14:textId="56D2203D" w:rsidR="005938FF" w:rsidRPr="00BB539D" w:rsidRDefault="005938FF" w:rsidP="005938FF">
      <w:pPr>
        <w:rPr>
          <w:rFonts w:ascii="Arial" w:hAnsi="Arial" w:cs="Arial"/>
        </w:rPr>
      </w:pPr>
    </w:p>
    <w:p w14:paraId="562BB78C" w14:textId="77777777" w:rsidR="005938FF" w:rsidRPr="00BB539D" w:rsidRDefault="005938FF" w:rsidP="005938FF">
      <w:pPr>
        <w:rPr>
          <w:rFonts w:ascii="Arial" w:hAnsi="Arial" w:cs="Arial"/>
        </w:rPr>
      </w:pPr>
    </w:p>
    <w:p w14:paraId="0EB6484B" w14:textId="5EE4F4EF" w:rsidR="005938FF" w:rsidRPr="00BB539D" w:rsidRDefault="005938FF" w:rsidP="005938FF">
      <w:pPr>
        <w:rPr>
          <w:rFonts w:ascii="Arial" w:hAnsi="Arial" w:cs="Arial"/>
        </w:rPr>
      </w:pPr>
    </w:p>
    <w:p w14:paraId="66E390B3" w14:textId="4E3517EE" w:rsidR="00BF4106" w:rsidRPr="00BB539D" w:rsidRDefault="00BF4106" w:rsidP="00BB539D">
      <w:pPr>
        <w:spacing w:line="360" w:lineRule="auto"/>
        <w:jc w:val="both"/>
        <w:rPr>
          <w:rFonts w:ascii="Arial" w:hAnsi="Arial" w:cs="Arial"/>
          <w:sz w:val="24"/>
          <w:szCs w:val="24"/>
        </w:rPr>
      </w:pPr>
      <w:r w:rsidRPr="00BB539D">
        <w:rPr>
          <w:rFonts w:ascii="Arial" w:hAnsi="Arial" w:cs="Arial"/>
          <w:sz w:val="24"/>
          <w:szCs w:val="24"/>
        </w:rPr>
        <w:t>Ratio aids financial management in making informed business decisions for capturing greater opportunities in the future by summari</w:t>
      </w:r>
      <w:r w:rsidRPr="00BB539D">
        <w:rPr>
          <w:rFonts w:ascii="Arial" w:hAnsi="Arial" w:cs="Arial"/>
          <w:b/>
          <w:sz w:val="24"/>
          <w:szCs w:val="24"/>
        </w:rPr>
        <w:t>z</w:t>
      </w:r>
      <w:r w:rsidRPr="00BB539D">
        <w:rPr>
          <w:rFonts w:ascii="Arial" w:hAnsi="Arial" w:cs="Arial"/>
          <w:sz w:val="24"/>
          <w:szCs w:val="24"/>
        </w:rPr>
        <w:t>ing the outcomes of interpreted financial activities. Regarding the years 2020 and 2021, respectively, the ratio analysis has been analy</w:t>
      </w:r>
      <w:r w:rsidRPr="00BB539D">
        <w:rPr>
          <w:rFonts w:ascii="Arial" w:hAnsi="Arial" w:cs="Arial"/>
          <w:b/>
          <w:sz w:val="24"/>
          <w:szCs w:val="24"/>
        </w:rPr>
        <w:t>z</w:t>
      </w:r>
      <w:r w:rsidRPr="00BB539D">
        <w:rPr>
          <w:rFonts w:ascii="Arial" w:hAnsi="Arial" w:cs="Arial"/>
          <w:sz w:val="24"/>
          <w:szCs w:val="24"/>
        </w:rPr>
        <w:t>ed for the relevant company, Marriott International Inc.</w:t>
      </w:r>
    </w:p>
    <w:p w14:paraId="6ED16380" w14:textId="1C389B2B" w:rsidR="00BF4106" w:rsidRPr="00BB539D" w:rsidRDefault="00BF4106" w:rsidP="00BF4106">
      <w:pPr>
        <w:pStyle w:val="Heading1"/>
        <w:spacing w:after="240" w:line="360" w:lineRule="auto"/>
        <w:ind w:left="-1"/>
        <w:jc w:val="both"/>
        <w:rPr>
          <w:rFonts w:ascii="Arial" w:hAnsi="Arial" w:cs="Arial"/>
          <w:szCs w:val="24"/>
        </w:rPr>
      </w:pPr>
      <w:bookmarkStart w:id="2" w:name="_Toc120719270"/>
      <w:r w:rsidRPr="00BB539D">
        <w:rPr>
          <w:rFonts w:ascii="Arial" w:hAnsi="Arial" w:cs="Arial"/>
          <w:szCs w:val="24"/>
        </w:rPr>
        <w:t>Comparison of Marriott International ratios considering year 2020 and 2021</w:t>
      </w:r>
      <w:bookmarkEnd w:id="2"/>
    </w:p>
    <w:p w14:paraId="410E7516" w14:textId="4A55911B" w:rsidR="00BF4106" w:rsidRPr="00BB539D" w:rsidRDefault="00BF4106" w:rsidP="00BB539D">
      <w:pPr>
        <w:spacing w:line="360" w:lineRule="auto"/>
        <w:jc w:val="both"/>
        <w:rPr>
          <w:rFonts w:ascii="Arial" w:hAnsi="Arial" w:cs="Arial"/>
          <w:sz w:val="24"/>
          <w:szCs w:val="24"/>
        </w:rPr>
      </w:pPr>
      <w:r w:rsidRPr="00BB539D">
        <w:rPr>
          <w:rFonts w:ascii="Arial" w:hAnsi="Arial" w:cs="Arial"/>
          <w:sz w:val="24"/>
          <w:szCs w:val="24"/>
        </w:rPr>
        <w:t>The ratios have been calculated with a proper evaluation in order to meet the current trend that has been deduced from the calculations in order to analyze the financial performance of the relevant company.</w:t>
      </w:r>
    </w:p>
    <w:p w14:paraId="117A0AF0" w14:textId="4AE2049E" w:rsidR="001B2E98" w:rsidRPr="00BB539D" w:rsidRDefault="004F3430" w:rsidP="00BB539D">
      <w:pPr>
        <w:pStyle w:val="Heading2"/>
        <w:rPr>
          <w:rFonts w:ascii="Arial" w:hAnsi="Arial" w:cs="Arial"/>
          <w:b/>
          <w:bCs/>
          <w:color w:val="auto"/>
        </w:rPr>
      </w:pPr>
      <w:bookmarkStart w:id="3" w:name="_Toc120719271"/>
      <w:r>
        <w:rPr>
          <w:noProof/>
        </w:rPr>
        <w:drawing>
          <wp:anchor distT="0" distB="0" distL="114300" distR="114300" simplePos="0" relativeHeight="251658240" behindDoc="0" locked="0" layoutInCell="1" allowOverlap="1" wp14:anchorId="21BC7889" wp14:editId="5A4AD6A2">
            <wp:simplePos x="0" y="0"/>
            <wp:positionH relativeFrom="margin">
              <wp:posOffset>3241269</wp:posOffset>
            </wp:positionH>
            <wp:positionV relativeFrom="margin">
              <wp:posOffset>2742565</wp:posOffset>
            </wp:positionV>
            <wp:extent cx="2522220" cy="1981200"/>
            <wp:effectExtent l="0" t="0" r="11430" b="0"/>
            <wp:wrapSquare wrapText="bothSides"/>
            <wp:docPr id="1" name="Chart 1">
              <a:extLst xmlns:a="http://schemas.openxmlformats.org/drawingml/2006/main">
                <a:ext uri="{FF2B5EF4-FFF2-40B4-BE49-F238E27FC236}">
                  <a16:creationId xmlns:a16="http://schemas.microsoft.com/office/drawing/2014/main" id="{012BD334-4ED0-D98F-8037-37C47AA308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001B2E98" w:rsidRPr="00BB539D">
        <w:rPr>
          <w:rFonts w:ascii="Arial" w:hAnsi="Arial" w:cs="Arial"/>
          <w:b/>
          <w:bCs/>
          <w:color w:val="auto"/>
        </w:rPr>
        <w:t>LIQUIDITY RATIOS</w:t>
      </w:r>
      <w:bookmarkEnd w:id="3"/>
    </w:p>
    <w:p w14:paraId="09FB0440" w14:textId="672CAEEB" w:rsidR="001B2E98" w:rsidRDefault="001B2E98" w:rsidP="00787D2E">
      <w:pPr>
        <w:pStyle w:val="ListParagraph"/>
        <w:numPr>
          <w:ilvl w:val="0"/>
          <w:numId w:val="3"/>
        </w:numPr>
        <w:spacing w:line="360" w:lineRule="auto"/>
        <w:rPr>
          <w:rFonts w:ascii="Arial" w:hAnsi="Arial" w:cs="Arial"/>
          <w:b/>
          <w:sz w:val="24"/>
          <w:szCs w:val="24"/>
        </w:rPr>
      </w:pPr>
      <w:r w:rsidRPr="00BB539D">
        <w:rPr>
          <w:rFonts w:ascii="Arial" w:hAnsi="Arial" w:cs="Arial"/>
          <w:b/>
          <w:sz w:val="24"/>
          <w:szCs w:val="24"/>
        </w:rPr>
        <w:t>Current ratio</w:t>
      </w:r>
    </w:p>
    <w:tbl>
      <w:tblPr>
        <w:tblW w:w="3520" w:type="dxa"/>
        <w:tblLook w:val="04A0" w:firstRow="1" w:lastRow="0" w:firstColumn="1" w:lastColumn="0" w:noHBand="0" w:noVBand="1"/>
      </w:tblPr>
      <w:tblGrid>
        <w:gridCol w:w="960"/>
        <w:gridCol w:w="2560"/>
      </w:tblGrid>
      <w:tr w:rsidR="0039541E" w:rsidRPr="0039541E" w14:paraId="35E70F19" w14:textId="77777777" w:rsidTr="004F3430">
        <w:trPr>
          <w:trHeight w:val="288"/>
        </w:trPr>
        <w:tc>
          <w:tcPr>
            <w:tcW w:w="960" w:type="dxa"/>
            <w:tcBorders>
              <w:top w:val="single" w:sz="4" w:space="0" w:color="auto"/>
              <w:left w:val="single" w:sz="4" w:space="0" w:color="auto"/>
              <w:bottom w:val="single" w:sz="4" w:space="0" w:color="auto"/>
              <w:right w:val="single" w:sz="4" w:space="0" w:color="auto"/>
            </w:tcBorders>
            <w:shd w:val="clear" w:color="auto" w:fill="9CC2E5" w:themeFill="accent5" w:themeFillTint="99"/>
            <w:noWrap/>
            <w:vAlign w:val="bottom"/>
            <w:hideMark/>
          </w:tcPr>
          <w:p w14:paraId="5707D568" w14:textId="77777777" w:rsidR="0039541E" w:rsidRPr="0039541E" w:rsidRDefault="0039541E" w:rsidP="0039541E">
            <w:pPr>
              <w:spacing w:after="0" w:line="240" w:lineRule="auto"/>
              <w:rPr>
                <w:rFonts w:ascii="Calibri" w:eastAsia="Times New Roman" w:hAnsi="Calibri" w:cs="Calibri"/>
                <w:b/>
                <w:bCs/>
                <w:color w:val="000000"/>
              </w:rPr>
            </w:pPr>
            <w:r w:rsidRPr="0039541E">
              <w:rPr>
                <w:rFonts w:ascii="Calibri" w:eastAsia="Times New Roman" w:hAnsi="Calibri" w:cs="Calibri"/>
                <w:b/>
                <w:bCs/>
                <w:color w:val="000000"/>
              </w:rPr>
              <w:t>YEAR</w:t>
            </w:r>
          </w:p>
        </w:tc>
        <w:tc>
          <w:tcPr>
            <w:tcW w:w="2560" w:type="dxa"/>
            <w:tcBorders>
              <w:top w:val="single" w:sz="4" w:space="0" w:color="auto"/>
              <w:left w:val="nil"/>
              <w:bottom w:val="single" w:sz="4" w:space="0" w:color="auto"/>
              <w:right w:val="single" w:sz="4" w:space="0" w:color="auto"/>
            </w:tcBorders>
            <w:shd w:val="clear" w:color="auto" w:fill="9CC2E5" w:themeFill="accent5" w:themeFillTint="99"/>
            <w:noWrap/>
            <w:vAlign w:val="bottom"/>
            <w:hideMark/>
          </w:tcPr>
          <w:p w14:paraId="6292D44A" w14:textId="77777777" w:rsidR="0039541E" w:rsidRPr="0039541E" w:rsidRDefault="0039541E" w:rsidP="0039541E">
            <w:pPr>
              <w:spacing w:after="0" w:line="240" w:lineRule="auto"/>
              <w:rPr>
                <w:rFonts w:ascii="Calibri" w:eastAsia="Times New Roman" w:hAnsi="Calibri" w:cs="Calibri"/>
                <w:b/>
                <w:bCs/>
                <w:color w:val="000000"/>
              </w:rPr>
            </w:pPr>
            <w:r w:rsidRPr="0039541E">
              <w:rPr>
                <w:rFonts w:ascii="Calibri" w:eastAsia="Times New Roman" w:hAnsi="Calibri" w:cs="Calibri"/>
                <w:b/>
                <w:bCs/>
                <w:color w:val="000000"/>
              </w:rPr>
              <w:t>Current ratio</w:t>
            </w:r>
          </w:p>
        </w:tc>
      </w:tr>
      <w:tr w:rsidR="0039541E" w:rsidRPr="0039541E" w14:paraId="3C49D2AA" w14:textId="77777777" w:rsidTr="0039541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C3B015A" w14:textId="77777777" w:rsidR="0039541E" w:rsidRPr="0039541E" w:rsidRDefault="0039541E" w:rsidP="0039541E">
            <w:pPr>
              <w:spacing w:after="0" w:line="240" w:lineRule="auto"/>
              <w:rPr>
                <w:rFonts w:ascii="Calibri" w:eastAsia="Times New Roman" w:hAnsi="Calibri" w:cs="Calibri"/>
                <w:color w:val="000000"/>
              </w:rPr>
            </w:pPr>
            <w:r w:rsidRPr="0039541E">
              <w:rPr>
                <w:rFonts w:ascii="Calibri" w:eastAsia="Times New Roman" w:hAnsi="Calibri" w:cs="Calibri"/>
                <w:color w:val="000000"/>
              </w:rPr>
              <w:t>2020'</w:t>
            </w:r>
          </w:p>
        </w:tc>
        <w:tc>
          <w:tcPr>
            <w:tcW w:w="2560" w:type="dxa"/>
            <w:tcBorders>
              <w:top w:val="nil"/>
              <w:left w:val="nil"/>
              <w:bottom w:val="single" w:sz="4" w:space="0" w:color="auto"/>
              <w:right w:val="single" w:sz="4" w:space="0" w:color="auto"/>
            </w:tcBorders>
            <w:shd w:val="clear" w:color="auto" w:fill="auto"/>
            <w:noWrap/>
            <w:vAlign w:val="bottom"/>
            <w:hideMark/>
          </w:tcPr>
          <w:p w14:paraId="7EAFE0A3" w14:textId="77777777" w:rsidR="0039541E" w:rsidRPr="0039541E" w:rsidRDefault="0039541E" w:rsidP="0039541E">
            <w:pPr>
              <w:spacing w:after="0" w:line="240" w:lineRule="auto"/>
              <w:jc w:val="right"/>
              <w:rPr>
                <w:rFonts w:ascii="Calibri" w:eastAsia="Times New Roman" w:hAnsi="Calibri" w:cs="Calibri"/>
                <w:color w:val="000000"/>
              </w:rPr>
            </w:pPr>
            <w:r w:rsidRPr="0039541E">
              <w:rPr>
                <w:rFonts w:ascii="Calibri" w:eastAsia="Times New Roman" w:hAnsi="Calibri" w:cs="Calibri"/>
                <w:color w:val="000000"/>
              </w:rPr>
              <w:t>0.4911</w:t>
            </w:r>
          </w:p>
        </w:tc>
      </w:tr>
      <w:tr w:rsidR="0039541E" w:rsidRPr="0039541E" w14:paraId="546F2EC6" w14:textId="77777777" w:rsidTr="0039541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7238A90" w14:textId="77777777" w:rsidR="0039541E" w:rsidRPr="0039541E" w:rsidRDefault="0039541E" w:rsidP="0039541E">
            <w:pPr>
              <w:spacing w:after="0" w:line="240" w:lineRule="auto"/>
              <w:rPr>
                <w:rFonts w:ascii="Calibri" w:eastAsia="Times New Roman" w:hAnsi="Calibri" w:cs="Calibri"/>
                <w:color w:val="000000"/>
              </w:rPr>
            </w:pPr>
            <w:r w:rsidRPr="0039541E">
              <w:rPr>
                <w:rFonts w:ascii="Calibri" w:eastAsia="Times New Roman" w:hAnsi="Calibri" w:cs="Calibri"/>
                <w:color w:val="000000"/>
              </w:rPr>
              <w:t>2021'</w:t>
            </w:r>
          </w:p>
        </w:tc>
        <w:tc>
          <w:tcPr>
            <w:tcW w:w="2560" w:type="dxa"/>
            <w:tcBorders>
              <w:top w:val="nil"/>
              <w:left w:val="nil"/>
              <w:bottom w:val="single" w:sz="4" w:space="0" w:color="auto"/>
              <w:right w:val="single" w:sz="4" w:space="0" w:color="auto"/>
            </w:tcBorders>
            <w:shd w:val="clear" w:color="auto" w:fill="auto"/>
            <w:noWrap/>
            <w:vAlign w:val="bottom"/>
            <w:hideMark/>
          </w:tcPr>
          <w:p w14:paraId="2987A91B" w14:textId="77777777" w:rsidR="0039541E" w:rsidRPr="0039541E" w:rsidRDefault="0039541E" w:rsidP="0039541E">
            <w:pPr>
              <w:spacing w:after="0" w:line="240" w:lineRule="auto"/>
              <w:jc w:val="right"/>
              <w:rPr>
                <w:rFonts w:ascii="Calibri" w:eastAsia="Times New Roman" w:hAnsi="Calibri" w:cs="Calibri"/>
                <w:color w:val="000000"/>
              </w:rPr>
            </w:pPr>
            <w:r w:rsidRPr="0039541E">
              <w:rPr>
                <w:rFonts w:ascii="Calibri" w:eastAsia="Times New Roman" w:hAnsi="Calibri" w:cs="Calibri"/>
                <w:color w:val="000000"/>
              </w:rPr>
              <w:t>0.5659</w:t>
            </w:r>
          </w:p>
        </w:tc>
      </w:tr>
    </w:tbl>
    <w:p w14:paraId="17B789D9" w14:textId="32DD494B" w:rsidR="0039541E" w:rsidRPr="0039541E" w:rsidRDefault="0039541E" w:rsidP="0039541E">
      <w:pPr>
        <w:spacing w:line="360" w:lineRule="auto"/>
        <w:rPr>
          <w:rFonts w:ascii="Arial" w:hAnsi="Arial" w:cs="Arial"/>
          <w:b/>
          <w:sz w:val="24"/>
          <w:szCs w:val="24"/>
        </w:rPr>
      </w:pPr>
    </w:p>
    <w:p w14:paraId="1A649B23" w14:textId="0D4775B1" w:rsidR="001B2E98" w:rsidRPr="00BB539D" w:rsidRDefault="007E2B11" w:rsidP="00787D2E">
      <w:pPr>
        <w:spacing w:line="360" w:lineRule="auto"/>
        <w:jc w:val="both"/>
        <w:rPr>
          <w:rFonts w:ascii="Arial" w:hAnsi="Arial" w:cs="Arial"/>
          <w:bCs/>
          <w:sz w:val="24"/>
          <w:szCs w:val="24"/>
        </w:rPr>
      </w:pPr>
      <w:r w:rsidRPr="00BB539D">
        <w:rPr>
          <w:rFonts w:ascii="Arial" w:hAnsi="Arial" w:cs="Arial"/>
          <w:bCs/>
          <w:sz w:val="24"/>
          <w:szCs w:val="24"/>
        </w:rPr>
        <w:t>Above data shows the current ratio of</w:t>
      </w:r>
      <w:r w:rsidRPr="00BB539D">
        <w:rPr>
          <w:rFonts w:ascii="Arial" w:hAnsi="Arial" w:cs="Arial"/>
          <w:sz w:val="24"/>
          <w:szCs w:val="24"/>
        </w:rPr>
        <w:t xml:space="preserve"> Marriott International, Inc for the year 2020 and 2021. The data interprets that the current ratio for year 2020 is 0.4911 and 2021 is 0.5659. We can clearly see that the current ratio of Marriott International has increased in 2021 as compared to previous year. Because Marriott's short-term asset value is greater than its short-term liability value, this suggests that Marriott is better equipped to meet its obligations</w:t>
      </w:r>
      <w:sdt>
        <w:sdtPr>
          <w:rPr>
            <w:rFonts w:ascii="Arial" w:hAnsi="Arial" w:cs="Arial"/>
            <w:sz w:val="24"/>
            <w:szCs w:val="24"/>
          </w:rPr>
          <w:id w:val="-1876689105"/>
          <w:citation/>
        </w:sdtPr>
        <w:sdtEndPr/>
        <w:sdtContent>
          <w:r w:rsidR="00944E48">
            <w:rPr>
              <w:rFonts w:ascii="Arial" w:hAnsi="Arial" w:cs="Arial"/>
              <w:sz w:val="24"/>
              <w:szCs w:val="24"/>
            </w:rPr>
            <w:fldChar w:fldCharType="begin"/>
          </w:r>
          <w:r w:rsidR="00944E48">
            <w:rPr>
              <w:rFonts w:ascii="Arial" w:hAnsi="Arial" w:cs="Arial"/>
              <w:sz w:val="24"/>
              <w:szCs w:val="24"/>
            </w:rPr>
            <w:instrText xml:space="preserve"> CITATION JAS22 \l 1033 </w:instrText>
          </w:r>
          <w:r w:rsidR="00944E48">
            <w:rPr>
              <w:rFonts w:ascii="Arial" w:hAnsi="Arial" w:cs="Arial"/>
              <w:sz w:val="24"/>
              <w:szCs w:val="24"/>
            </w:rPr>
            <w:fldChar w:fldCharType="separate"/>
          </w:r>
          <w:r w:rsidR="00944E48">
            <w:rPr>
              <w:rFonts w:ascii="Arial" w:hAnsi="Arial" w:cs="Arial"/>
              <w:noProof/>
              <w:sz w:val="24"/>
              <w:szCs w:val="24"/>
            </w:rPr>
            <w:t xml:space="preserve"> </w:t>
          </w:r>
          <w:r w:rsidR="00944E48" w:rsidRPr="00944E48">
            <w:rPr>
              <w:rFonts w:ascii="Arial" w:hAnsi="Arial" w:cs="Arial"/>
              <w:noProof/>
              <w:sz w:val="24"/>
              <w:szCs w:val="24"/>
            </w:rPr>
            <w:t>(FERNANDO, 2022)</w:t>
          </w:r>
          <w:r w:rsidR="00944E48">
            <w:rPr>
              <w:rFonts w:ascii="Arial" w:hAnsi="Arial" w:cs="Arial"/>
              <w:sz w:val="24"/>
              <w:szCs w:val="24"/>
            </w:rPr>
            <w:fldChar w:fldCharType="end"/>
          </w:r>
        </w:sdtContent>
      </w:sdt>
      <w:r w:rsidRPr="00BB539D">
        <w:rPr>
          <w:rFonts w:ascii="Arial" w:hAnsi="Arial" w:cs="Arial"/>
          <w:sz w:val="24"/>
          <w:szCs w:val="24"/>
        </w:rPr>
        <w:t>.</w:t>
      </w:r>
    </w:p>
    <w:p w14:paraId="5531E5F2" w14:textId="5BD8043A" w:rsidR="001B2E98" w:rsidRDefault="004F3430" w:rsidP="00787D2E">
      <w:pPr>
        <w:pStyle w:val="ListParagraph"/>
        <w:numPr>
          <w:ilvl w:val="0"/>
          <w:numId w:val="3"/>
        </w:numPr>
        <w:spacing w:line="360" w:lineRule="auto"/>
        <w:rPr>
          <w:rFonts w:ascii="Arial" w:hAnsi="Arial" w:cs="Arial"/>
          <w:b/>
          <w:sz w:val="24"/>
          <w:szCs w:val="24"/>
        </w:rPr>
      </w:pPr>
      <w:r>
        <w:rPr>
          <w:noProof/>
        </w:rPr>
        <w:drawing>
          <wp:anchor distT="0" distB="0" distL="114300" distR="114300" simplePos="0" relativeHeight="251659264" behindDoc="0" locked="0" layoutInCell="1" allowOverlap="1" wp14:anchorId="2BF76DC5" wp14:editId="1954E5CC">
            <wp:simplePos x="0" y="0"/>
            <wp:positionH relativeFrom="column">
              <wp:posOffset>3267832</wp:posOffset>
            </wp:positionH>
            <wp:positionV relativeFrom="paragraph">
              <wp:posOffset>-23806</wp:posOffset>
            </wp:positionV>
            <wp:extent cx="2533650" cy="2057400"/>
            <wp:effectExtent l="0" t="0" r="0" b="0"/>
            <wp:wrapSquare wrapText="bothSides"/>
            <wp:docPr id="2" name="Chart 2">
              <a:extLst xmlns:a="http://schemas.openxmlformats.org/drawingml/2006/main">
                <a:ext uri="{FF2B5EF4-FFF2-40B4-BE49-F238E27FC236}">
                  <a16:creationId xmlns:a16="http://schemas.microsoft.com/office/drawing/2014/main" id="{DAAF852E-8D88-6528-C585-494B0495E17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anchor>
        </w:drawing>
      </w:r>
      <w:r w:rsidR="001B2E98" w:rsidRPr="00BB539D">
        <w:rPr>
          <w:rFonts w:ascii="Arial" w:hAnsi="Arial" w:cs="Arial"/>
          <w:b/>
          <w:sz w:val="24"/>
          <w:szCs w:val="24"/>
        </w:rPr>
        <w:t>Days sales in receivables</w:t>
      </w:r>
      <w:r w:rsidRPr="004F3430">
        <w:rPr>
          <w:noProof/>
        </w:rPr>
        <w:t xml:space="preserve"> </w:t>
      </w:r>
    </w:p>
    <w:tbl>
      <w:tblPr>
        <w:tblW w:w="3520" w:type="dxa"/>
        <w:tblLook w:val="04A0" w:firstRow="1" w:lastRow="0" w:firstColumn="1" w:lastColumn="0" w:noHBand="0" w:noVBand="1"/>
      </w:tblPr>
      <w:tblGrid>
        <w:gridCol w:w="960"/>
        <w:gridCol w:w="2560"/>
      </w:tblGrid>
      <w:tr w:rsidR="0039541E" w:rsidRPr="0039541E" w14:paraId="0B930153" w14:textId="77777777" w:rsidTr="004F3430">
        <w:trPr>
          <w:trHeight w:val="288"/>
        </w:trPr>
        <w:tc>
          <w:tcPr>
            <w:tcW w:w="960" w:type="dxa"/>
            <w:tcBorders>
              <w:top w:val="single" w:sz="4" w:space="0" w:color="auto"/>
              <w:left w:val="single" w:sz="4" w:space="0" w:color="auto"/>
              <w:bottom w:val="single" w:sz="4" w:space="0" w:color="auto"/>
              <w:right w:val="single" w:sz="4" w:space="0" w:color="auto"/>
            </w:tcBorders>
            <w:shd w:val="clear" w:color="auto" w:fill="9CC2E5" w:themeFill="accent5" w:themeFillTint="99"/>
            <w:noWrap/>
            <w:vAlign w:val="bottom"/>
            <w:hideMark/>
          </w:tcPr>
          <w:p w14:paraId="7DB9A7AA" w14:textId="77777777" w:rsidR="0039541E" w:rsidRPr="0039541E" w:rsidRDefault="0039541E" w:rsidP="0039541E">
            <w:pPr>
              <w:spacing w:after="0" w:line="240" w:lineRule="auto"/>
              <w:rPr>
                <w:rFonts w:ascii="Calibri" w:eastAsia="Times New Roman" w:hAnsi="Calibri" w:cs="Calibri"/>
                <w:b/>
                <w:bCs/>
                <w:color w:val="000000"/>
              </w:rPr>
            </w:pPr>
            <w:r w:rsidRPr="0039541E">
              <w:rPr>
                <w:rFonts w:ascii="Calibri" w:eastAsia="Times New Roman" w:hAnsi="Calibri" w:cs="Calibri"/>
                <w:b/>
                <w:bCs/>
                <w:color w:val="000000"/>
              </w:rPr>
              <w:t>YEAR</w:t>
            </w:r>
          </w:p>
        </w:tc>
        <w:tc>
          <w:tcPr>
            <w:tcW w:w="2560" w:type="dxa"/>
            <w:tcBorders>
              <w:top w:val="single" w:sz="4" w:space="0" w:color="auto"/>
              <w:left w:val="nil"/>
              <w:bottom w:val="single" w:sz="4" w:space="0" w:color="auto"/>
              <w:right w:val="single" w:sz="4" w:space="0" w:color="auto"/>
            </w:tcBorders>
            <w:shd w:val="clear" w:color="auto" w:fill="9CC2E5" w:themeFill="accent5" w:themeFillTint="99"/>
            <w:noWrap/>
            <w:vAlign w:val="bottom"/>
            <w:hideMark/>
          </w:tcPr>
          <w:p w14:paraId="56621380" w14:textId="77777777" w:rsidR="0039541E" w:rsidRPr="0039541E" w:rsidRDefault="0039541E" w:rsidP="0039541E">
            <w:pPr>
              <w:spacing w:after="0" w:line="240" w:lineRule="auto"/>
              <w:rPr>
                <w:rFonts w:ascii="Calibri" w:eastAsia="Times New Roman" w:hAnsi="Calibri" w:cs="Calibri"/>
                <w:b/>
                <w:bCs/>
                <w:color w:val="000000"/>
              </w:rPr>
            </w:pPr>
            <w:r w:rsidRPr="0039541E">
              <w:rPr>
                <w:rFonts w:ascii="Calibri" w:eastAsia="Times New Roman" w:hAnsi="Calibri" w:cs="Calibri"/>
                <w:b/>
                <w:bCs/>
                <w:color w:val="000000"/>
              </w:rPr>
              <w:t>Days sales in receivables</w:t>
            </w:r>
          </w:p>
        </w:tc>
      </w:tr>
      <w:tr w:rsidR="0039541E" w:rsidRPr="0039541E" w14:paraId="4B4810F7" w14:textId="77777777" w:rsidTr="0039541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1A68F3E" w14:textId="77777777" w:rsidR="0039541E" w:rsidRPr="0039541E" w:rsidRDefault="0039541E" w:rsidP="0039541E">
            <w:pPr>
              <w:spacing w:after="0" w:line="240" w:lineRule="auto"/>
              <w:rPr>
                <w:rFonts w:ascii="Calibri" w:eastAsia="Times New Roman" w:hAnsi="Calibri" w:cs="Calibri"/>
                <w:color w:val="000000"/>
              </w:rPr>
            </w:pPr>
            <w:r w:rsidRPr="0039541E">
              <w:rPr>
                <w:rFonts w:ascii="Calibri" w:eastAsia="Times New Roman" w:hAnsi="Calibri" w:cs="Calibri"/>
                <w:color w:val="000000"/>
              </w:rPr>
              <w:t>2020'</w:t>
            </w:r>
          </w:p>
        </w:tc>
        <w:tc>
          <w:tcPr>
            <w:tcW w:w="2560" w:type="dxa"/>
            <w:tcBorders>
              <w:top w:val="nil"/>
              <w:left w:val="nil"/>
              <w:bottom w:val="single" w:sz="4" w:space="0" w:color="auto"/>
              <w:right w:val="single" w:sz="4" w:space="0" w:color="auto"/>
            </w:tcBorders>
            <w:shd w:val="clear" w:color="auto" w:fill="auto"/>
            <w:noWrap/>
            <w:vAlign w:val="bottom"/>
            <w:hideMark/>
          </w:tcPr>
          <w:p w14:paraId="0DD1F8F2" w14:textId="77777777" w:rsidR="0039541E" w:rsidRPr="0039541E" w:rsidRDefault="0039541E" w:rsidP="0039541E">
            <w:pPr>
              <w:spacing w:after="0" w:line="240" w:lineRule="auto"/>
              <w:jc w:val="right"/>
              <w:rPr>
                <w:rFonts w:ascii="Calibri" w:eastAsia="Times New Roman" w:hAnsi="Calibri" w:cs="Calibri"/>
                <w:color w:val="000000"/>
              </w:rPr>
            </w:pPr>
            <w:r w:rsidRPr="0039541E">
              <w:rPr>
                <w:rFonts w:ascii="Calibri" w:eastAsia="Times New Roman" w:hAnsi="Calibri" w:cs="Calibri"/>
                <w:color w:val="000000"/>
              </w:rPr>
              <w:t>61</w:t>
            </w:r>
          </w:p>
        </w:tc>
      </w:tr>
      <w:tr w:rsidR="0039541E" w:rsidRPr="0039541E" w14:paraId="3F4A3CD0" w14:textId="77777777" w:rsidTr="0039541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6BF9E49" w14:textId="77777777" w:rsidR="0039541E" w:rsidRPr="0039541E" w:rsidRDefault="0039541E" w:rsidP="0039541E">
            <w:pPr>
              <w:spacing w:after="0" w:line="240" w:lineRule="auto"/>
              <w:rPr>
                <w:rFonts w:ascii="Calibri" w:eastAsia="Times New Roman" w:hAnsi="Calibri" w:cs="Calibri"/>
                <w:color w:val="000000"/>
              </w:rPr>
            </w:pPr>
            <w:r w:rsidRPr="0039541E">
              <w:rPr>
                <w:rFonts w:ascii="Calibri" w:eastAsia="Times New Roman" w:hAnsi="Calibri" w:cs="Calibri"/>
                <w:color w:val="000000"/>
              </w:rPr>
              <w:t>2021'</w:t>
            </w:r>
          </w:p>
        </w:tc>
        <w:tc>
          <w:tcPr>
            <w:tcW w:w="2560" w:type="dxa"/>
            <w:tcBorders>
              <w:top w:val="nil"/>
              <w:left w:val="nil"/>
              <w:bottom w:val="single" w:sz="4" w:space="0" w:color="auto"/>
              <w:right w:val="single" w:sz="4" w:space="0" w:color="auto"/>
            </w:tcBorders>
            <w:shd w:val="clear" w:color="auto" w:fill="auto"/>
            <w:noWrap/>
            <w:vAlign w:val="bottom"/>
            <w:hideMark/>
          </w:tcPr>
          <w:p w14:paraId="20282618" w14:textId="77777777" w:rsidR="0039541E" w:rsidRPr="0039541E" w:rsidRDefault="0039541E" w:rsidP="0039541E">
            <w:pPr>
              <w:spacing w:after="0" w:line="240" w:lineRule="auto"/>
              <w:jc w:val="right"/>
              <w:rPr>
                <w:rFonts w:ascii="Calibri" w:eastAsia="Times New Roman" w:hAnsi="Calibri" w:cs="Calibri"/>
                <w:color w:val="000000"/>
              </w:rPr>
            </w:pPr>
            <w:r w:rsidRPr="0039541E">
              <w:rPr>
                <w:rFonts w:ascii="Calibri" w:eastAsia="Times New Roman" w:hAnsi="Calibri" w:cs="Calibri"/>
                <w:color w:val="000000"/>
              </w:rPr>
              <w:t>52</w:t>
            </w:r>
          </w:p>
        </w:tc>
      </w:tr>
    </w:tbl>
    <w:p w14:paraId="3B9E3647" w14:textId="77777777" w:rsidR="0039541E" w:rsidRPr="0039541E" w:rsidRDefault="0039541E" w:rsidP="0039541E">
      <w:pPr>
        <w:spacing w:line="360" w:lineRule="auto"/>
        <w:rPr>
          <w:rFonts w:ascii="Arial" w:hAnsi="Arial" w:cs="Arial"/>
          <w:b/>
          <w:sz w:val="24"/>
          <w:szCs w:val="24"/>
        </w:rPr>
      </w:pPr>
    </w:p>
    <w:p w14:paraId="40D1D0E0" w14:textId="56F7A56A" w:rsidR="001B2E98" w:rsidRPr="00BB539D" w:rsidRDefault="007E2B11" w:rsidP="00787D2E">
      <w:pPr>
        <w:spacing w:line="360" w:lineRule="auto"/>
        <w:jc w:val="both"/>
        <w:rPr>
          <w:rFonts w:ascii="Arial" w:hAnsi="Arial" w:cs="Arial"/>
          <w:b/>
          <w:sz w:val="24"/>
          <w:szCs w:val="24"/>
        </w:rPr>
      </w:pPr>
      <w:r w:rsidRPr="00BB539D">
        <w:rPr>
          <w:rFonts w:ascii="Arial" w:hAnsi="Arial" w:cs="Arial"/>
          <w:bCs/>
          <w:sz w:val="24"/>
          <w:szCs w:val="24"/>
        </w:rPr>
        <w:t xml:space="preserve">Above data shows the </w:t>
      </w:r>
      <w:r w:rsidR="00C32F52" w:rsidRPr="00BB539D">
        <w:rPr>
          <w:rFonts w:ascii="Arial" w:hAnsi="Arial" w:cs="Arial"/>
          <w:bCs/>
          <w:sz w:val="24"/>
          <w:szCs w:val="24"/>
        </w:rPr>
        <w:t>Days in receivable</w:t>
      </w:r>
      <w:r w:rsidRPr="00BB539D">
        <w:rPr>
          <w:rFonts w:ascii="Arial" w:hAnsi="Arial" w:cs="Arial"/>
          <w:bCs/>
          <w:sz w:val="24"/>
          <w:szCs w:val="24"/>
        </w:rPr>
        <w:t xml:space="preserve"> of </w:t>
      </w:r>
      <w:r w:rsidRPr="00BB539D">
        <w:rPr>
          <w:rFonts w:ascii="Arial" w:hAnsi="Arial" w:cs="Arial"/>
          <w:sz w:val="24"/>
          <w:szCs w:val="24"/>
        </w:rPr>
        <w:t xml:space="preserve">Marriott International, Inc for the year 2020 and 2021. The data interprets that the </w:t>
      </w:r>
      <w:r w:rsidR="00C32F52" w:rsidRPr="00BB539D">
        <w:rPr>
          <w:rFonts w:ascii="Arial" w:hAnsi="Arial" w:cs="Arial"/>
          <w:bCs/>
          <w:sz w:val="24"/>
          <w:szCs w:val="24"/>
        </w:rPr>
        <w:t xml:space="preserve">Days in receivable </w:t>
      </w:r>
      <w:r w:rsidRPr="00BB539D">
        <w:rPr>
          <w:rFonts w:ascii="Arial" w:hAnsi="Arial" w:cs="Arial"/>
          <w:sz w:val="24"/>
          <w:szCs w:val="24"/>
        </w:rPr>
        <w:t xml:space="preserve">for year 2020 </w:t>
      </w:r>
      <w:r w:rsidR="00C32F52" w:rsidRPr="00BB539D">
        <w:rPr>
          <w:rFonts w:ascii="Arial" w:hAnsi="Arial" w:cs="Arial"/>
          <w:sz w:val="24"/>
          <w:szCs w:val="24"/>
        </w:rPr>
        <w:t xml:space="preserve">are 61 </w:t>
      </w:r>
      <w:r w:rsidRPr="00BB539D">
        <w:rPr>
          <w:rFonts w:ascii="Arial" w:hAnsi="Arial" w:cs="Arial"/>
          <w:sz w:val="24"/>
          <w:szCs w:val="24"/>
        </w:rPr>
        <w:t>and</w:t>
      </w:r>
      <w:r w:rsidR="00C32F52" w:rsidRPr="00BB539D">
        <w:rPr>
          <w:rFonts w:ascii="Arial" w:hAnsi="Arial" w:cs="Arial"/>
          <w:sz w:val="24"/>
          <w:szCs w:val="24"/>
        </w:rPr>
        <w:t xml:space="preserve"> as of</w:t>
      </w:r>
      <w:r w:rsidRPr="00BB539D">
        <w:rPr>
          <w:rFonts w:ascii="Arial" w:hAnsi="Arial" w:cs="Arial"/>
          <w:sz w:val="24"/>
          <w:szCs w:val="24"/>
        </w:rPr>
        <w:t xml:space="preserve"> 2021 i</w:t>
      </w:r>
      <w:r w:rsidR="00C32F52" w:rsidRPr="00BB539D">
        <w:rPr>
          <w:rFonts w:ascii="Arial" w:hAnsi="Arial" w:cs="Arial"/>
          <w:sz w:val="24"/>
          <w:szCs w:val="24"/>
        </w:rPr>
        <w:t>t is 52</w:t>
      </w:r>
      <w:r w:rsidRPr="00BB539D">
        <w:rPr>
          <w:rFonts w:ascii="Arial" w:hAnsi="Arial" w:cs="Arial"/>
          <w:sz w:val="24"/>
          <w:szCs w:val="24"/>
        </w:rPr>
        <w:t xml:space="preserve">. We can clearly see that the </w:t>
      </w:r>
      <w:r w:rsidR="00C32F52" w:rsidRPr="00BB539D">
        <w:rPr>
          <w:rFonts w:ascii="Arial" w:hAnsi="Arial" w:cs="Arial"/>
          <w:bCs/>
          <w:sz w:val="24"/>
          <w:szCs w:val="24"/>
        </w:rPr>
        <w:t xml:space="preserve">Days in receivable </w:t>
      </w:r>
      <w:r w:rsidRPr="00BB539D">
        <w:rPr>
          <w:rFonts w:ascii="Arial" w:hAnsi="Arial" w:cs="Arial"/>
          <w:sz w:val="24"/>
          <w:szCs w:val="24"/>
        </w:rPr>
        <w:t xml:space="preserve">of Marriott International has </w:t>
      </w:r>
      <w:r w:rsidR="00C32F52" w:rsidRPr="00BB539D">
        <w:rPr>
          <w:rFonts w:ascii="Arial" w:hAnsi="Arial" w:cs="Arial"/>
          <w:sz w:val="24"/>
          <w:szCs w:val="24"/>
        </w:rPr>
        <w:t>de</w:t>
      </w:r>
      <w:r w:rsidRPr="00BB539D">
        <w:rPr>
          <w:rFonts w:ascii="Arial" w:hAnsi="Arial" w:cs="Arial"/>
          <w:sz w:val="24"/>
          <w:szCs w:val="24"/>
        </w:rPr>
        <w:t>creased in 2021 as compared to previous year.</w:t>
      </w:r>
      <w:r w:rsidR="00C32F52" w:rsidRPr="00BB539D">
        <w:rPr>
          <w:rFonts w:ascii="Arial" w:hAnsi="Arial" w:cs="Arial"/>
          <w:sz w:val="24"/>
          <w:szCs w:val="24"/>
        </w:rPr>
        <w:t xml:space="preserve"> This suggests that Marriott will probably have a better cash flow. The management </w:t>
      </w:r>
      <w:r w:rsidR="004F3430">
        <w:rPr>
          <w:noProof/>
        </w:rPr>
        <w:drawing>
          <wp:anchor distT="0" distB="0" distL="114300" distR="114300" simplePos="0" relativeHeight="251660288" behindDoc="0" locked="0" layoutInCell="1" allowOverlap="1" wp14:anchorId="53E9F83D" wp14:editId="08AC2016">
            <wp:simplePos x="0" y="0"/>
            <wp:positionH relativeFrom="margin">
              <wp:align>right</wp:align>
            </wp:positionH>
            <wp:positionV relativeFrom="margin">
              <wp:posOffset>1413915</wp:posOffset>
            </wp:positionV>
            <wp:extent cx="2438400" cy="2019300"/>
            <wp:effectExtent l="0" t="0" r="0" b="0"/>
            <wp:wrapSquare wrapText="bothSides"/>
            <wp:docPr id="3" name="Chart 3">
              <a:extLst xmlns:a="http://schemas.openxmlformats.org/drawingml/2006/main">
                <a:ext uri="{FF2B5EF4-FFF2-40B4-BE49-F238E27FC236}">
                  <a16:creationId xmlns:a16="http://schemas.microsoft.com/office/drawing/2014/main" id="{B0717A30-A925-351E-E91A-D431ACEEC5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anchor>
        </w:drawing>
      </w:r>
      <w:r w:rsidR="00C32F52" w:rsidRPr="00BB539D">
        <w:rPr>
          <w:rFonts w:ascii="Arial" w:hAnsi="Arial" w:cs="Arial"/>
          <w:sz w:val="24"/>
          <w:szCs w:val="24"/>
        </w:rPr>
        <w:t>is better at managing its working capital the shorter debtor days are</w:t>
      </w:r>
      <w:sdt>
        <w:sdtPr>
          <w:rPr>
            <w:rFonts w:ascii="Arial" w:hAnsi="Arial" w:cs="Arial"/>
            <w:sz w:val="24"/>
            <w:szCs w:val="24"/>
          </w:rPr>
          <w:id w:val="-705956069"/>
          <w:citation/>
        </w:sdtPr>
        <w:sdtEndPr/>
        <w:sdtContent>
          <w:r w:rsidR="00944E48">
            <w:rPr>
              <w:rFonts w:ascii="Arial" w:hAnsi="Arial" w:cs="Arial"/>
              <w:sz w:val="24"/>
              <w:szCs w:val="24"/>
            </w:rPr>
            <w:fldChar w:fldCharType="begin"/>
          </w:r>
          <w:r w:rsidR="00944E48">
            <w:rPr>
              <w:rFonts w:ascii="Arial" w:hAnsi="Arial" w:cs="Arial"/>
              <w:sz w:val="24"/>
              <w:szCs w:val="24"/>
            </w:rPr>
            <w:instrText xml:space="preserve"> CITATION JER22 \l 1033 </w:instrText>
          </w:r>
          <w:r w:rsidR="00944E48">
            <w:rPr>
              <w:rFonts w:ascii="Arial" w:hAnsi="Arial" w:cs="Arial"/>
              <w:sz w:val="24"/>
              <w:szCs w:val="24"/>
            </w:rPr>
            <w:fldChar w:fldCharType="separate"/>
          </w:r>
          <w:r w:rsidR="00944E48">
            <w:rPr>
              <w:rFonts w:ascii="Arial" w:hAnsi="Arial" w:cs="Arial"/>
              <w:noProof/>
              <w:sz w:val="24"/>
              <w:szCs w:val="24"/>
            </w:rPr>
            <w:t xml:space="preserve"> </w:t>
          </w:r>
          <w:r w:rsidR="00944E48" w:rsidRPr="00944E48">
            <w:rPr>
              <w:rFonts w:ascii="Arial" w:hAnsi="Arial" w:cs="Arial"/>
              <w:noProof/>
              <w:sz w:val="24"/>
              <w:szCs w:val="24"/>
            </w:rPr>
            <w:t>(GRZEGORZEK, 2022)</w:t>
          </w:r>
          <w:r w:rsidR="00944E48">
            <w:rPr>
              <w:rFonts w:ascii="Arial" w:hAnsi="Arial" w:cs="Arial"/>
              <w:sz w:val="24"/>
              <w:szCs w:val="24"/>
            </w:rPr>
            <w:fldChar w:fldCharType="end"/>
          </w:r>
        </w:sdtContent>
      </w:sdt>
      <w:r w:rsidR="00C32F52" w:rsidRPr="00BB539D">
        <w:rPr>
          <w:rFonts w:ascii="Arial" w:hAnsi="Arial" w:cs="Arial"/>
          <w:sz w:val="24"/>
          <w:szCs w:val="24"/>
        </w:rPr>
        <w:t>.</w:t>
      </w:r>
    </w:p>
    <w:p w14:paraId="5E3E8144" w14:textId="3CF73871" w:rsidR="001B2E98" w:rsidRPr="00BB539D" w:rsidRDefault="001B2E98" w:rsidP="00BB539D">
      <w:pPr>
        <w:pStyle w:val="Heading2"/>
        <w:rPr>
          <w:rFonts w:ascii="Arial" w:hAnsi="Arial" w:cs="Arial"/>
          <w:b/>
          <w:bCs/>
          <w:color w:val="auto"/>
        </w:rPr>
      </w:pPr>
      <w:bookmarkStart w:id="4" w:name="_Toc120719272"/>
      <w:r w:rsidRPr="00BB539D">
        <w:rPr>
          <w:rFonts w:ascii="Arial" w:hAnsi="Arial" w:cs="Arial"/>
          <w:b/>
          <w:bCs/>
          <w:color w:val="auto"/>
        </w:rPr>
        <w:t>PROFITABILITY RATIOS</w:t>
      </w:r>
      <w:bookmarkEnd w:id="4"/>
      <w:r w:rsidR="004F3430" w:rsidRPr="004F3430">
        <w:rPr>
          <w:noProof/>
        </w:rPr>
        <w:t xml:space="preserve"> </w:t>
      </w:r>
    </w:p>
    <w:p w14:paraId="09A60BCB" w14:textId="74096DD5" w:rsidR="0039541E" w:rsidRDefault="001B2E98" w:rsidP="0039541E">
      <w:pPr>
        <w:pStyle w:val="ListParagraph"/>
        <w:numPr>
          <w:ilvl w:val="0"/>
          <w:numId w:val="4"/>
        </w:numPr>
        <w:spacing w:line="360" w:lineRule="auto"/>
        <w:rPr>
          <w:rFonts w:ascii="Arial" w:hAnsi="Arial" w:cs="Arial"/>
          <w:b/>
          <w:sz w:val="24"/>
          <w:szCs w:val="24"/>
        </w:rPr>
      </w:pPr>
      <w:r w:rsidRPr="00BB539D">
        <w:rPr>
          <w:rFonts w:ascii="Arial" w:hAnsi="Arial" w:cs="Arial"/>
          <w:b/>
          <w:sz w:val="24"/>
          <w:szCs w:val="24"/>
        </w:rPr>
        <w:t>Gross profit margin</w:t>
      </w:r>
    </w:p>
    <w:tbl>
      <w:tblPr>
        <w:tblW w:w="3520" w:type="dxa"/>
        <w:tblLook w:val="04A0" w:firstRow="1" w:lastRow="0" w:firstColumn="1" w:lastColumn="0" w:noHBand="0" w:noVBand="1"/>
      </w:tblPr>
      <w:tblGrid>
        <w:gridCol w:w="960"/>
        <w:gridCol w:w="2560"/>
      </w:tblGrid>
      <w:tr w:rsidR="0039541E" w:rsidRPr="0039541E" w14:paraId="7E96D6AA" w14:textId="77777777" w:rsidTr="004F3430">
        <w:trPr>
          <w:trHeight w:val="288"/>
        </w:trPr>
        <w:tc>
          <w:tcPr>
            <w:tcW w:w="960" w:type="dxa"/>
            <w:tcBorders>
              <w:top w:val="single" w:sz="4" w:space="0" w:color="auto"/>
              <w:left w:val="single" w:sz="4" w:space="0" w:color="auto"/>
              <w:bottom w:val="single" w:sz="4" w:space="0" w:color="auto"/>
              <w:right w:val="single" w:sz="4" w:space="0" w:color="auto"/>
            </w:tcBorders>
            <w:shd w:val="clear" w:color="auto" w:fill="9CC2E5" w:themeFill="accent5" w:themeFillTint="99"/>
            <w:noWrap/>
            <w:vAlign w:val="bottom"/>
            <w:hideMark/>
          </w:tcPr>
          <w:p w14:paraId="69B26ED8" w14:textId="77777777" w:rsidR="0039541E" w:rsidRPr="0039541E" w:rsidRDefault="0039541E" w:rsidP="0039541E">
            <w:pPr>
              <w:spacing w:after="0" w:line="240" w:lineRule="auto"/>
              <w:rPr>
                <w:rFonts w:ascii="Calibri" w:eastAsia="Times New Roman" w:hAnsi="Calibri" w:cs="Calibri"/>
                <w:b/>
                <w:bCs/>
                <w:color w:val="000000"/>
              </w:rPr>
            </w:pPr>
            <w:r w:rsidRPr="0039541E">
              <w:rPr>
                <w:rFonts w:ascii="Calibri" w:eastAsia="Times New Roman" w:hAnsi="Calibri" w:cs="Calibri"/>
                <w:b/>
                <w:bCs/>
                <w:color w:val="000000"/>
              </w:rPr>
              <w:t>YEAR</w:t>
            </w:r>
          </w:p>
        </w:tc>
        <w:tc>
          <w:tcPr>
            <w:tcW w:w="2560" w:type="dxa"/>
            <w:tcBorders>
              <w:top w:val="single" w:sz="4" w:space="0" w:color="auto"/>
              <w:left w:val="nil"/>
              <w:bottom w:val="single" w:sz="4" w:space="0" w:color="auto"/>
              <w:right w:val="single" w:sz="4" w:space="0" w:color="auto"/>
            </w:tcBorders>
            <w:shd w:val="clear" w:color="auto" w:fill="9CC2E5" w:themeFill="accent5" w:themeFillTint="99"/>
            <w:noWrap/>
            <w:vAlign w:val="center"/>
            <w:hideMark/>
          </w:tcPr>
          <w:p w14:paraId="7D53454F" w14:textId="77777777" w:rsidR="0039541E" w:rsidRPr="0039541E" w:rsidRDefault="0039541E" w:rsidP="0039541E">
            <w:pPr>
              <w:spacing w:after="0" w:line="240" w:lineRule="auto"/>
              <w:jc w:val="center"/>
              <w:rPr>
                <w:rFonts w:ascii="Calibri" w:eastAsia="Times New Roman" w:hAnsi="Calibri" w:cs="Calibri"/>
                <w:b/>
                <w:bCs/>
                <w:color w:val="000000"/>
              </w:rPr>
            </w:pPr>
            <w:r w:rsidRPr="0039541E">
              <w:rPr>
                <w:rFonts w:ascii="Calibri" w:eastAsia="Times New Roman" w:hAnsi="Calibri" w:cs="Calibri"/>
                <w:b/>
                <w:bCs/>
                <w:color w:val="000000"/>
              </w:rPr>
              <w:t>Gross Margin</w:t>
            </w:r>
          </w:p>
        </w:tc>
      </w:tr>
      <w:tr w:rsidR="0039541E" w:rsidRPr="0039541E" w14:paraId="236A7650" w14:textId="77777777" w:rsidTr="0039541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BB63868" w14:textId="77777777" w:rsidR="0039541E" w:rsidRPr="0039541E" w:rsidRDefault="0039541E" w:rsidP="0039541E">
            <w:pPr>
              <w:spacing w:after="0" w:line="240" w:lineRule="auto"/>
              <w:rPr>
                <w:rFonts w:ascii="Calibri" w:eastAsia="Times New Roman" w:hAnsi="Calibri" w:cs="Calibri"/>
                <w:color w:val="000000"/>
              </w:rPr>
            </w:pPr>
            <w:r w:rsidRPr="0039541E">
              <w:rPr>
                <w:rFonts w:ascii="Calibri" w:eastAsia="Times New Roman" w:hAnsi="Calibri" w:cs="Calibri"/>
                <w:color w:val="000000"/>
              </w:rPr>
              <w:t>2020'</w:t>
            </w:r>
          </w:p>
        </w:tc>
        <w:tc>
          <w:tcPr>
            <w:tcW w:w="2560" w:type="dxa"/>
            <w:tcBorders>
              <w:top w:val="nil"/>
              <w:left w:val="nil"/>
              <w:bottom w:val="single" w:sz="4" w:space="0" w:color="auto"/>
              <w:right w:val="single" w:sz="4" w:space="0" w:color="auto"/>
            </w:tcBorders>
            <w:shd w:val="clear" w:color="auto" w:fill="auto"/>
            <w:noWrap/>
            <w:vAlign w:val="bottom"/>
            <w:hideMark/>
          </w:tcPr>
          <w:p w14:paraId="189EE957" w14:textId="77777777" w:rsidR="0039541E" w:rsidRPr="0039541E" w:rsidRDefault="0039541E" w:rsidP="0039541E">
            <w:pPr>
              <w:spacing w:after="0" w:line="240" w:lineRule="auto"/>
              <w:jc w:val="right"/>
              <w:rPr>
                <w:rFonts w:ascii="Calibri" w:eastAsia="Times New Roman" w:hAnsi="Calibri" w:cs="Calibri"/>
                <w:color w:val="000000"/>
              </w:rPr>
            </w:pPr>
            <w:r w:rsidRPr="0039541E">
              <w:rPr>
                <w:rFonts w:ascii="Calibri" w:eastAsia="Times New Roman" w:hAnsi="Calibri" w:cs="Calibri"/>
                <w:color w:val="000000"/>
              </w:rPr>
              <w:t>13.8019</w:t>
            </w:r>
          </w:p>
        </w:tc>
      </w:tr>
      <w:tr w:rsidR="0039541E" w:rsidRPr="0039541E" w14:paraId="71AD24C1" w14:textId="77777777" w:rsidTr="0039541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649AE62" w14:textId="77777777" w:rsidR="0039541E" w:rsidRPr="0039541E" w:rsidRDefault="0039541E" w:rsidP="0039541E">
            <w:pPr>
              <w:spacing w:after="0" w:line="240" w:lineRule="auto"/>
              <w:rPr>
                <w:rFonts w:ascii="Calibri" w:eastAsia="Times New Roman" w:hAnsi="Calibri" w:cs="Calibri"/>
                <w:color w:val="000000"/>
              </w:rPr>
            </w:pPr>
            <w:r w:rsidRPr="0039541E">
              <w:rPr>
                <w:rFonts w:ascii="Calibri" w:eastAsia="Times New Roman" w:hAnsi="Calibri" w:cs="Calibri"/>
                <w:color w:val="000000"/>
              </w:rPr>
              <w:t>2021'</w:t>
            </w:r>
          </w:p>
        </w:tc>
        <w:tc>
          <w:tcPr>
            <w:tcW w:w="2560" w:type="dxa"/>
            <w:tcBorders>
              <w:top w:val="nil"/>
              <w:left w:val="nil"/>
              <w:bottom w:val="single" w:sz="4" w:space="0" w:color="auto"/>
              <w:right w:val="single" w:sz="4" w:space="0" w:color="auto"/>
            </w:tcBorders>
            <w:shd w:val="clear" w:color="auto" w:fill="auto"/>
            <w:noWrap/>
            <w:vAlign w:val="bottom"/>
            <w:hideMark/>
          </w:tcPr>
          <w:p w14:paraId="13B3BED8" w14:textId="77777777" w:rsidR="0039541E" w:rsidRPr="0039541E" w:rsidRDefault="0039541E" w:rsidP="0039541E">
            <w:pPr>
              <w:spacing w:after="0" w:line="240" w:lineRule="auto"/>
              <w:jc w:val="right"/>
              <w:rPr>
                <w:rFonts w:ascii="Calibri" w:eastAsia="Times New Roman" w:hAnsi="Calibri" w:cs="Calibri"/>
                <w:color w:val="000000"/>
              </w:rPr>
            </w:pPr>
            <w:r w:rsidRPr="0039541E">
              <w:rPr>
                <w:rFonts w:ascii="Calibri" w:eastAsia="Times New Roman" w:hAnsi="Calibri" w:cs="Calibri"/>
                <w:color w:val="000000"/>
              </w:rPr>
              <w:t>20.2136</w:t>
            </w:r>
          </w:p>
        </w:tc>
      </w:tr>
    </w:tbl>
    <w:p w14:paraId="444C0489" w14:textId="0CEFEDAC" w:rsidR="0039541E" w:rsidRPr="0039541E" w:rsidRDefault="0039541E" w:rsidP="0039541E">
      <w:pPr>
        <w:spacing w:line="360" w:lineRule="auto"/>
        <w:rPr>
          <w:rFonts w:ascii="Arial" w:hAnsi="Arial" w:cs="Arial"/>
          <w:b/>
          <w:sz w:val="24"/>
          <w:szCs w:val="24"/>
        </w:rPr>
      </w:pPr>
    </w:p>
    <w:p w14:paraId="4250A4FF" w14:textId="1177253A" w:rsidR="001B2E98" w:rsidRPr="00BB539D" w:rsidRDefault="00687272" w:rsidP="00787D2E">
      <w:pPr>
        <w:spacing w:line="360" w:lineRule="auto"/>
        <w:jc w:val="both"/>
        <w:rPr>
          <w:rFonts w:ascii="Arial" w:hAnsi="Arial" w:cs="Arial"/>
          <w:b/>
          <w:sz w:val="24"/>
          <w:szCs w:val="24"/>
        </w:rPr>
      </w:pPr>
      <w:r w:rsidRPr="00BB539D">
        <w:rPr>
          <w:rFonts w:ascii="Arial" w:hAnsi="Arial" w:cs="Arial"/>
          <w:bCs/>
          <w:sz w:val="24"/>
          <w:szCs w:val="24"/>
        </w:rPr>
        <w:t xml:space="preserve">Above data shows the Gross profit margin of </w:t>
      </w:r>
      <w:r w:rsidRPr="00BB539D">
        <w:rPr>
          <w:rFonts w:ascii="Arial" w:hAnsi="Arial" w:cs="Arial"/>
          <w:sz w:val="24"/>
          <w:szCs w:val="24"/>
        </w:rPr>
        <w:t xml:space="preserve">Marriott International, Inc for the year 2020 and 2021. The data interprets that the </w:t>
      </w:r>
      <w:r w:rsidRPr="00BB539D">
        <w:rPr>
          <w:rFonts w:ascii="Arial" w:hAnsi="Arial" w:cs="Arial"/>
          <w:bCs/>
          <w:sz w:val="24"/>
          <w:szCs w:val="24"/>
        </w:rPr>
        <w:t xml:space="preserve">Gross profit margin </w:t>
      </w:r>
      <w:r w:rsidRPr="00BB539D">
        <w:rPr>
          <w:rFonts w:ascii="Arial" w:hAnsi="Arial" w:cs="Arial"/>
          <w:sz w:val="24"/>
          <w:szCs w:val="24"/>
        </w:rPr>
        <w:t xml:space="preserve">for year 2020 is 13.8019 and as of 2021 it is 20.2136. We can clearly see that the </w:t>
      </w:r>
      <w:r w:rsidRPr="00BB539D">
        <w:rPr>
          <w:rFonts w:ascii="Arial" w:hAnsi="Arial" w:cs="Arial"/>
          <w:bCs/>
          <w:sz w:val="24"/>
          <w:szCs w:val="24"/>
        </w:rPr>
        <w:t xml:space="preserve">Gross profit margin </w:t>
      </w:r>
      <w:r w:rsidRPr="00BB539D">
        <w:rPr>
          <w:rFonts w:ascii="Arial" w:hAnsi="Arial" w:cs="Arial"/>
          <w:sz w:val="24"/>
          <w:szCs w:val="24"/>
        </w:rPr>
        <w:t>of Marriott International has increased in 2021 as compared to previous year.</w:t>
      </w:r>
      <w:r w:rsidR="00B2575E" w:rsidRPr="00BB539D">
        <w:rPr>
          <w:rFonts w:ascii="Arial" w:hAnsi="Arial" w:cs="Arial"/>
          <w:sz w:val="24"/>
          <w:szCs w:val="24"/>
        </w:rPr>
        <w:t xml:space="preserve"> This shows that Marriott is able to generate a more profit from its services and products</w:t>
      </w:r>
      <w:sdt>
        <w:sdtPr>
          <w:rPr>
            <w:rFonts w:ascii="Arial" w:hAnsi="Arial" w:cs="Arial"/>
            <w:sz w:val="24"/>
            <w:szCs w:val="24"/>
          </w:rPr>
          <w:id w:val="1818527260"/>
          <w:citation/>
        </w:sdtPr>
        <w:sdtEndPr/>
        <w:sdtContent>
          <w:r w:rsidR="00944E48">
            <w:rPr>
              <w:rFonts w:ascii="Arial" w:hAnsi="Arial" w:cs="Arial"/>
              <w:sz w:val="24"/>
              <w:szCs w:val="24"/>
            </w:rPr>
            <w:fldChar w:fldCharType="begin"/>
          </w:r>
          <w:r w:rsidR="00944E48">
            <w:rPr>
              <w:rFonts w:ascii="Arial" w:hAnsi="Arial" w:cs="Arial"/>
              <w:sz w:val="24"/>
              <w:szCs w:val="24"/>
            </w:rPr>
            <w:instrText xml:space="preserve"> CITATION Rus22 \l 1033 </w:instrText>
          </w:r>
          <w:r w:rsidR="00944E48">
            <w:rPr>
              <w:rFonts w:ascii="Arial" w:hAnsi="Arial" w:cs="Arial"/>
              <w:sz w:val="24"/>
              <w:szCs w:val="24"/>
            </w:rPr>
            <w:fldChar w:fldCharType="separate"/>
          </w:r>
          <w:r w:rsidR="00944E48">
            <w:rPr>
              <w:rFonts w:ascii="Arial" w:hAnsi="Arial" w:cs="Arial"/>
              <w:noProof/>
              <w:sz w:val="24"/>
              <w:szCs w:val="24"/>
            </w:rPr>
            <w:t xml:space="preserve"> </w:t>
          </w:r>
          <w:r w:rsidR="00944E48" w:rsidRPr="00944E48">
            <w:rPr>
              <w:rFonts w:ascii="Arial" w:hAnsi="Arial" w:cs="Arial"/>
              <w:noProof/>
              <w:sz w:val="24"/>
              <w:szCs w:val="24"/>
            </w:rPr>
            <w:t>(Huebsch, 2022)</w:t>
          </w:r>
          <w:r w:rsidR="00944E48">
            <w:rPr>
              <w:rFonts w:ascii="Arial" w:hAnsi="Arial" w:cs="Arial"/>
              <w:sz w:val="24"/>
              <w:szCs w:val="24"/>
            </w:rPr>
            <w:fldChar w:fldCharType="end"/>
          </w:r>
        </w:sdtContent>
      </w:sdt>
      <w:r w:rsidR="00B2575E" w:rsidRPr="00BB539D">
        <w:rPr>
          <w:rFonts w:ascii="Arial" w:hAnsi="Arial" w:cs="Arial"/>
          <w:sz w:val="24"/>
          <w:szCs w:val="24"/>
        </w:rPr>
        <w:t>.</w:t>
      </w:r>
    </w:p>
    <w:p w14:paraId="719AE0A8" w14:textId="22DBE056" w:rsidR="001B2E98" w:rsidRDefault="004F3430" w:rsidP="00787D2E">
      <w:pPr>
        <w:pStyle w:val="ListParagraph"/>
        <w:numPr>
          <w:ilvl w:val="0"/>
          <w:numId w:val="4"/>
        </w:numPr>
        <w:spacing w:line="360" w:lineRule="auto"/>
        <w:rPr>
          <w:rFonts w:ascii="Arial" w:hAnsi="Arial" w:cs="Arial"/>
          <w:b/>
          <w:sz w:val="24"/>
          <w:szCs w:val="24"/>
        </w:rPr>
      </w:pPr>
      <w:r>
        <w:rPr>
          <w:noProof/>
        </w:rPr>
        <w:drawing>
          <wp:anchor distT="0" distB="0" distL="114300" distR="114300" simplePos="0" relativeHeight="251661312" behindDoc="0" locked="0" layoutInCell="1" allowOverlap="1" wp14:anchorId="59117EB2" wp14:editId="683A1AE8">
            <wp:simplePos x="0" y="0"/>
            <wp:positionH relativeFrom="margin">
              <wp:align>right</wp:align>
            </wp:positionH>
            <wp:positionV relativeFrom="margin">
              <wp:posOffset>5374795</wp:posOffset>
            </wp:positionV>
            <wp:extent cx="2407920" cy="2049780"/>
            <wp:effectExtent l="0" t="0" r="11430" b="7620"/>
            <wp:wrapSquare wrapText="bothSides"/>
            <wp:docPr id="4" name="Chart 4">
              <a:extLst xmlns:a="http://schemas.openxmlformats.org/drawingml/2006/main">
                <a:ext uri="{FF2B5EF4-FFF2-40B4-BE49-F238E27FC236}">
                  <a16:creationId xmlns:a16="http://schemas.microsoft.com/office/drawing/2014/main" id="{54EB41B2-A0B5-4B5B-648C-46EAFEEF918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anchor>
        </w:drawing>
      </w:r>
      <w:r w:rsidR="001B2E98" w:rsidRPr="00BB539D">
        <w:rPr>
          <w:rFonts w:ascii="Arial" w:hAnsi="Arial" w:cs="Arial"/>
          <w:b/>
          <w:sz w:val="24"/>
          <w:szCs w:val="24"/>
        </w:rPr>
        <w:t>Operating profit margin</w:t>
      </w:r>
    </w:p>
    <w:tbl>
      <w:tblPr>
        <w:tblW w:w="3520" w:type="dxa"/>
        <w:tblLook w:val="04A0" w:firstRow="1" w:lastRow="0" w:firstColumn="1" w:lastColumn="0" w:noHBand="0" w:noVBand="1"/>
      </w:tblPr>
      <w:tblGrid>
        <w:gridCol w:w="960"/>
        <w:gridCol w:w="2560"/>
      </w:tblGrid>
      <w:tr w:rsidR="0039541E" w:rsidRPr="0039541E" w14:paraId="7EAEFE1B" w14:textId="77777777" w:rsidTr="004F3430">
        <w:trPr>
          <w:trHeight w:val="288"/>
        </w:trPr>
        <w:tc>
          <w:tcPr>
            <w:tcW w:w="960" w:type="dxa"/>
            <w:tcBorders>
              <w:top w:val="single" w:sz="4" w:space="0" w:color="auto"/>
              <w:left w:val="single" w:sz="4" w:space="0" w:color="auto"/>
              <w:bottom w:val="single" w:sz="4" w:space="0" w:color="auto"/>
              <w:right w:val="single" w:sz="4" w:space="0" w:color="auto"/>
            </w:tcBorders>
            <w:shd w:val="clear" w:color="auto" w:fill="9CC2E5" w:themeFill="accent5" w:themeFillTint="99"/>
            <w:noWrap/>
            <w:vAlign w:val="bottom"/>
            <w:hideMark/>
          </w:tcPr>
          <w:p w14:paraId="35F37601" w14:textId="77777777" w:rsidR="0039541E" w:rsidRPr="0039541E" w:rsidRDefault="0039541E" w:rsidP="0039541E">
            <w:pPr>
              <w:spacing w:after="0" w:line="240" w:lineRule="auto"/>
              <w:rPr>
                <w:rFonts w:ascii="Calibri" w:eastAsia="Times New Roman" w:hAnsi="Calibri" w:cs="Calibri"/>
                <w:b/>
                <w:bCs/>
                <w:color w:val="000000"/>
              </w:rPr>
            </w:pPr>
            <w:r w:rsidRPr="0039541E">
              <w:rPr>
                <w:rFonts w:ascii="Calibri" w:eastAsia="Times New Roman" w:hAnsi="Calibri" w:cs="Calibri"/>
                <w:b/>
                <w:bCs/>
                <w:color w:val="000000"/>
              </w:rPr>
              <w:t>YEAR</w:t>
            </w:r>
          </w:p>
        </w:tc>
        <w:tc>
          <w:tcPr>
            <w:tcW w:w="2560" w:type="dxa"/>
            <w:tcBorders>
              <w:top w:val="single" w:sz="4" w:space="0" w:color="auto"/>
              <w:left w:val="nil"/>
              <w:bottom w:val="single" w:sz="4" w:space="0" w:color="auto"/>
              <w:right w:val="single" w:sz="4" w:space="0" w:color="auto"/>
            </w:tcBorders>
            <w:shd w:val="clear" w:color="auto" w:fill="9CC2E5" w:themeFill="accent5" w:themeFillTint="99"/>
            <w:noWrap/>
            <w:vAlign w:val="bottom"/>
            <w:hideMark/>
          </w:tcPr>
          <w:p w14:paraId="5802CE3E" w14:textId="77777777" w:rsidR="0039541E" w:rsidRPr="0039541E" w:rsidRDefault="0039541E" w:rsidP="0039541E">
            <w:pPr>
              <w:spacing w:after="0" w:line="240" w:lineRule="auto"/>
              <w:jc w:val="center"/>
              <w:rPr>
                <w:rFonts w:ascii="Calibri" w:eastAsia="Times New Roman" w:hAnsi="Calibri" w:cs="Calibri"/>
                <w:b/>
                <w:bCs/>
                <w:color w:val="000000"/>
              </w:rPr>
            </w:pPr>
            <w:r w:rsidRPr="0039541E">
              <w:rPr>
                <w:rFonts w:ascii="Calibri" w:eastAsia="Times New Roman" w:hAnsi="Calibri" w:cs="Calibri"/>
                <w:b/>
                <w:bCs/>
                <w:color w:val="000000"/>
              </w:rPr>
              <w:t>Operating Margin</w:t>
            </w:r>
          </w:p>
        </w:tc>
      </w:tr>
      <w:tr w:rsidR="0039541E" w:rsidRPr="0039541E" w14:paraId="5EBF718E" w14:textId="77777777" w:rsidTr="0039541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A574CFE" w14:textId="77777777" w:rsidR="0039541E" w:rsidRPr="0039541E" w:rsidRDefault="0039541E" w:rsidP="0039541E">
            <w:pPr>
              <w:spacing w:after="0" w:line="240" w:lineRule="auto"/>
              <w:rPr>
                <w:rFonts w:ascii="Calibri" w:eastAsia="Times New Roman" w:hAnsi="Calibri" w:cs="Calibri"/>
                <w:color w:val="000000"/>
              </w:rPr>
            </w:pPr>
            <w:r w:rsidRPr="0039541E">
              <w:rPr>
                <w:rFonts w:ascii="Calibri" w:eastAsia="Times New Roman" w:hAnsi="Calibri" w:cs="Calibri"/>
                <w:color w:val="000000"/>
              </w:rPr>
              <w:t>2020'</w:t>
            </w:r>
          </w:p>
        </w:tc>
        <w:tc>
          <w:tcPr>
            <w:tcW w:w="2560" w:type="dxa"/>
            <w:tcBorders>
              <w:top w:val="nil"/>
              <w:left w:val="nil"/>
              <w:bottom w:val="single" w:sz="4" w:space="0" w:color="auto"/>
              <w:right w:val="single" w:sz="4" w:space="0" w:color="auto"/>
            </w:tcBorders>
            <w:shd w:val="clear" w:color="auto" w:fill="auto"/>
            <w:noWrap/>
            <w:vAlign w:val="bottom"/>
            <w:hideMark/>
          </w:tcPr>
          <w:p w14:paraId="2231776E" w14:textId="77777777" w:rsidR="0039541E" w:rsidRPr="0039541E" w:rsidRDefault="0039541E" w:rsidP="0039541E">
            <w:pPr>
              <w:spacing w:after="0" w:line="240" w:lineRule="auto"/>
              <w:jc w:val="right"/>
              <w:rPr>
                <w:rFonts w:ascii="Calibri" w:eastAsia="Times New Roman" w:hAnsi="Calibri" w:cs="Calibri"/>
                <w:color w:val="000000"/>
              </w:rPr>
            </w:pPr>
            <w:r w:rsidRPr="0039541E">
              <w:rPr>
                <w:rFonts w:ascii="Calibri" w:eastAsia="Times New Roman" w:hAnsi="Calibri" w:cs="Calibri"/>
                <w:color w:val="000000"/>
              </w:rPr>
              <w:t>0.7946</w:t>
            </w:r>
          </w:p>
        </w:tc>
      </w:tr>
      <w:tr w:rsidR="0039541E" w:rsidRPr="0039541E" w14:paraId="6EB3930C" w14:textId="77777777" w:rsidTr="0039541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1743012" w14:textId="77777777" w:rsidR="0039541E" w:rsidRPr="0039541E" w:rsidRDefault="0039541E" w:rsidP="0039541E">
            <w:pPr>
              <w:spacing w:after="0" w:line="240" w:lineRule="auto"/>
              <w:rPr>
                <w:rFonts w:ascii="Calibri" w:eastAsia="Times New Roman" w:hAnsi="Calibri" w:cs="Calibri"/>
                <w:color w:val="000000"/>
              </w:rPr>
            </w:pPr>
            <w:r w:rsidRPr="0039541E">
              <w:rPr>
                <w:rFonts w:ascii="Calibri" w:eastAsia="Times New Roman" w:hAnsi="Calibri" w:cs="Calibri"/>
                <w:color w:val="000000"/>
              </w:rPr>
              <w:t>2021'</w:t>
            </w:r>
          </w:p>
        </w:tc>
        <w:tc>
          <w:tcPr>
            <w:tcW w:w="2560" w:type="dxa"/>
            <w:tcBorders>
              <w:top w:val="nil"/>
              <w:left w:val="nil"/>
              <w:bottom w:val="single" w:sz="4" w:space="0" w:color="auto"/>
              <w:right w:val="single" w:sz="4" w:space="0" w:color="auto"/>
            </w:tcBorders>
            <w:shd w:val="clear" w:color="auto" w:fill="auto"/>
            <w:noWrap/>
            <w:vAlign w:val="bottom"/>
            <w:hideMark/>
          </w:tcPr>
          <w:p w14:paraId="11651A6D" w14:textId="77777777" w:rsidR="0039541E" w:rsidRPr="0039541E" w:rsidRDefault="0039541E" w:rsidP="0039541E">
            <w:pPr>
              <w:spacing w:after="0" w:line="240" w:lineRule="auto"/>
              <w:jc w:val="right"/>
              <w:rPr>
                <w:rFonts w:ascii="Calibri" w:eastAsia="Times New Roman" w:hAnsi="Calibri" w:cs="Calibri"/>
                <w:color w:val="000000"/>
              </w:rPr>
            </w:pPr>
            <w:r w:rsidRPr="0039541E">
              <w:rPr>
                <w:rFonts w:ascii="Calibri" w:eastAsia="Times New Roman" w:hAnsi="Calibri" w:cs="Calibri"/>
                <w:color w:val="000000"/>
              </w:rPr>
              <w:t>12.629</w:t>
            </w:r>
          </w:p>
        </w:tc>
      </w:tr>
    </w:tbl>
    <w:p w14:paraId="4F9D8FAA" w14:textId="4B205E6B" w:rsidR="0039541E" w:rsidRPr="0039541E" w:rsidRDefault="0039541E" w:rsidP="0039541E">
      <w:pPr>
        <w:spacing w:line="360" w:lineRule="auto"/>
        <w:rPr>
          <w:rFonts w:ascii="Arial" w:hAnsi="Arial" w:cs="Arial"/>
          <w:b/>
          <w:sz w:val="24"/>
          <w:szCs w:val="24"/>
        </w:rPr>
      </w:pPr>
    </w:p>
    <w:p w14:paraId="3A1CBFB4" w14:textId="07633A66" w:rsidR="001B2E98" w:rsidRPr="00BB539D" w:rsidRDefault="00B2575E" w:rsidP="00787D2E">
      <w:pPr>
        <w:spacing w:line="360" w:lineRule="auto"/>
        <w:jc w:val="both"/>
        <w:rPr>
          <w:rFonts w:ascii="Arial" w:hAnsi="Arial" w:cs="Arial"/>
          <w:b/>
          <w:sz w:val="24"/>
          <w:szCs w:val="24"/>
        </w:rPr>
      </w:pPr>
      <w:r w:rsidRPr="00BB539D">
        <w:rPr>
          <w:rFonts w:ascii="Arial" w:hAnsi="Arial" w:cs="Arial"/>
          <w:bCs/>
          <w:sz w:val="24"/>
          <w:szCs w:val="24"/>
        </w:rPr>
        <w:t xml:space="preserve">Above data shows the Operating profit margin of </w:t>
      </w:r>
      <w:r w:rsidRPr="00BB539D">
        <w:rPr>
          <w:rFonts w:ascii="Arial" w:hAnsi="Arial" w:cs="Arial"/>
          <w:sz w:val="24"/>
          <w:szCs w:val="24"/>
        </w:rPr>
        <w:t xml:space="preserve">Marriott International, Inc for the year 2020 and 2021. The data interprets that the </w:t>
      </w:r>
      <w:r w:rsidRPr="00BB539D">
        <w:rPr>
          <w:rFonts w:ascii="Arial" w:hAnsi="Arial" w:cs="Arial"/>
          <w:bCs/>
          <w:sz w:val="24"/>
          <w:szCs w:val="24"/>
        </w:rPr>
        <w:t>Operating profit ma</w:t>
      </w:r>
      <w:r w:rsidR="004F3430" w:rsidRPr="004F3430">
        <w:rPr>
          <w:noProof/>
        </w:rPr>
        <w:t xml:space="preserve"> </w:t>
      </w:r>
      <w:proofErr w:type="spellStart"/>
      <w:r w:rsidRPr="00BB539D">
        <w:rPr>
          <w:rFonts w:ascii="Arial" w:hAnsi="Arial" w:cs="Arial"/>
          <w:bCs/>
          <w:sz w:val="24"/>
          <w:szCs w:val="24"/>
        </w:rPr>
        <w:t>rgin</w:t>
      </w:r>
      <w:proofErr w:type="spellEnd"/>
      <w:r w:rsidRPr="00BB539D">
        <w:rPr>
          <w:rFonts w:ascii="Arial" w:hAnsi="Arial" w:cs="Arial"/>
          <w:bCs/>
          <w:sz w:val="24"/>
          <w:szCs w:val="24"/>
        </w:rPr>
        <w:t xml:space="preserve"> </w:t>
      </w:r>
      <w:r w:rsidRPr="00BB539D">
        <w:rPr>
          <w:rFonts w:ascii="Arial" w:hAnsi="Arial" w:cs="Arial"/>
          <w:sz w:val="24"/>
          <w:szCs w:val="24"/>
        </w:rPr>
        <w:t xml:space="preserve">for year 2020 is </w:t>
      </w:r>
      <w:r w:rsidR="003E7A6B" w:rsidRPr="00BB539D">
        <w:rPr>
          <w:rFonts w:ascii="Arial" w:hAnsi="Arial" w:cs="Arial"/>
          <w:sz w:val="24"/>
          <w:szCs w:val="24"/>
        </w:rPr>
        <w:t>0.7946</w:t>
      </w:r>
      <w:r w:rsidRPr="00BB539D">
        <w:rPr>
          <w:rFonts w:ascii="Arial" w:hAnsi="Arial" w:cs="Arial"/>
          <w:sz w:val="24"/>
          <w:szCs w:val="24"/>
        </w:rPr>
        <w:t xml:space="preserve"> and as of 2021 it is </w:t>
      </w:r>
      <w:r w:rsidR="003E7A6B" w:rsidRPr="00BB539D">
        <w:rPr>
          <w:rFonts w:ascii="Arial" w:hAnsi="Arial" w:cs="Arial"/>
          <w:sz w:val="24"/>
          <w:szCs w:val="24"/>
        </w:rPr>
        <w:t>12.629</w:t>
      </w:r>
      <w:r w:rsidRPr="00BB539D">
        <w:rPr>
          <w:rFonts w:ascii="Arial" w:hAnsi="Arial" w:cs="Arial"/>
          <w:sz w:val="24"/>
          <w:szCs w:val="24"/>
        </w:rPr>
        <w:t xml:space="preserve">. We can clearly see that the </w:t>
      </w:r>
      <w:r w:rsidRPr="00BB539D">
        <w:rPr>
          <w:rFonts w:ascii="Arial" w:hAnsi="Arial" w:cs="Arial"/>
          <w:bCs/>
          <w:sz w:val="24"/>
          <w:szCs w:val="24"/>
        </w:rPr>
        <w:t xml:space="preserve">Operating profit margin </w:t>
      </w:r>
      <w:r w:rsidRPr="00BB539D">
        <w:rPr>
          <w:rFonts w:ascii="Arial" w:hAnsi="Arial" w:cs="Arial"/>
          <w:sz w:val="24"/>
          <w:szCs w:val="24"/>
        </w:rPr>
        <w:t xml:space="preserve">of Marriott International has significantly increased in 2021 as compared to previous year. This demonstrates that </w:t>
      </w:r>
      <w:r w:rsidR="001755D6" w:rsidRPr="00BB539D">
        <w:rPr>
          <w:rFonts w:ascii="Arial" w:hAnsi="Arial" w:cs="Arial"/>
          <w:sz w:val="24"/>
          <w:szCs w:val="24"/>
        </w:rPr>
        <w:t xml:space="preserve">in 2021 </w:t>
      </w:r>
      <w:r w:rsidRPr="00BB539D">
        <w:rPr>
          <w:rFonts w:ascii="Arial" w:hAnsi="Arial" w:cs="Arial"/>
          <w:sz w:val="24"/>
          <w:szCs w:val="24"/>
        </w:rPr>
        <w:t>Marriott makes a high operational profit per dollar of revenue. This is a strong indication of Marriott's great earning quality.</w:t>
      </w:r>
    </w:p>
    <w:p w14:paraId="668C23A7" w14:textId="2B306E98" w:rsidR="001B2E98" w:rsidRDefault="001B2E98" w:rsidP="00787D2E">
      <w:pPr>
        <w:pStyle w:val="ListParagraph"/>
        <w:numPr>
          <w:ilvl w:val="0"/>
          <w:numId w:val="4"/>
        </w:numPr>
        <w:spacing w:line="360" w:lineRule="auto"/>
        <w:rPr>
          <w:rFonts w:ascii="Arial" w:hAnsi="Arial" w:cs="Arial"/>
          <w:b/>
          <w:sz w:val="24"/>
          <w:szCs w:val="24"/>
        </w:rPr>
      </w:pPr>
      <w:r w:rsidRPr="00BB539D">
        <w:rPr>
          <w:rFonts w:ascii="Arial" w:hAnsi="Arial" w:cs="Arial"/>
          <w:b/>
          <w:sz w:val="24"/>
          <w:szCs w:val="24"/>
        </w:rPr>
        <w:t>Net profit margin</w:t>
      </w:r>
      <w:r w:rsidR="004F3430" w:rsidRPr="004F3430">
        <w:rPr>
          <w:noProof/>
        </w:rPr>
        <w:t xml:space="preserve"> </w:t>
      </w:r>
      <w:r w:rsidR="004F3430">
        <w:rPr>
          <w:noProof/>
        </w:rPr>
        <w:drawing>
          <wp:anchor distT="0" distB="0" distL="114300" distR="114300" simplePos="0" relativeHeight="251662336" behindDoc="0" locked="0" layoutInCell="1" allowOverlap="1" wp14:anchorId="4A335DA7" wp14:editId="648108C2">
            <wp:simplePos x="2631440" y="914400"/>
            <wp:positionH relativeFrom="margin">
              <wp:align>right</wp:align>
            </wp:positionH>
            <wp:positionV relativeFrom="margin">
              <wp:align>top</wp:align>
            </wp:positionV>
            <wp:extent cx="2392680" cy="2049780"/>
            <wp:effectExtent l="0" t="0" r="7620" b="7620"/>
            <wp:wrapSquare wrapText="bothSides"/>
            <wp:docPr id="5" name="Chart 5">
              <a:extLst xmlns:a="http://schemas.openxmlformats.org/drawingml/2006/main">
                <a:ext uri="{FF2B5EF4-FFF2-40B4-BE49-F238E27FC236}">
                  <a16:creationId xmlns:a16="http://schemas.microsoft.com/office/drawing/2014/main" id="{35B54682-71FC-522F-1FA0-C790B49D6C3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anchor>
        </w:drawing>
      </w:r>
    </w:p>
    <w:tbl>
      <w:tblPr>
        <w:tblW w:w="3520" w:type="dxa"/>
        <w:tblLook w:val="04A0" w:firstRow="1" w:lastRow="0" w:firstColumn="1" w:lastColumn="0" w:noHBand="0" w:noVBand="1"/>
      </w:tblPr>
      <w:tblGrid>
        <w:gridCol w:w="960"/>
        <w:gridCol w:w="2560"/>
      </w:tblGrid>
      <w:tr w:rsidR="0039541E" w:rsidRPr="0039541E" w14:paraId="55C44C07" w14:textId="77777777" w:rsidTr="004F3430">
        <w:trPr>
          <w:trHeight w:val="288"/>
        </w:trPr>
        <w:tc>
          <w:tcPr>
            <w:tcW w:w="960" w:type="dxa"/>
            <w:tcBorders>
              <w:top w:val="single" w:sz="4" w:space="0" w:color="auto"/>
              <w:left w:val="single" w:sz="4" w:space="0" w:color="auto"/>
              <w:bottom w:val="single" w:sz="4" w:space="0" w:color="auto"/>
              <w:right w:val="single" w:sz="4" w:space="0" w:color="auto"/>
            </w:tcBorders>
            <w:shd w:val="clear" w:color="auto" w:fill="9CC2E5" w:themeFill="accent5" w:themeFillTint="99"/>
            <w:noWrap/>
            <w:vAlign w:val="bottom"/>
            <w:hideMark/>
          </w:tcPr>
          <w:p w14:paraId="5038104B" w14:textId="77777777" w:rsidR="0039541E" w:rsidRPr="0039541E" w:rsidRDefault="0039541E" w:rsidP="0039541E">
            <w:pPr>
              <w:spacing w:after="0" w:line="240" w:lineRule="auto"/>
              <w:rPr>
                <w:rFonts w:ascii="Calibri" w:eastAsia="Times New Roman" w:hAnsi="Calibri" w:cs="Calibri"/>
                <w:b/>
                <w:bCs/>
                <w:color w:val="000000"/>
              </w:rPr>
            </w:pPr>
            <w:r w:rsidRPr="0039541E">
              <w:rPr>
                <w:rFonts w:ascii="Calibri" w:eastAsia="Times New Roman" w:hAnsi="Calibri" w:cs="Calibri"/>
                <w:b/>
                <w:bCs/>
                <w:color w:val="000000"/>
              </w:rPr>
              <w:t>YEAR</w:t>
            </w:r>
          </w:p>
        </w:tc>
        <w:tc>
          <w:tcPr>
            <w:tcW w:w="2560" w:type="dxa"/>
            <w:tcBorders>
              <w:top w:val="single" w:sz="4" w:space="0" w:color="auto"/>
              <w:left w:val="nil"/>
              <w:bottom w:val="single" w:sz="4" w:space="0" w:color="auto"/>
              <w:right w:val="single" w:sz="4" w:space="0" w:color="auto"/>
            </w:tcBorders>
            <w:shd w:val="clear" w:color="auto" w:fill="9CC2E5" w:themeFill="accent5" w:themeFillTint="99"/>
            <w:noWrap/>
            <w:vAlign w:val="bottom"/>
            <w:hideMark/>
          </w:tcPr>
          <w:p w14:paraId="11D5E524" w14:textId="77777777" w:rsidR="0039541E" w:rsidRPr="0039541E" w:rsidRDefault="0039541E" w:rsidP="0039541E">
            <w:pPr>
              <w:spacing w:after="0" w:line="240" w:lineRule="auto"/>
              <w:jc w:val="center"/>
              <w:rPr>
                <w:rFonts w:ascii="Calibri" w:eastAsia="Times New Roman" w:hAnsi="Calibri" w:cs="Calibri"/>
                <w:b/>
                <w:bCs/>
                <w:color w:val="000000"/>
              </w:rPr>
            </w:pPr>
            <w:r w:rsidRPr="0039541E">
              <w:rPr>
                <w:rFonts w:ascii="Calibri" w:eastAsia="Times New Roman" w:hAnsi="Calibri" w:cs="Calibri"/>
                <w:b/>
                <w:bCs/>
                <w:color w:val="000000"/>
              </w:rPr>
              <w:t>Net Profit Margin</w:t>
            </w:r>
          </w:p>
        </w:tc>
      </w:tr>
      <w:tr w:rsidR="0039541E" w:rsidRPr="0039541E" w14:paraId="1159F211" w14:textId="77777777" w:rsidTr="0039541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66A579FD" w14:textId="77777777" w:rsidR="0039541E" w:rsidRPr="0039541E" w:rsidRDefault="0039541E" w:rsidP="0039541E">
            <w:pPr>
              <w:spacing w:after="0" w:line="240" w:lineRule="auto"/>
              <w:rPr>
                <w:rFonts w:ascii="Calibri" w:eastAsia="Times New Roman" w:hAnsi="Calibri" w:cs="Calibri"/>
                <w:color w:val="000000"/>
              </w:rPr>
            </w:pPr>
            <w:r w:rsidRPr="0039541E">
              <w:rPr>
                <w:rFonts w:ascii="Calibri" w:eastAsia="Times New Roman" w:hAnsi="Calibri" w:cs="Calibri"/>
                <w:color w:val="000000"/>
              </w:rPr>
              <w:t>2020'</w:t>
            </w:r>
          </w:p>
        </w:tc>
        <w:tc>
          <w:tcPr>
            <w:tcW w:w="2560" w:type="dxa"/>
            <w:tcBorders>
              <w:top w:val="nil"/>
              <w:left w:val="nil"/>
              <w:bottom w:val="single" w:sz="4" w:space="0" w:color="auto"/>
              <w:right w:val="single" w:sz="4" w:space="0" w:color="auto"/>
            </w:tcBorders>
            <w:shd w:val="clear" w:color="auto" w:fill="auto"/>
            <w:noWrap/>
            <w:vAlign w:val="bottom"/>
            <w:hideMark/>
          </w:tcPr>
          <w:p w14:paraId="7545C9C1" w14:textId="77777777" w:rsidR="0039541E" w:rsidRPr="0039541E" w:rsidRDefault="0039541E" w:rsidP="0039541E">
            <w:pPr>
              <w:spacing w:after="0" w:line="240" w:lineRule="auto"/>
              <w:jc w:val="right"/>
              <w:rPr>
                <w:rFonts w:ascii="Calibri" w:eastAsia="Times New Roman" w:hAnsi="Calibri" w:cs="Calibri"/>
                <w:color w:val="000000"/>
              </w:rPr>
            </w:pPr>
            <w:r w:rsidRPr="0039541E">
              <w:rPr>
                <w:rFonts w:ascii="Calibri" w:eastAsia="Times New Roman" w:hAnsi="Calibri" w:cs="Calibri"/>
                <w:color w:val="000000"/>
              </w:rPr>
              <w:t>-2.5258</w:t>
            </w:r>
          </w:p>
        </w:tc>
      </w:tr>
      <w:tr w:rsidR="0039541E" w:rsidRPr="0039541E" w14:paraId="327AC61A" w14:textId="77777777" w:rsidTr="0039541E">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2A840E1" w14:textId="77777777" w:rsidR="0039541E" w:rsidRPr="0039541E" w:rsidRDefault="0039541E" w:rsidP="0039541E">
            <w:pPr>
              <w:spacing w:after="0" w:line="240" w:lineRule="auto"/>
              <w:rPr>
                <w:rFonts w:ascii="Calibri" w:eastAsia="Times New Roman" w:hAnsi="Calibri" w:cs="Calibri"/>
                <w:color w:val="000000"/>
              </w:rPr>
            </w:pPr>
            <w:r w:rsidRPr="0039541E">
              <w:rPr>
                <w:rFonts w:ascii="Calibri" w:eastAsia="Times New Roman" w:hAnsi="Calibri" w:cs="Calibri"/>
                <w:color w:val="000000"/>
              </w:rPr>
              <w:t>2021'</w:t>
            </w:r>
          </w:p>
        </w:tc>
        <w:tc>
          <w:tcPr>
            <w:tcW w:w="2560" w:type="dxa"/>
            <w:tcBorders>
              <w:top w:val="nil"/>
              <w:left w:val="nil"/>
              <w:bottom w:val="single" w:sz="4" w:space="0" w:color="auto"/>
              <w:right w:val="single" w:sz="4" w:space="0" w:color="auto"/>
            </w:tcBorders>
            <w:shd w:val="clear" w:color="auto" w:fill="auto"/>
            <w:noWrap/>
            <w:vAlign w:val="bottom"/>
            <w:hideMark/>
          </w:tcPr>
          <w:p w14:paraId="4BCDD540" w14:textId="77777777" w:rsidR="0039541E" w:rsidRPr="0039541E" w:rsidRDefault="0039541E" w:rsidP="0039541E">
            <w:pPr>
              <w:spacing w:after="0" w:line="240" w:lineRule="auto"/>
              <w:jc w:val="right"/>
              <w:rPr>
                <w:rFonts w:ascii="Calibri" w:eastAsia="Times New Roman" w:hAnsi="Calibri" w:cs="Calibri"/>
                <w:color w:val="000000"/>
              </w:rPr>
            </w:pPr>
            <w:r w:rsidRPr="0039541E">
              <w:rPr>
                <w:rFonts w:ascii="Calibri" w:eastAsia="Times New Roman" w:hAnsi="Calibri" w:cs="Calibri"/>
                <w:color w:val="000000"/>
              </w:rPr>
              <w:t>7.931</w:t>
            </w:r>
          </w:p>
        </w:tc>
      </w:tr>
    </w:tbl>
    <w:p w14:paraId="1EDD5C49" w14:textId="77777777" w:rsidR="0039541E" w:rsidRPr="0039541E" w:rsidRDefault="0039541E" w:rsidP="0039541E">
      <w:pPr>
        <w:spacing w:line="360" w:lineRule="auto"/>
        <w:rPr>
          <w:rFonts w:ascii="Arial" w:hAnsi="Arial" w:cs="Arial"/>
          <w:b/>
          <w:sz w:val="24"/>
          <w:szCs w:val="24"/>
        </w:rPr>
      </w:pPr>
    </w:p>
    <w:p w14:paraId="4D849E55" w14:textId="2ED614D7" w:rsidR="001B2E98" w:rsidRDefault="003E7A6B" w:rsidP="00787D2E">
      <w:pPr>
        <w:spacing w:line="360" w:lineRule="auto"/>
        <w:rPr>
          <w:rFonts w:ascii="Arial" w:hAnsi="Arial" w:cs="Arial"/>
          <w:sz w:val="24"/>
          <w:szCs w:val="24"/>
        </w:rPr>
      </w:pPr>
      <w:r w:rsidRPr="00BB539D">
        <w:rPr>
          <w:rFonts w:ascii="Arial" w:hAnsi="Arial" w:cs="Arial"/>
          <w:bCs/>
          <w:sz w:val="24"/>
          <w:szCs w:val="24"/>
        </w:rPr>
        <w:t xml:space="preserve">Above data shows the Net profit margin of </w:t>
      </w:r>
      <w:r w:rsidRPr="00BB539D">
        <w:rPr>
          <w:rFonts w:ascii="Arial" w:hAnsi="Arial" w:cs="Arial"/>
          <w:sz w:val="24"/>
          <w:szCs w:val="24"/>
        </w:rPr>
        <w:t xml:space="preserve">Marriott International, Inc for the year 2020 and 2021. The data interprets that the </w:t>
      </w:r>
      <w:r w:rsidRPr="00BB539D">
        <w:rPr>
          <w:rFonts w:ascii="Arial" w:hAnsi="Arial" w:cs="Arial"/>
          <w:bCs/>
          <w:sz w:val="24"/>
          <w:szCs w:val="24"/>
        </w:rPr>
        <w:t xml:space="preserve">Net profit margin </w:t>
      </w:r>
      <w:r w:rsidRPr="00BB539D">
        <w:rPr>
          <w:rFonts w:ascii="Arial" w:hAnsi="Arial" w:cs="Arial"/>
          <w:sz w:val="24"/>
          <w:szCs w:val="24"/>
        </w:rPr>
        <w:t xml:space="preserve">for year 2020 is -2.5258 and is considered as loss and as of 2021 it is 7.931. We can clearly see that the </w:t>
      </w:r>
      <w:r w:rsidRPr="00BB539D">
        <w:rPr>
          <w:rFonts w:ascii="Arial" w:hAnsi="Arial" w:cs="Arial"/>
          <w:bCs/>
          <w:sz w:val="24"/>
          <w:szCs w:val="24"/>
        </w:rPr>
        <w:t xml:space="preserve">Net profit margin </w:t>
      </w:r>
      <w:r w:rsidRPr="00BB539D">
        <w:rPr>
          <w:rFonts w:ascii="Arial" w:hAnsi="Arial" w:cs="Arial"/>
          <w:sz w:val="24"/>
          <w:szCs w:val="24"/>
        </w:rPr>
        <w:t xml:space="preserve">of Marriott International has tremendously increased in 2021 as compared to previous year. The main reason for this drastic loss was COVID-19, as a lot of people were staying at home and it affected hotel industry severely. </w:t>
      </w:r>
    </w:p>
    <w:p w14:paraId="65EA459C" w14:textId="48BD96C5" w:rsidR="004F3430" w:rsidRPr="00BB539D" w:rsidRDefault="004F3430" w:rsidP="00787D2E">
      <w:pPr>
        <w:spacing w:line="360" w:lineRule="auto"/>
        <w:rPr>
          <w:rFonts w:ascii="Arial" w:hAnsi="Arial" w:cs="Arial"/>
          <w:b/>
          <w:sz w:val="24"/>
          <w:szCs w:val="24"/>
        </w:rPr>
      </w:pPr>
    </w:p>
    <w:p w14:paraId="2B0B22A4" w14:textId="2C4DE01B" w:rsidR="001B2E98" w:rsidRDefault="004F3430" w:rsidP="00787D2E">
      <w:pPr>
        <w:pStyle w:val="ListParagraph"/>
        <w:numPr>
          <w:ilvl w:val="0"/>
          <w:numId w:val="4"/>
        </w:numPr>
        <w:spacing w:line="360" w:lineRule="auto"/>
        <w:rPr>
          <w:rFonts w:ascii="Arial" w:hAnsi="Arial" w:cs="Arial"/>
          <w:b/>
          <w:sz w:val="24"/>
          <w:szCs w:val="24"/>
        </w:rPr>
      </w:pPr>
      <w:r>
        <w:rPr>
          <w:noProof/>
        </w:rPr>
        <w:drawing>
          <wp:anchor distT="0" distB="0" distL="114300" distR="114300" simplePos="0" relativeHeight="251663360" behindDoc="0" locked="0" layoutInCell="1" allowOverlap="1" wp14:anchorId="5ABB39B0" wp14:editId="77A95B72">
            <wp:simplePos x="0" y="0"/>
            <wp:positionH relativeFrom="margin">
              <wp:align>right</wp:align>
            </wp:positionH>
            <wp:positionV relativeFrom="margin">
              <wp:posOffset>3630667</wp:posOffset>
            </wp:positionV>
            <wp:extent cx="2407920" cy="2034540"/>
            <wp:effectExtent l="0" t="0" r="11430" b="3810"/>
            <wp:wrapSquare wrapText="bothSides"/>
            <wp:docPr id="6" name="Chart 6">
              <a:extLst xmlns:a="http://schemas.openxmlformats.org/drawingml/2006/main">
                <a:ext uri="{FF2B5EF4-FFF2-40B4-BE49-F238E27FC236}">
                  <a16:creationId xmlns:a16="http://schemas.microsoft.com/office/drawing/2014/main" id="{6EA50E53-43FC-73D9-BC44-3C61703342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001B2E98" w:rsidRPr="00BB539D">
        <w:rPr>
          <w:rFonts w:ascii="Arial" w:hAnsi="Arial" w:cs="Arial"/>
          <w:b/>
          <w:sz w:val="24"/>
          <w:szCs w:val="24"/>
        </w:rPr>
        <w:t>ROA - Return on Assets</w:t>
      </w:r>
    </w:p>
    <w:tbl>
      <w:tblPr>
        <w:tblW w:w="3520" w:type="dxa"/>
        <w:tblLook w:val="04A0" w:firstRow="1" w:lastRow="0" w:firstColumn="1" w:lastColumn="0" w:noHBand="0" w:noVBand="1"/>
      </w:tblPr>
      <w:tblGrid>
        <w:gridCol w:w="960"/>
        <w:gridCol w:w="2560"/>
      </w:tblGrid>
      <w:tr w:rsidR="004F3430" w:rsidRPr="004F3430" w14:paraId="42E61875" w14:textId="77777777" w:rsidTr="004F3430">
        <w:trPr>
          <w:trHeight w:val="288"/>
        </w:trPr>
        <w:tc>
          <w:tcPr>
            <w:tcW w:w="960" w:type="dxa"/>
            <w:tcBorders>
              <w:top w:val="single" w:sz="4" w:space="0" w:color="auto"/>
              <w:left w:val="single" w:sz="4" w:space="0" w:color="auto"/>
              <w:bottom w:val="single" w:sz="4" w:space="0" w:color="auto"/>
              <w:right w:val="single" w:sz="4" w:space="0" w:color="auto"/>
            </w:tcBorders>
            <w:shd w:val="clear" w:color="auto" w:fill="9CC2E5" w:themeFill="accent5" w:themeFillTint="99"/>
            <w:noWrap/>
            <w:vAlign w:val="bottom"/>
            <w:hideMark/>
          </w:tcPr>
          <w:p w14:paraId="3CEE9B4F" w14:textId="77777777" w:rsidR="004F3430" w:rsidRPr="004F3430" w:rsidRDefault="004F3430" w:rsidP="004F3430">
            <w:pPr>
              <w:spacing w:after="0" w:line="240" w:lineRule="auto"/>
              <w:rPr>
                <w:rFonts w:ascii="Calibri" w:eastAsia="Times New Roman" w:hAnsi="Calibri" w:cs="Calibri"/>
                <w:b/>
                <w:bCs/>
                <w:color w:val="000000"/>
              </w:rPr>
            </w:pPr>
            <w:r w:rsidRPr="004F3430">
              <w:rPr>
                <w:rFonts w:ascii="Calibri" w:eastAsia="Times New Roman" w:hAnsi="Calibri" w:cs="Calibri"/>
                <w:b/>
                <w:bCs/>
                <w:color w:val="000000"/>
              </w:rPr>
              <w:t>YEAR</w:t>
            </w:r>
          </w:p>
        </w:tc>
        <w:tc>
          <w:tcPr>
            <w:tcW w:w="2560" w:type="dxa"/>
            <w:tcBorders>
              <w:top w:val="single" w:sz="4" w:space="0" w:color="auto"/>
              <w:left w:val="nil"/>
              <w:bottom w:val="single" w:sz="4" w:space="0" w:color="auto"/>
              <w:right w:val="single" w:sz="4" w:space="0" w:color="auto"/>
            </w:tcBorders>
            <w:shd w:val="clear" w:color="auto" w:fill="9CC2E5" w:themeFill="accent5" w:themeFillTint="99"/>
            <w:noWrap/>
            <w:vAlign w:val="bottom"/>
            <w:hideMark/>
          </w:tcPr>
          <w:p w14:paraId="28C90589" w14:textId="77777777" w:rsidR="004F3430" w:rsidRPr="004F3430" w:rsidRDefault="004F3430" w:rsidP="004F3430">
            <w:pPr>
              <w:spacing w:after="0" w:line="240" w:lineRule="auto"/>
              <w:jc w:val="center"/>
              <w:rPr>
                <w:rFonts w:ascii="Calibri" w:eastAsia="Times New Roman" w:hAnsi="Calibri" w:cs="Calibri"/>
                <w:b/>
                <w:bCs/>
                <w:color w:val="000000"/>
              </w:rPr>
            </w:pPr>
            <w:r w:rsidRPr="004F3430">
              <w:rPr>
                <w:rFonts w:ascii="Calibri" w:eastAsia="Times New Roman" w:hAnsi="Calibri" w:cs="Calibri"/>
                <w:b/>
                <w:bCs/>
                <w:color w:val="000000"/>
              </w:rPr>
              <w:t>ROA- Return on assets</w:t>
            </w:r>
          </w:p>
        </w:tc>
      </w:tr>
      <w:tr w:rsidR="004F3430" w:rsidRPr="004F3430" w14:paraId="03C0C1E3" w14:textId="77777777" w:rsidTr="004F3430">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045297B" w14:textId="77777777" w:rsidR="004F3430" w:rsidRPr="004F3430" w:rsidRDefault="004F3430" w:rsidP="004F3430">
            <w:pPr>
              <w:spacing w:after="0" w:line="240" w:lineRule="auto"/>
              <w:rPr>
                <w:rFonts w:ascii="Calibri" w:eastAsia="Times New Roman" w:hAnsi="Calibri" w:cs="Calibri"/>
                <w:color w:val="000000"/>
              </w:rPr>
            </w:pPr>
            <w:r w:rsidRPr="004F3430">
              <w:rPr>
                <w:rFonts w:ascii="Calibri" w:eastAsia="Times New Roman" w:hAnsi="Calibri" w:cs="Calibri"/>
                <w:color w:val="000000"/>
              </w:rPr>
              <w:t>2020'</w:t>
            </w:r>
          </w:p>
        </w:tc>
        <w:tc>
          <w:tcPr>
            <w:tcW w:w="2560" w:type="dxa"/>
            <w:tcBorders>
              <w:top w:val="nil"/>
              <w:left w:val="nil"/>
              <w:bottom w:val="single" w:sz="4" w:space="0" w:color="auto"/>
              <w:right w:val="single" w:sz="4" w:space="0" w:color="auto"/>
            </w:tcBorders>
            <w:shd w:val="clear" w:color="auto" w:fill="auto"/>
            <w:noWrap/>
            <w:vAlign w:val="bottom"/>
            <w:hideMark/>
          </w:tcPr>
          <w:p w14:paraId="48551984" w14:textId="77777777" w:rsidR="004F3430" w:rsidRPr="004F3430" w:rsidRDefault="004F3430" w:rsidP="004F3430">
            <w:pPr>
              <w:spacing w:after="0" w:line="240" w:lineRule="auto"/>
              <w:jc w:val="right"/>
              <w:rPr>
                <w:rFonts w:ascii="Calibri" w:eastAsia="Times New Roman" w:hAnsi="Calibri" w:cs="Calibri"/>
                <w:color w:val="000000"/>
              </w:rPr>
            </w:pPr>
            <w:r w:rsidRPr="004F3430">
              <w:rPr>
                <w:rFonts w:ascii="Calibri" w:eastAsia="Times New Roman" w:hAnsi="Calibri" w:cs="Calibri"/>
                <w:color w:val="000000"/>
              </w:rPr>
              <w:t>-1.0809</w:t>
            </w:r>
          </w:p>
        </w:tc>
      </w:tr>
      <w:tr w:rsidR="004F3430" w:rsidRPr="004F3430" w14:paraId="0D2EC394" w14:textId="77777777" w:rsidTr="004F3430">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14DAC848" w14:textId="77777777" w:rsidR="004F3430" w:rsidRPr="004F3430" w:rsidRDefault="004F3430" w:rsidP="004F3430">
            <w:pPr>
              <w:spacing w:after="0" w:line="240" w:lineRule="auto"/>
              <w:rPr>
                <w:rFonts w:ascii="Calibri" w:eastAsia="Times New Roman" w:hAnsi="Calibri" w:cs="Calibri"/>
                <w:color w:val="000000"/>
              </w:rPr>
            </w:pPr>
            <w:r w:rsidRPr="004F3430">
              <w:rPr>
                <w:rFonts w:ascii="Calibri" w:eastAsia="Times New Roman" w:hAnsi="Calibri" w:cs="Calibri"/>
                <w:color w:val="000000"/>
              </w:rPr>
              <w:t>2021'</w:t>
            </w:r>
          </w:p>
        </w:tc>
        <w:tc>
          <w:tcPr>
            <w:tcW w:w="2560" w:type="dxa"/>
            <w:tcBorders>
              <w:top w:val="nil"/>
              <w:left w:val="nil"/>
              <w:bottom w:val="single" w:sz="4" w:space="0" w:color="auto"/>
              <w:right w:val="single" w:sz="4" w:space="0" w:color="auto"/>
            </w:tcBorders>
            <w:shd w:val="clear" w:color="auto" w:fill="auto"/>
            <w:noWrap/>
            <w:vAlign w:val="bottom"/>
            <w:hideMark/>
          </w:tcPr>
          <w:p w14:paraId="28422915" w14:textId="77777777" w:rsidR="004F3430" w:rsidRPr="004F3430" w:rsidRDefault="004F3430" w:rsidP="004F3430">
            <w:pPr>
              <w:spacing w:after="0" w:line="240" w:lineRule="auto"/>
              <w:jc w:val="right"/>
              <w:rPr>
                <w:rFonts w:ascii="Calibri" w:eastAsia="Times New Roman" w:hAnsi="Calibri" w:cs="Calibri"/>
                <w:color w:val="000000"/>
              </w:rPr>
            </w:pPr>
            <w:r w:rsidRPr="004F3430">
              <w:rPr>
                <w:rFonts w:ascii="Calibri" w:eastAsia="Times New Roman" w:hAnsi="Calibri" w:cs="Calibri"/>
                <w:color w:val="000000"/>
              </w:rPr>
              <w:t>4.3009</w:t>
            </w:r>
          </w:p>
        </w:tc>
      </w:tr>
    </w:tbl>
    <w:p w14:paraId="6078E289" w14:textId="77777777" w:rsidR="004F3430" w:rsidRPr="004F3430" w:rsidRDefault="004F3430" w:rsidP="004F3430">
      <w:pPr>
        <w:spacing w:line="360" w:lineRule="auto"/>
        <w:rPr>
          <w:rFonts w:ascii="Arial" w:hAnsi="Arial" w:cs="Arial"/>
          <w:b/>
          <w:sz w:val="24"/>
          <w:szCs w:val="24"/>
        </w:rPr>
      </w:pPr>
    </w:p>
    <w:p w14:paraId="66951AFD" w14:textId="61432500" w:rsidR="001B2E98" w:rsidRDefault="00A8707D" w:rsidP="00787D2E">
      <w:pPr>
        <w:spacing w:line="360" w:lineRule="auto"/>
        <w:jc w:val="both"/>
        <w:rPr>
          <w:rFonts w:ascii="Arial" w:hAnsi="Arial" w:cs="Arial"/>
          <w:sz w:val="24"/>
          <w:szCs w:val="24"/>
        </w:rPr>
      </w:pPr>
      <w:r w:rsidRPr="00BB539D">
        <w:rPr>
          <w:rFonts w:ascii="Arial" w:hAnsi="Arial" w:cs="Arial"/>
          <w:bCs/>
          <w:sz w:val="24"/>
          <w:szCs w:val="24"/>
        </w:rPr>
        <w:t xml:space="preserve">Above data shows the </w:t>
      </w:r>
      <w:r w:rsidR="00683E08" w:rsidRPr="00BB539D">
        <w:rPr>
          <w:rFonts w:ascii="Arial" w:hAnsi="Arial" w:cs="Arial"/>
          <w:bCs/>
          <w:sz w:val="24"/>
          <w:szCs w:val="24"/>
        </w:rPr>
        <w:t xml:space="preserve">ROA </w:t>
      </w:r>
      <w:r w:rsidRPr="00BB539D">
        <w:rPr>
          <w:rFonts w:ascii="Arial" w:hAnsi="Arial" w:cs="Arial"/>
          <w:bCs/>
          <w:sz w:val="24"/>
          <w:szCs w:val="24"/>
        </w:rPr>
        <w:t xml:space="preserve">of </w:t>
      </w:r>
      <w:r w:rsidRPr="00BB539D">
        <w:rPr>
          <w:rFonts w:ascii="Arial" w:hAnsi="Arial" w:cs="Arial"/>
          <w:sz w:val="24"/>
          <w:szCs w:val="24"/>
        </w:rPr>
        <w:t xml:space="preserve">Marriott International, Inc for the year 2020 and 2021. The data interprets that the </w:t>
      </w:r>
      <w:r w:rsidR="00683E08" w:rsidRPr="00BB539D">
        <w:rPr>
          <w:rFonts w:ascii="Arial" w:hAnsi="Arial" w:cs="Arial"/>
          <w:bCs/>
          <w:sz w:val="24"/>
          <w:szCs w:val="24"/>
        </w:rPr>
        <w:t xml:space="preserve">ROA </w:t>
      </w:r>
      <w:r w:rsidRPr="00BB539D">
        <w:rPr>
          <w:rFonts w:ascii="Arial" w:hAnsi="Arial" w:cs="Arial"/>
          <w:sz w:val="24"/>
          <w:szCs w:val="24"/>
        </w:rPr>
        <w:t xml:space="preserve">for year 2020 is </w:t>
      </w:r>
      <w:r w:rsidR="00683E08" w:rsidRPr="00BB539D">
        <w:rPr>
          <w:rFonts w:ascii="Arial" w:hAnsi="Arial" w:cs="Arial"/>
          <w:sz w:val="24"/>
          <w:szCs w:val="24"/>
        </w:rPr>
        <w:t xml:space="preserve">-1.0809 </w:t>
      </w:r>
      <w:r w:rsidRPr="00BB539D">
        <w:rPr>
          <w:rFonts w:ascii="Arial" w:hAnsi="Arial" w:cs="Arial"/>
          <w:sz w:val="24"/>
          <w:szCs w:val="24"/>
        </w:rPr>
        <w:t xml:space="preserve">and is considered </w:t>
      </w:r>
      <w:r w:rsidR="00683E08" w:rsidRPr="00BB539D">
        <w:rPr>
          <w:rFonts w:ascii="Arial" w:hAnsi="Arial" w:cs="Arial"/>
          <w:sz w:val="24"/>
          <w:szCs w:val="24"/>
        </w:rPr>
        <w:t xml:space="preserve">bad for the company </w:t>
      </w:r>
      <w:r w:rsidRPr="00BB539D">
        <w:rPr>
          <w:rFonts w:ascii="Arial" w:hAnsi="Arial" w:cs="Arial"/>
          <w:sz w:val="24"/>
          <w:szCs w:val="24"/>
        </w:rPr>
        <w:t>and as of 2021 it is</w:t>
      </w:r>
      <w:r w:rsidR="00683E08" w:rsidRPr="00BB539D">
        <w:rPr>
          <w:rFonts w:ascii="Arial" w:hAnsi="Arial" w:cs="Arial"/>
          <w:sz w:val="24"/>
          <w:szCs w:val="24"/>
        </w:rPr>
        <w:t xml:space="preserve"> 4.3009</w:t>
      </w:r>
      <w:r w:rsidRPr="00BB539D">
        <w:rPr>
          <w:rFonts w:ascii="Arial" w:hAnsi="Arial" w:cs="Arial"/>
          <w:sz w:val="24"/>
          <w:szCs w:val="24"/>
        </w:rPr>
        <w:t xml:space="preserve">. We can clearly see that the </w:t>
      </w:r>
      <w:r w:rsidR="00683E08" w:rsidRPr="00BB539D">
        <w:rPr>
          <w:rFonts w:ascii="Arial" w:hAnsi="Arial" w:cs="Arial"/>
          <w:bCs/>
          <w:sz w:val="24"/>
          <w:szCs w:val="24"/>
        </w:rPr>
        <w:t xml:space="preserve">ROA </w:t>
      </w:r>
      <w:r w:rsidRPr="00BB539D">
        <w:rPr>
          <w:rFonts w:ascii="Arial" w:hAnsi="Arial" w:cs="Arial"/>
          <w:sz w:val="24"/>
          <w:szCs w:val="24"/>
        </w:rPr>
        <w:t xml:space="preserve">of Marriott International has increased in 2021 as compared to </w:t>
      </w:r>
      <w:proofErr w:type="spellStart"/>
      <w:r w:rsidRPr="00BB539D">
        <w:rPr>
          <w:rFonts w:ascii="Arial" w:hAnsi="Arial" w:cs="Arial"/>
          <w:sz w:val="24"/>
          <w:szCs w:val="24"/>
        </w:rPr>
        <w:t>previo</w:t>
      </w:r>
      <w:proofErr w:type="spellEnd"/>
      <w:r w:rsidR="004F3430" w:rsidRPr="004F3430">
        <w:rPr>
          <w:noProof/>
        </w:rPr>
        <w:t xml:space="preserve"> </w:t>
      </w:r>
      <w:r w:rsidRPr="00BB539D">
        <w:rPr>
          <w:rFonts w:ascii="Arial" w:hAnsi="Arial" w:cs="Arial"/>
          <w:sz w:val="24"/>
          <w:szCs w:val="24"/>
        </w:rPr>
        <w:t xml:space="preserve">us year. </w:t>
      </w:r>
      <w:r w:rsidR="00683E08" w:rsidRPr="00BB539D">
        <w:rPr>
          <w:rFonts w:ascii="Arial" w:hAnsi="Arial" w:cs="Arial"/>
          <w:sz w:val="24"/>
          <w:szCs w:val="24"/>
        </w:rPr>
        <w:t>Due in large part to the Pandemic, Marriott was not reaping the anticipated gains in 2020 and was instead losing money. However, ROA has risen in 2021, indicating that the business is extracting more profit from each dollar of assets it owns</w:t>
      </w:r>
      <w:sdt>
        <w:sdtPr>
          <w:rPr>
            <w:rFonts w:ascii="Arial" w:hAnsi="Arial" w:cs="Arial"/>
            <w:sz w:val="24"/>
            <w:szCs w:val="24"/>
          </w:rPr>
          <w:id w:val="-1234004519"/>
          <w:citation/>
        </w:sdtPr>
        <w:sdtEndPr/>
        <w:sdtContent>
          <w:r w:rsidR="00944E48">
            <w:rPr>
              <w:rFonts w:ascii="Arial" w:hAnsi="Arial" w:cs="Arial"/>
              <w:sz w:val="24"/>
              <w:szCs w:val="24"/>
            </w:rPr>
            <w:fldChar w:fldCharType="begin"/>
          </w:r>
          <w:r w:rsidR="00944E48">
            <w:rPr>
              <w:rFonts w:ascii="Arial" w:hAnsi="Arial" w:cs="Arial"/>
              <w:sz w:val="24"/>
              <w:szCs w:val="24"/>
            </w:rPr>
            <w:instrText xml:space="preserve"> CITATION fun22 \l 1033 </w:instrText>
          </w:r>
          <w:r w:rsidR="00944E48">
            <w:rPr>
              <w:rFonts w:ascii="Arial" w:hAnsi="Arial" w:cs="Arial"/>
              <w:sz w:val="24"/>
              <w:szCs w:val="24"/>
            </w:rPr>
            <w:fldChar w:fldCharType="separate"/>
          </w:r>
          <w:r w:rsidR="00944E48">
            <w:rPr>
              <w:rFonts w:ascii="Arial" w:hAnsi="Arial" w:cs="Arial"/>
              <w:noProof/>
              <w:sz w:val="24"/>
              <w:szCs w:val="24"/>
            </w:rPr>
            <w:t xml:space="preserve"> </w:t>
          </w:r>
          <w:r w:rsidR="00944E48" w:rsidRPr="00944E48">
            <w:rPr>
              <w:rFonts w:ascii="Arial" w:hAnsi="Arial" w:cs="Arial"/>
              <w:noProof/>
              <w:sz w:val="24"/>
              <w:szCs w:val="24"/>
            </w:rPr>
            <w:t>(fundamentals, 2022)</w:t>
          </w:r>
          <w:r w:rsidR="00944E48">
            <w:rPr>
              <w:rFonts w:ascii="Arial" w:hAnsi="Arial" w:cs="Arial"/>
              <w:sz w:val="24"/>
              <w:szCs w:val="24"/>
            </w:rPr>
            <w:fldChar w:fldCharType="end"/>
          </w:r>
        </w:sdtContent>
      </w:sdt>
      <w:r w:rsidR="00683E08" w:rsidRPr="00BB539D">
        <w:rPr>
          <w:rFonts w:ascii="Arial" w:hAnsi="Arial" w:cs="Arial"/>
          <w:sz w:val="24"/>
          <w:szCs w:val="24"/>
        </w:rPr>
        <w:t>.</w:t>
      </w:r>
    </w:p>
    <w:p w14:paraId="67EF54E1" w14:textId="285DA4AC" w:rsidR="004F3430" w:rsidRDefault="004F3430" w:rsidP="00787D2E">
      <w:pPr>
        <w:spacing w:line="360" w:lineRule="auto"/>
        <w:jc w:val="both"/>
        <w:rPr>
          <w:rFonts w:ascii="Arial" w:hAnsi="Arial" w:cs="Arial"/>
          <w:sz w:val="24"/>
          <w:szCs w:val="24"/>
        </w:rPr>
      </w:pPr>
    </w:p>
    <w:p w14:paraId="2B832783" w14:textId="77777777" w:rsidR="004F3430" w:rsidRPr="00BB539D" w:rsidRDefault="004F3430" w:rsidP="00787D2E">
      <w:pPr>
        <w:spacing w:line="360" w:lineRule="auto"/>
        <w:jc w:val="both"/>
        <w:rPr>
          <w:rFonts w:ascii="Arial" w:hAnsi="Arial" w:cs="Arial"/>
          <w:b/>
          <w:sz w:val="24"/>
          <w:szCs w:val="24"/>
        </w:rPr>
      </w:pPr>
    </w:p>
    <w:p w14:paraId="653CA493" w14:textId="4053E47B" w:rsidR="001B2E98" w:rsidRDefault="004F3430" w:rsidP="00787D2E">
      <w:pPr>
        <w:pStyle w:val="ListParagraph"/>
        <w:numPr>
          <w:ilvl w:val="0"/>
          <w:numId w:val="4"/>
        </w:numPr>
        <w:spacing w:line="360" w:lineRule="auto"/>
        <w:rPr>
          <w:rFonts w:ascii="Arial" w:hAnsi="Arial" w:cs="Arial"/>
          <w:b/>
          <w:sz w:val="24"/>
          <w:szCs w:val="24"/>
        </w:rPr>
      </w:pPr>
      <w:r>
        <w:rPr>
          <w:noProof/>
        </w:rPr>
        <w:drawing>
          <wp:anchor distT="0" distB="0" distL="114300" distR="114300" simplePos="0" relativeHeight="251664384" behindDoc="0" locked="0" layoutInCell="1" allowOverlap="1" wp14:anchorId="7A7C7C05" wp14:editId="6D710DAF">
            <wp:simplePos x="0" y="0"/>
            <wp:positionH relativeFrom="margin">
              <wp:align>right</wp:align>
            </wp:positionH>
            <wp:positionV relativeFrom="margin">
              <wp:align>top</wp:align>
            </wp:positionV>
            <wp:extent cx="2468880" cy="1988820"/>
            <wp:effectExtent l="0" t="0" r="7620" b="11430"/>
            <wp:wrapSquare wrapText="bothSides"/>
            <wp:docPr id="7" name="Chart 7">
              <a:extLst xmlns:a="http://schemas.openxmlformats.org/drawingml/2006/main">
                <a:ext uri="{FF2B5EF4-FFF2-40B4-BE49-F238E27FC236}">
                  <a16:creationId xmlns:a16="http://schemas.microsoft.com/office/drawing/2014/main" id="{BF3583EE-D792-6179-EEA8-1090962A08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rsidR="001B2E98" w:rsidRPr="00BB539D">
        <w:rPr>
          <w:rFonts w:ascii="Arial" w:hAnsi="Arial" w:cs="Arial"/>
          <w:b/>
          <w:sz w:val="24"/>
          <w:szCs w:val="24"/>
        </w:rPr>
        <w:t>ROE - Return on Equity</w:t>
      </w:r>
    </w:p>
    <w:tbl>
      <w:tblPr>
        <w:tblW w:w="3520" w:type="dxa"/>
        <w:tblLook w:val="04A0" w:firstRow="1" w:lastRow="0" w:firstColumn="1" w:lastColumn="0" w:noHBand="0" w:noVBand="1"/>
      </w:tblPr>
      <w:tblGrid>
        <w:gridCol w:w="960"/>
        <w:gridCol w:w="2560"/>
      </w:tblGrid>
      <w:tr w:rsidR="004F3430" w:rsidRPr="004F3430" w14:paraId="6F393FDC" w14:textId="77777777" w:rsidTr="004F3430">
        <w:trPr>
          <w:trHeight w:val="288"/>
        </w:trPr>
        <w:tc>
          <w:tcPr>
            <w:tcW w:w="960" w:type="dxa"/>
            <w:tcBorders>
              <w:top w:val="single" w:sz="4" w:space="0" w:color="auto"/>
              <w:left w:val="single" w:sz="4" w:space="0" w:color="auto"/>
              <w:bottom w:val="single" w:sz="4" w:space="0" w:color="auto"/>
              <w:right w:val="single" w:sz="4" w:space="0" w:color="auto"/>
            </w:tcBorders>
            <w:shd w:val="clear" w:color="auto" w:fill="9CC2E5" w:themeFill="accent5" w:themeFillTint="99"/>
            <w:noWrap/>
            <w:vAlign w:val="bottom"/>
            <w:hideMark/>
          </w:tcPr>
          <w:p w14:paraId="45AFC2D9" w14:textId="77777777" w:rsidR="004F3430" w:rsidRPr="004F3430" w:rsidRDefault="004F3430" w:rsidP="004F3430">
            <w:pPr>
              <w:spacing w:after="0" w:line="240" w:lineRule="auto"/>
              <w:rPr>
                <w:rFonts w:ascii="Calibri" w:eastAsia="Times New Roman" w:hAnsi="Calibri" w:cs="Calibri"/>
                <w:b/>
                <w:bCs/>
                <w:color w:val="000000"/>
              </w:rPr>
            </w:pPr>
            <w:r w:rsidRPr="004F3430">
              <w:rPr>
                <w:rFonts w:ascii="Calibri" w:eastAsia="Times New Roman" w:hAnsi="Calibri" w:cs="Calibri"/>
                <w:b/>
                <w:bCs/>
                <w:color w:val="000000"/>
              </w:rPr>
              <w:t>YEAR</w:t>
            </w:r>
          </w:p>
        </w:tc>
        <w:tc>
          <w:tcPr>
            <w:tcW w:w="2560" w:type="dxa"/>
            <w:tcBorders>
              <w:top w:val="single" w:sz="4" w:space="0" w:color="auto"/>
              <w:left w:val="nil"/>
              <w:bottom w:val="single" w:sz="4" w:space="0" w:color="auto"/>
              <w:right w:val="single" w:sz="4" w:space="0" w:color="auto"/>
            </w:tcBorders>
            <w:shd w:val="clear" w:color="auto" w:fill="9CC2E5" w:themeFill="accent5" w:themeFillTint="99"/>
            <w:noWrap/>
            <w:vAlign w:val="center"/>
            <w:hideMark/>
          </w:tcPr>
          <w:p w14:paraId="02D2E21E" w14:textId="77777777" w:rsidR="004F3430" w:rsidRPr="004F3430" w:rsidRDefault="004F3430" w:rsidP="004F3430">
            <w:pPr>
              <w:spacing w:after="0" w:line="240" w:lineRule="auto"/>
              <w:jc w:val="center"/>
              <w:rPr>
                <w:rFonts w:ascii="Calibri" w:eastAsia="Times New Roman" w:hAnsi="Calibri" w:cs="Calibri"/>
                <w:b/>
                <w:bCs/>
                <w:color w:val="000000"/>
              </w:rPr>
            </w:pPr>
            <w:r w:rsidRPr="004F3430">
              <w:rPr>
                <w:rFonts w:ascii="Calibri" w:eastAsia="Times New Roman" w:hAnsi="Calibri" w:cs="Calibri"/>
                <w:b/>
                <w:bCs/>
                <w:color w:val="000000"/>
              </w:rPr>
              <w:t>ROE- Return on equity</w:t>
            </w:r>
          </w:p>
        </w:tc>
      </w:tr>
      <w:tr w:rsidR="004F3430" w:rsidRPr="004F3430" w14:paraId="15C0DFEA" w14:textId="77777777" w:rsidTr="004F3430">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253C627" w14:textId="77777777" w:rsidR="004F3430" w:rsidRPr="004F3430" w:rsidRDefault="004F3430" w:rsidP="004F3430">
            <w:pPr>
              <w:spacing w:after="0" w:line="240" w:lineRule="auto"/>
              <w:rPr>
                <w:rFonts w:ascii="Calibri" w:eastAsia="Times New Roman" w:hAnsi="Calibri" w:cs="Calibri"/>
                <w:color w:val="000000"/>
              </w:rPr>
            </w:pPr>
            <w:r w:rsidRPr="004F3430">
              <w:rPr>
                <w:rFonts w:ascii="Calibri" w:eastAsia="Times New Roman" w:hAnsi="Calibri" w:cs="Calibri"/>
                <w:color w:val="000000"/>
              </w:rPr>
              <w:t>2020'</w:t>
            </w:r>
          </w:p>
        </w:tc>
        <w:tc>
          <w:tcPr>
            <w:tcW w:w="2560" w:type="dxa"/>
            <w:tcBorders>
              <w:top w:val="nil"/>
              <w:left w:val="nil"/>
              <w:bottom w:val="single" w:sz="4" w:space="0" w:color="auto"/>
              <w:right w:val="single" w:sz="4" w:space="0" w:color="auto"/>
            </w:tcBorders>
            <w:shd w:val="clear" w:color="auto" w:fill="auto"/>
            <w:noWrap/>
            <w:vAlign w:val="bottom"/>
            <w:hideMark/>
          </w:tcPr>
          <w:p w14:paraId="62E56782" w14:textId="77777777" w:rsidR="004F3430" w:rsidRPr="004F3430" w:rsidRDefault="004F3430" w:rsidP="004F3430">
            <w:pPr>
              <w:spacing w:after="0" w:line="240" w:lineRule="auto"/>
              <w:jc w:val="right"/>
              <w:rPr>
                <w:rFonts w:ascii="Calibri" w:eastAsia="Times New Roman" w:hAnsi="Calibri" w:cs="Calibri"/>
                <w:color w:val="000000"/>
              </w:rPr>
            </w:pPr>
            <w:r w:rsidRPr="004F3430">
              <w:rPr>
                <w:rFonts w:ascii="Calibri" w:eastAsia="Times New Roman" w:hAnsi="Calibri" w:cs="Calibri"/>
                <w:color w:val="000000"/>
              </w:rPr>
              <w:t>-62.093</w:t>
            </w:r>
          </w:p>
        </w:tc>
      </w:tr>
      <w:tr w:rsidR="004F3430" w:rsidRPr="004F3430" w14:paraId="2B23668B" w14:textId="77777777" w:rsidTr="004F3430">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35ADDE4" w14:textId="77777777" w:rsidR="004F3430" w:rsidRPr="004F3430" w:rsidRDefault="004F3430" w:rsidP="004F3430">
            <w:pPr>
              <w:spacing w:after="0" w:line="240" w:lineRule="auto"/>
              <w:rPr>
                <w:rFonts w:ascii="Calibri" w:eastAsia="Times New Roman" w:hAnsi="Calibri" w:cs="Calibri"/>
                <w:color w:val="000000"/>
              </w:rPr>
            </w:pPr>
            <w:r w:rsidRPr="004F3430">
              <w:rPr>
                <w:rFonts w:ascii="Calibri" w:eastAsia="Times New Roman" w:hAnsi="Calibri" w:cs="Calibri"/>
                <w:color w:val="000000"/>
              </w:rPr>
              <w:t>2021'</w:t>
            </w:r>
          </w:p>
        </w:tc>
        <w:tc>
          <w:tcPr>
            <w:tcW w:w="2560" w:type="dxa"/>
            <w:tcBorders>
              <w:top w:val="nil"/>
              <w:left w:val="nil"/>
              <w:bottom w:val="single" w:sz="4" w:space="0" w:color="auto"/>
              <w:right w:val="single" w:sz="4" w:space="0" w:color="auto"/>
            </w:tcBorders>
            <w:shd w:val="clear" w:color="auto" w:fill="auto"/>
            <w:noWrap/>
            <w:vAlign w:val="bottom"/>
            <w:hideMark/>
          </w:tcPr>
          <w:p w14:paraId="6FFF2B0C" w14:textId="77777777" w:rsidR="004F3430" w:rsidRPr="004F3430" w:rsidRDefault="004F3430" w:rsidP="004F3430">
            <w:pPr>
              <w:spacing w:after="0" w:line="240" w:lineRule="auto"/>
              <w:jc w:val="right"/>
              <w:rPr>
                <w:rFonts w:ascii="Calibri" w:eastAsia="Times New Roman" w:hAnsi="Calibri" w:cs="Calibri"/>
                <w:color w:val="000000"/>
              </w:rPr>
            </w:pPr>
            <w:r w:rsidRPr="004F3430">
              <w:rPr>
                <w:rFonts w:ascii="Calibri" w:eastAsia="Times New Roman" w:hAnsi="Calibri" w:cs="Calibri"/>
                <w:color w:val="000000"/>
              </w:rPr>
              <w:t>77.7228</w:t>
            </w:r>
          </w:p>
        </w:tc>
      </w:tr>
    </w:tbl>
    <w:p w14:paraId="548AF11B" w14:textId="71F0E6DE" w:rsidR="004F3430" w:rsidRPr="004F3430" w:rsidRDefault="004F3430" w:rsidP="004F3430">
      <w:pPr>
        <w:spacing w:line="360" w:lineRule="auto"/>
        <w:rPr>
          <w:rFonts w:ascii="Arial" w:hAnsi="Arial" w:cs="Arial"/>
          <w:b/>
          <w:sz w:val="24"/>
          <w:szCs w:val="24"/>
        </w:rPr>
      </w:pPr>
    </w:p>
    <w:p w14:paraId="3EAFEFF9" w14:textId="4DBBFFDF" w:rsidR="001B2E98" w:rsidRDefault="00683E08" w:rsidP="00787D2E">
      <w:pPr>
        <w:spacing w:line="360" w:lineRule="auto"/>
        <w:jc w:val="both"/>
        <w:rPr>
          <w:rFonts w:ascii="Arial" w:hAnsi="Arial" w:cs="Arial"/>
          <w:sz w:val="24"/>
          <w:szCs w:val="24"/>
        </w:rPr>
      </w:pPr>
      <w:r w:rsidRPr="00BB539D">
        <w:rPr>
          <w:rFonts w:ascii="Arial" w:hAnsi="Arial" w:cs="Arial"/>
          <w:bCs/>
          <w:sz w:val="24"/>
          <w:szCs w:val="24"/>
        </w:rPr>
        <w:t>Above data shows the RO</w:t>
      </w:r>
      <w:r w:rsidR="002028E6" w:rsidRPr="00BB539D">
        <w:rPr>
          <w:rFonts w:ascii="Arial" w:hAnsi="Arial" w:cs="Arial"/>
          <w:bCs/>
          <w:sz w:val="24"/>
          <w:szCs w:val="24"/>
        </w:rPr>
        <w:t>E</w:t>
      </w:r>
      <w:r w:rsidRPr="00BB539D">
        <w:rPr>
          <w:rFonts w:ascii="Arial" w:hAnsi="Arial" w:cs="Arial"/>
          <w:bCs/>
          <w:sz w:val="24"/>
          <w:szCs w:val="24"/>
        </w:rPr>
        <w:t xml:space="preserve"> of </w:t>
      </w:r>
      <w:r w:rsidRPr="00BB539D">
        <w:rPr>
          <w:rFonts w:ascii="Arial" w:hAnsi="Arial" w:cs="Arial"/>
          <w:sz w:val="24"/>
          <w:szCs w:val="24"/>
        </w:rPr>
        <w:t>Marriott International, Inc for the year 20</w:t>
      </w:r>
      <w:r w:rsidR="004F3430" w:rsidRPr="004F3430">
        <w:rPr>
          <w:noProof/>
        </w:rPr>
        <w:t xml:space="preserve"> </w:t>
      </w:r>
      <w:r w:rsidRPr="00BB539D">
        <w:rPr>
          <w:rFonts w:ascii="Arial" w:hAnsi="Arial" w:cs="Arial"/>
          <w:sz w:val="24"/>
          <w:szCs w:val="24"/>
        </w:rPr>
        <w:t xml:space="preserve">20 and 2021. The data interprets that the </w:t>
      </w:r>
      <w:r w:rsidRPr="00BB539D">
        <w:rPr>
          <w:rFonts w:ascii="Arial" w:hAnsi="Arial" w:cs="Arial"/>
          <w:bCs/>
          <w:sz w:val="24"/>
          <w:szCs w:val="24"/>
        </w:rPr>
        <w:t>RO</w:t>
      </w:r>
      <w:r w:rsidR="002028E6" w:rsidRPr="00BB539D">
        <w:rPr>
          <w:rFonts w:ascii="Arial" w:hAnsi="Arial" w:cs="Arial"/>
          <w:bCs/>
          <w:sz w:val="24"/>
          <w:szCs w:val="24"/>
        </w:rPr>
        <w:t>E</w:t>
      </w:r>
      <w:r w:rsidRPr="00BB539D">
        <w:rPr>
          <w:rFonts w:ascii="Arial" w:hAnsi="Arial" w:cs="Arial"/>
          <w:bCs/>
          <w:sz w:val="24"/>
          <w:szCs w:val="24"/>
        </w:rPr>
        <w:t xml:space="preserve"> </w:t>
      </w:r>
      <w:r w:rsidRPr="00BB539D">
        <w:rPr>
          <w:rFonts w:ascii="Arial" w:hAnsi="Arial" w:cs="Arial"/>
          <w:sz w:val="24"/>
          <w:szCs w:val="24"/>
        </w:rPr>
        <w:t xml:space="preserve">for year 2020 </w:t>
      </w:r>
      <w:r w:rsidR="002028E6" w:rsidRPr="00BB539D">
        <w:rPr>
          <w:rFonts w:ascii="Arial" w:hAnsi="Arial" w:cs="Arial"/>
          <w:sz w:val="24"/>
          <w:szCs w:val="24"/>
        </w:rPr>
        <w:t xml:space="preserve">is -62.093 </w:t>
      </w:r>
      <w:r w:rsidRPr="00BB539D">
        <w:rPr>
          <w:rFonts w:ascii="Arial" w:hAnsi="Arial" w:cs="Arial"/>
          <w:sz w:val="24"/>
          <w:szCs w:val="24"/>
        </w:rPr>
        <w:t>and is considered bad for the company and as of 2021 it is</w:t>
      </w:r>
      <w:r w:rsidR="002028E6" w:rsidRPr="00BB539D">
        <w:rPr>
          <w:rFonts w:ascii="Arial" w:hAnsi="Arial" w:cs="Arial"/>
          <w:sz w:val="24"/>
          <w:szCs w:val="24"/>
        </w:rPr>
        <w:t xml:space="preserve"> 77.7228</w:t>
      </w:r>
      <w:r w:rsidRPr="00BB539D">
        <w:rPr>
          <w:rFonts w:ascii="Arial" w:hAnsi="Arial" w:cs="Arial"/>
          <w:sz w:val="24"/>
          <w:szCs w:val="24"/>
        </w:rPr>
        <w:t xml:space="preserve">. We can clearly see that the </w:t>
      </w:r>
      <w:r w:rsidRPr="00BB539D">
        <w:rPr>
          <w:rFonts w:ascii="Arial" w:hAnsi="Arial" w:cs="Arial"/>
          <w:bCs/>
          <w:sz w:val="24"/>
          <w:szCs w:val="24"/>
        </w:rPr>
        <w:t>RO</w:t>
      </w:r>
      <w:r w:rsidR="002028E6" w:rsidRPr="00BB539D">
        <w:rPr>
          <w:rFonts w:ascii="Arial" w:hAnsi="Arial" w:cs="Arial"/>
          <w:bCs/>
          <w:sz w:val="24"/>
          <w:szCs w:val="24"/>
        </w:rPr>
        <w:t xml:space="preserve">E </w:t>
      </w:r>
      <w:r w:rsidRPr="00BB539D">
        <w:rPr>
          <w:rFonts w:ascii="Arial" w:hAnsi="Arial" w:cs="Arial"/>
          <w:sz w:val="24"/>
          <w:szCs w:val="24"/>
        </w:rPr>
        <w:t>of Marriott International has increased in 2021 as compared to previous year.</w:t>
      </w:r>
      <w:r w:rsidR="002028E6" w:rsidRPr="00BB539D">
        <w:rPr>
          <w:rFonts w:ascii="Arial" w:hAnsi="Arial" w:cs="Arial"/>
          <w:sz w:val="24"/>
          <w:szCs w:val="24"/>
        </w:rPr>
        <w:t xml:space="preserve"> Marriott had a negative ROE in 2020, which indicates that the company's net income was negative and suggests that stockholders were losing money on their investments</w:t>
      </w:r>
      <w:sdt>
        <w:sdtPr>
          <w:rPr>
            <w:rFonts w:ascii="Arial" w:hAnsi="Arial" w:cs="Arial"/>
            <w:sz w:val="24"/>
            <w:szCs w:val="24"/>
          </w:rPr>
          <w:id w:val="2143923789"/>
          <w:citation/>
        </w:sdtPr>
        <w:sdtEndPr/>
        <w:sdtContent>
          <w:r w:rsidR="00944E48">
            <w:rPr>
              <w:rFonts w:ascii="Arial" w:hAnsi="Arial" w:cs="Arial"/>
              <w:sz w:val="24"/>
              <w:szCs w:val="24"/>
            </w:rPr>
            <w:fldChar w:fldCharType="begin"/>
          </w:r>
          <w:r w:rsidR="00944E48">
            <w:rPr>
              <w:rFonts w:ascii="Arial" w:hAnsi="Arial" w:cs="Arial"/>
              <w:sz w:val="24"/>
              <w:szCs w:val="24"/>
            </w:rPr>
            <w:instrText xml:space="preserve"> CITATION Ram22 \l 1033 </w:instrText>
          </w:r>
          <w:r w:rsidR="00944E48">
            <w:rPr>
              <w:rFonts w:ascii="Arial" w:hAnsi="Arial" w:cs="Arial"/>
              <w:sz w:val="24"/>
              <w:szCs w:val="24"/>
            </w:rPr>
            <w:fldChar w:fldCharType="separate"/>
          </w:r>
          <w:r w:rsidR="00944E48">
            <w:rPr>
              <w:rFonts w:ascii="Arial" w:hAnsi="Arial" w:cs="Arial"/>
              <w:noProof/>
              <w:sz w:val="24"/>
              <w:szCs w:val="24"/>
            </w:rPr>
            <w:t xml:space="preserve"> </w:t>
          </w:r>
          <w:r w:rsidR="00944E48" w:rsidRPr="00944E48">
            <w:rPr>
              <w:rFonts w:ascii="Arial" w:hAnsi="Arial" w:cs="Arial"/>
              <w:noProof/>
              <w:sz w:val="24"/>
              <w:szCs w:val="24"/>
            </w:rPr>
            <w:t>(Lewis, 2022)</w:t>
          </w:r>
          <w:r w:rsidR="00944E48">
            <w:rPr>
              <w:rFonts w:ascii="Arial" w:hAnsi="Arial" w:cs="Arial"/>
              <w:sz w:val="24"/>
              <w:szCs w:val="24"/>
            </w:rPr>
            <w:fldChar w:fldCharType="end"/>
          </w:r>
        </w:sdtContent>
      </w:sdt>
      <w:r w:rsidR="002028E6" w:rsidRPr="00BB539D">
        <w:rPr>
          <w:rFonts w:ascii="Arial" w:hAnsi="Arial" w:cs="Arial"/>
          <w:sz w:val="24"/>
          <w:szCs w:val="24"/>
        </w:rPr>
        <w:t>. However, ROE has grown in 2021, indicating that a business is effectively using its shareholders' equity to generate profits.</w:t>
      </w:r>
    </w:p>
    <w:p w14:paraId="350A6E9F" w14:textId="77777777" w:rsidR="004F3430" w:rsidRPr="00BB539D" w:rsidRDefault="004F3430" w:rsidP="00787D2E">
      <w:pPr>
        <w:spacing w:line="360" w:lineRule="auto"/>
        <w:jc w:val="both"/>
        <w:rPr>
          <w:rFonts w:ascii="Arial" w:hAnsi="Arial" w:cs="Arial"/>
          <w:b/>
          <w:sz w:val="24"/>
          <w:szCs w:val="24"/>
        </w:rPr>
      </w:pPr>
    </w:p>
    <w:p w14:paraId="628281AD" w14:textId="257F501E" w:rsidR="001B2E98" w:rsidRDefault="004F3430" w:rsidP="00787D2E">
      <w:pPr>
        <w:pStyle w:val="ListParagraph"/>
        <w:numPr>
          <w:ilvl w:val="0"/>
          <w:numId w:val="4"/>
        </w:numPr>
        <w:spacing w:line="360" w:lineRule="auto"/>
        <w:rPr>
          <w:rFonts w:ascii="Arial" w:hAnsi="Arial" w:cs="Arial"/>
          <w:b/>
          <w:sz w:val="24"/>
          <w:szCs w:val="24"/>
        </w:rPr>
      </w:pPr>
      <w:r>
        <w:rPr>
          <w:noProof/>
        </w:rPr>
        <w:drawing>
          <wp:anchor distT="0" distB="0" distL="114300" distR="114300" simplePos="0" relativeHeight="251665408" behindDoc="0" locked="0" layoutInCell="1" allowOverlap="1" wp14:anchorId="55F05D57" wp14:editId="2CB9F759">
            <wp:simplePos x="0" y="0"/>
            <wp:positionH relativeFrom="margin">
              <wp:posOffset>3530290</wp:posOffset>
            </wp:positionH>
            <wp:positionV relativeFrom="margin">
              <wp:posOffset>4384752</wp:posOffset>
            </wp:positionV>
            <wp:extent cx="2362200" cy="2034540"/>
            <wp:effectExtent l="0" t="0" r="0" b="3810"/>
            <wp:wrapSquare wrapText="bothSides"/>
            <wp:docPr id="8" name="Chart 8">
              <a:extLst xmlns:a="http://schemas.openxmlformats.org/drawingml/2006/main">
                <a:ext uri="{FF2B5EF4-FFF2-40B4-BE49-F238E27FC236}">
                  <a16:creationId xmlns:a16="http://schemas.microsoft.com/office/drawing/2014/main" id="{59B7D43C-512A-21A9-0B87-EB25346CACF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rsidR="001B2E98" w:rsidRPr="00BB539D">
        <w:rPr>
          <w:rFonts w:ascii="Arial" w:hAnsi="Arial" w:cs="Arial"/>
          <w:b/>
          <w:sz w:val="24"/>
          <w:szCs w:val="24"/>
        </w:rPr>
        <w:t>ROI - Return on Investments</w:t>
      </w:r>
    </w:p>
    <w:tbl>
      <w:tblPr>
        <w:tblW w:w="4167" w:type="dxa"/>
        <w:tblLook w:val="04A0" w:firstRow="1" w:lastRow="0" w:firstColumn="1" w:lastColumn="0" w:noHBand="0" w:noVBand="1"/>
      </w:tblPr>
      <w:tblGrid>
        <w:gridCol w:w="1136"/>
        <w:gridCol w:w="3031"/>
      </w:tblGrid>
      <w:tr w:rsidR="004F3430" w:rsidRPr="004F3430" w14:paraId="39480219" w14:textId="77777777" w:rsidTr="008A1BBA">
        <w:trPr>
          <w:trHeight w:val="380"/>
        </w:trPr>
        <w:tc>
          <w:tcPr>
            <w:tcW w:w="1136" w:type="dxa"/>
            <w:tcBorders>
              <w:top w:val="single" w:sz="4" w:space="0" w:color="auto"/>
              <w:left w:val="single" w:sz="4" w:space="0" w:color="auto"/>
              <w:bottom w:val="single" w:sz="4" w:space="0" w:color="auto"/>
              <w:right w:val="single" w:sz="4" w:space="0" w:color="auto"/>
            </w:tcBorders>
            <w:shd w:val="clear" w:color="auto" w:fill="9CC2E5" w:themeFill="accent5" w:themeFillTint="99"/>
            <w:noWrap/>
            <w:vAlign w:val="bottom"/>
            <w:hideMark/>
          </w:tcPr>
          <w:p w14:paraId="33B467D4" w14:textId="77777777" w:rsidR="004F3430" w:rsidRPr="004F3430" w:rsidRDefault="004F3430" w:rsidP="004F3430">
            <w:pPr>
              <w:spacing w:after="0" w:line="240" w:lineRule="auto"/>
              <w:rPr>
                <w:rFonts w:ascii="Calibri" w:eastAsia="Times New Roman" w:hAnsi="Calibri" w:cs="Calibri"/>
                <w:b/>
                <w:bCs/>
                <w:color w:val="000000"/>
              </w:rPr>
            </w:pPr>
            <w:r w:rsidRPr="004F3430">
              <w:rPr>
                <w:rFonts w:ascii="Calibri" w:eastAsia="Times New Roman" w:hAnsi="Calibri" w:cs="Calibri"/>
                <w:b/>
                <w:bCs/>
                <w:color w:val="000000"/>
              </w:rPr>
              <w:t>YEAR</w:t>
            </w:r>
          </w:p>
        </w:tc>
        <w:tc>
          <w:tcPr>
            <w:tcW w:w="3031" w:type="dxa"/>
            <w:tcBorders>
              <w:top w:val="single" w:sz="4" w:space="0" w:color="auto"/>
              <w:left w:val="nil"/>
              <w:bottom w:val="single" w:sz="4" w:space="0" w:color="auto"/>
              <w:right w:val="single" w:sz="4" w:space="0" w:color="auto"/>
            </w:tcBorders>
            <w:shd w:val="clear" w:color="auto" w:fill="9CC2E5" w:themeFill="accent5" w:themeFillTint="99"/>
            <w:noWrap/>
            <w:vAlign w:val="bottom"/>
            <w:hideMark/>
          </w:tcPr>
          <w:p w14:paraId="2AFFFADF" w14:textId="77777777" w:rsidR="004F3430" w:rsidRPr="004F3430" w:rsidRDefault="004F3430" w:rsidP="004F3430">
            <w:pPr>
              <w:spacing w:after="0" w:line="240" w:lineRule="auto"/>
              <w:jc w:val="center"/>
              <w:rPr>
                <w:rFonts w:ascii="Calibri" w:eastAsia="Times New Roman" w:hAnsi="Calibri" w:cs="Calibri"/>
                <w:b/>
                <w:bCs/>
                <w:color w:val="000000"/>
              </w:rPr>
            </w:pPr>
            <w:r w:rsidRPr="004F3430">
              <w:rPr>
                <w:rFonts w:ascii="Calibri" w:eastAsia="Times New Roman" w:hAnsi="Calibri" w:cs="Calibri"/>
                <w:b/>
                <w:bCs/>
                <w:color w:val="000000"/>
              </w:rPr>
              <w:t>ROI- Return on investment</w:t>
            </w:r>
          </w:p>
        </w:tc>
      </w:tr>
      <w:tr w:rsidR="004F3430" w:rsidRPr="004F3430" w14:paraId="428B35B1" w14:textId="77777777" w:rsidTr="008A1BBA">
        <w:trPr>
          <w:trHeight w:val="380"/>
        </w:trPr>
        <w:tc>
          <w:tcPr>
            <w:tcW w:w="1136" w:type="dxa"/>
            <w:tcBorders>
              <w:top w:val="nil"/>
              <w:left w:val="single" w:sz="4" w:space="0" w:color="auto"/>
              <w:bottom w:val="single" w:sz="4" w:space="0" w:color="auto"/>
              <w:right w:val="single" w:sz="4" w:space="0" w:color="auto"/>
            </w:tcBorders>
            <w:shd w:val="clear" w:color="auto" w:fill="auto"/>
            <w:noWrap/>
            <w:vAlign w:val="bottom"/>
            <w:hideMark/>
          </w:tcPr>
          <w:p w14:paraId="1A853EB1" w14:textId="77777777" w:rsidR="004F3430" w:rsidRPr="004F3430" w:rsidRDefault="004F3430" w:rsidP="004F3430">
            <w:pPr>
              <w:spacing w:after="0" w:line="240" w:lineRule="auto"/>
              <w:rPr>
                <w:rFonts w:ascii="Calibri" w:eastAsia="Times New Roman" w:hAnsi="Calibri" w:cs="Calibri"/>
                <w:color w:val="000000"/>
              </w:rPr>
            </w:pPr>
            <w:r w:rsidRPr="004F3430">
              <w:rPr>
                <w:rFonts w:ascii="Calibri" w:eastAsia="Times New Roman" w:hAnsi="Calibri" w:cs="Calibri"/>
                <w:color w:val="000000"/>
              </w:rPr>
              <w:t>2020'</w:t>
            </w:r>
          </w:p>
        </w:tc>
        <w:tc>
          <w:tcPr>
            <w:tcW w:w="3031" w:type="dxa"/>
            <w:tcBorders>
              <w:top w:val="nil"/>
              <w:left w:val="nil"/>
              <w:bottom w:val="single" w:sz="4" w:space="0" w:color="auto"/>
              <w:right w:val="single" w:sz="4" w:space="0" w:color="auto"/>
            </w:tcBorders>
            <w:shd w:val="clear" w:color="auto" w:fill="auto"/>
            <w:noWrap/>
            <w:vAlign w:val="bottom"/>
            <w:hideMark/>
          </w:tcPr>
          <w:p w14:paraId="04C2DC54" w14:textId="77777777" w:rsidR="004F3430" w:rsidRPr="004F3430" w:rsidRDefault="004F3430" w:rsidP="004F3430">
            <w:pPr>
              <w:spacing w:after="0" w:line="240" w:lineRule="auto"/>
              <w:jc w:val="right"/>
              <w:rPr>
                <w:rFonts w:ascii="Calibri" w:eastAsia="Times New Roman" w:hAnsi="Calibri" w:cs="Calibri"/>
                <w:color w:val="000000"/>
              </w:rPr>
            </w:pPr>
            <w:r w:rsidRPr="004F3430">
              <w:rPr>
                <w:rFonts w:ascii="Calibri" w:eastAsia="Times New Roman" w:hAnsi="Calibri" w:cs="Calibri"/>
                <w:color w:val="000000"/>
              </w:rPr>
              <w:t>-2.7717</w:t>
            </w:r>
          </w:p>
        </w:tc>
      </w:tr>
      <w:tr w:rsidR="004F3430" w:rsidRPr="004F3430" w14:paraId="403C78D3" w14:textId="77777777" w:rsidTr="008A1BBA">
        <w:trPr>
          <w:trHeight w:val="380"/>
        </w:trPr>
        <w:tc>
          <w:tcPr>
            <w:tcW w:w="1136" w:type="dxa"/>
            <w:tcBorders>
              <w:top w:val="nil"/>
              <w:left w:val="single" w:sz="4" w:space="0" w:color="auto"/>
              <w:bottom w:val="single" w:sz="4" w:space="0" w:color="auto"/>
              <w:right w:val="single" w:sz="4" w:space="0" w:color="auto"/>
            </w:tcBorders>
            <w:shd w:val="clear" w:color="auto" w:fill="auto"/>
            <w:noWrap/>
            <w:vAlign w:val="bottom"/>
            <w:hideMark/>
          </w:tcPr>
          <w:p w14:paraId="7197A376" w14:textId="77777777" w:rsidR="004F3430" w:rsidRPr="004F3430" w:rsidRDefault="004F3430" w:rsidP="004F3430">
            <w:pPr>
              <w:spacing w:after="0" w:line="240" w:lineRule="auto"/>
              <w:rPr>
                <w:rFonts w:ascii="Calibri" w:eastAsia="Times New Roman" w:hAnsi="Calibri" w:cs="Calibri"/>
                <w:color w:val="000000"/>
              </w:rPr>
            </w:pPr>
            <w:r w:rsidRPr="004F3430">
              <w:rPr>
                <w:rFonts w:ascii="Calibri" w:eastAsia="Times New Roman" w:hAnsi="Calibri" w:cs="Calibri"/>
                <w:color w:val="000000"/>
              </w:rPr>
              <w:t>2021'</w:t>
            </w:r>
          </w:p>
        </w:tc>
        <w:tc>
          <w:tcPr>
            <w:tcW w:w="3031" w:type="dxa"/>
            <w:tcBorders>
              <w:top w:val="nil"/>
              <w:left w:val="nil"/>
              <w:bottom w:val="single" w:sz="4" w:space="0" w:color="auto"/>
              <w:right w:val="single" w:sz="4" w:space="0" w:color="auto"/>
            </w:tcBorders>
            <w:shd w:val="clear" w:color="auto" w:fill="auto"/>
            <w:noWrap/>
            <w:vAlign w:val="bottom"/>
            <w:hideMark/>
          </w:tcPr>
          <w:p w14:paraId="6166CFBD" w14:textId="77777777" w:rsidR="004F3430" w:rsidRPr="004F3430" w:rsidRDefault="004F3430" w:rsidP="004F3430">
            <w:pPr>
              <w:spacing w:after="0" w:line="240" w:lineRule="auto"/>
              <w:jc w:val="right"/>
              <w:rPr>
                <w:rFonts w:ascii="Calibri" w:eastAsia="Times New Roman" w:hAnsi="Calibri" w:cs="Calibri"/>
                <w:color w:val="000000"/>
              </w:rPr>
            </w:pPr>
            <w:r w:rsidRPr="004F3430">
              <w:rPr>
                <w:rFonts w:ascii="Calibri" w:eastAsia="Times New Roman" w:hAnsi="Calibri" w:cs="Calibri"/>
                <w:color w:val="000000"/>
              </w:rPr>
              <w:t>10.2261</w:t>
            </w:r>
          </w:p>
        </w:tc>
      </w:tr>
    </w:tbl>
    <w:p w14:paraId="68541F73" w14:textId="77777777" w:rsidR="004F3430" w:rsidRPr="004F3430" w:rsidRDefault="004F3430" w:rsidP="004F3430">
      <w:pPr>
        <w:spacing w:line="360" w:lineRule="auto"/>
        <w:rPr>
          <w:rFonts w:ascii="Arial" w:hAnsi="Arial" w:cs="Arial"/>
          <w:b/>
          <w:sz w:val="24"/>
          <w:szCs w:val="24"/>
        </w:rPr>
      </w:pPr>
    </w:p>
    <w:p w14:paraId="6AFA91FE" w14:textId="6245A95D" w:rsidR="002028E6" w:rsidRPr="00BB539D" w:rsidRDefault="002028E6" w:rsidP="00787D2E">
      <w:pPr>
        <w:spacing w:line="360" w:lineRule="auto"/>
        <w:jc w:val="both"/>
        <w:rPr>
          <w:rFonts w:ascii="Arial" w:hAnsi="Arial" w:cs="Arial"/>
          <w:b/>
          <w:sz w:val="24"/>
          <w:szCs w:val="24"/>
        </w:rPr>
      </w:pPr>
      <w:r w:rsidRPr="00BB539D">
        <w:rPr>
          <w:rFonts w:ascii="Arial" w:hAnsi="Arial" w:cs="Arial"/>
          <w:bCs/>
          <w:sz w:val="24"/>
          <w:szCs w:val="24"/>
        </w:rPr>
        <w:t xml:space="preserve">Above data shows the ROI of </w:t>
      </w:r>
      <w:r w:rsidRPr="00BB539D">
        <w:rPr>
          <w:rFonts w:ascii="Arial" w:hAnsi="Arial" w:cs="Arial"/>
          <w:sz w:val="24"/>
          <w:szCs w:val="24"/>
        </w:rPr>
        <w:t xml:space="preserve">Marriott International, Inc for the year 2020 and 2021. The data interprets that the </w:t>
      </w:r>
      <w:r w:rsidRPr="00BB539D">
        <w:rPr>
          <w:rFonts w:ascii="Arial" w:hAnsi="Arial" w:cs="Arial"/>
          <w:bCs/>
          <w:sz w:val="24"/>
          <w:szCs w:val="24"/>
        </w:rPr>
        <w:t xml:space="preserve">ROI </w:t>
      </w:r>
      <w:r w:rsidRPr="00BB539D">
        <w:rPr>
          <w:rFonts w:ascii="Arial" w:hAnsi="Arial" w:cs="Arial"/>
          <w:sz w:val="24"/>
          <w:szCs w:val="24"/>
        </w:rPr>
        <w:t>for year 2020 is -2.7717 and is co</w:t>
      </w:r>
      <w:r w:rsidR="004F3430" w:rsidRPr="004F3430">
        <w:rPr>
          <w:noProof/>
        </w:rPr>
        <w:t xml:space="preserve"> </w:t>
      </w:r>
      <w:proofErr w:type="spellStart"/>
      <w:r w:rsidRPr="00BB539D">
        <w:rPr>
          <w:rFonts w:ascii="Arial" w:hAnsi="Arial" w:cs="Arial"/>
          <w:sz w:val="24"/>
          <w:szCs w:val="24"/>
        </w:rPr>
        <w:t>nsidered</w:t>
      </w:r>
      <w:proofErr w:type="spellEnd"/>
      <w:r w:rsidRPr="00BB539D">
        <w:rPr>
          <w:rFonts w:ascii="Arial" w:hAnsi="Arial" w:cs="Arial"/>
          <w:sz w:val="24"/>
          <w:szCs w:val="24"/>
        </w:rPr>
        <w:t xml:space="preserve"> bad for the company and as of 2021 it is 10.2261. We can clearly see that the </w:t>
      </w:r>
      <w:r w:rsidRPr="00BB539D">
        <w:rPr>
          <w:rFonts w:ascii="Arial" w:hAnsi="Arial" w:cs="Arial"/>
          <w:bCs/>
          <w:sz w:val="24"/>
          <w:szCs w:val="24"/>
        </w:rPr>
        <w:t xml:space="preserve">ROI </w:t>
      </w:r>
      <w:r w:rsidRPr="00BB539D">
        <w:rPr>
          <w:rFonts w:ascii="Arial" w:hAnsi="Arial" w:cs="Arial"/>
          <w:sz w:val="24"/>
          <w:szCs w:val="24"/>
        </w:rPr>
        <w:t xml:space="preserve">of Marriott International has increased in 2021 as compared to previous year. </w:t>
      </w:r>
      <w:r w:rsidR="00787D2E" w:rsidRPr="00BB539D">
        <w:rPr>
          <w:rFonts w:ascii="Arial" w:hAnsi="Arial" w:cs="Arial"/>
          <w:sz w:val="24"/>
          <w:szCs w:val="24"/>
        </w:rPr>
        <w:t>Marriott's 2020 ROI was negative, indicating that the hotel wasn't making a profit from its investment. However, ROI has increased in 2021, indicating that net returns are high as total returns have surpassed all associated expenditures</w:t>
      </w:r>
      <w:sdt>
        <w:sdtPr>
          <w:rPr>
            <w:rFonts w:ascii="Arial" w:hAnsi="Arial" w:cs="Arial"/>
            <w:sz w:val="24"/>
            <w:szCs w:val="24"/>
          </w:rPr>
          <w:id w:val="-1530713353"/>
          <w:citation/>
        </w:sdtPr>
        <w:sdtEndPr/>
        <w:sdtContent>
          <w:r w:rsidR="00944E48">
            <w:rPr>
              <w:rFonts w:ascii="Arial" w:hAnsi="Arial" w:cs="Arial"/>
              <w:sz w:val="24"/>
              <w:szCs w:val="24"/>
            </w:rPr>
            <w:fldChar w:fldCharType="begin"/>
          </w:r>
          <w:r w:rsidR="00944E48">
            <w:rPr>
              <w:rFonts w:ascii="Arial" w:hAnsi="Arial" w:cs="Arial"/>
              <w:sz w:val="24"/>
              <w:szCs w:val="24"/>
            </w:rPr>
            <w:instrText xml:space="preserve"> CITATION Ste20 \l 1033 </w:instrText>
          </w:r>
          <w:r w:rsidR="00944E48">
            <w:rPr>
              <w:rFonts w:ascii="Arial" w:hAnsi="Arial" w:cs="Arial"/>
              <w:sz w:val="24"/>
              <w:szCs w:val="24"/>
            </w:rPr>
            <w:fldChar w:fldCharType="separate"/>
          </w:r>
          <w:r w:rsidR="00944E48">
            <w:rPr>
              <w:rFonts w:ascii="Arial" w:hAnsi="Arial" w:cs="Arial"/>
              <w:noProof/>
              <w:sz w:val="24"/>
              <w:szCs w:val="24"/>
            </w:rPr>
            <w:t xml:space="preserve"> </w:t>
          </w:r>
          <w:r w:rsidR="00944E48" w:rsidRPr="00944E48">
            <w:rPr>
              <w:rFonts w:ascii="Arial" w:hAnsi="Arial" w:cs="Arial"/>
              <w:noProof/>
              <w:sz w:val="24"/>
              <w:szCs w:val="24"/>
            </w:rPr>
            <w:t>(Milano, 2020)</w:t>
          </w:r>
          <w:r w:rsidR="00944E48">
            <w:rPr>
              <w:rFonts w:ascii="Arial" w:hAnsi="Arial" w:cs="Arial"/>
              <w:sz w:val="24"/>
              <w:szCs w:val="24"/>
            </w:rPr>
            <w:fldChar w:fldCharType="end"/>
          </w:r>
        </w:sdtContent>
      </w:sdt>
      <w:r w:rsidR="00787D2E" w:rsidRPr="00BB539D">
        <w:rPr>
          <w:rFonts w:ascii="Arial" w:hAnsi="Arial" w:cs="Arial"/>
          <w:sz w:val="24"/>
          <w:szCs w:val="24"/>
        </w:rPr>
        <w:t>.</w:t>
      </w:r>
    </w:p>
    <w:p w14:paraId="5CE961CF" w14:textId="6367588E" w:rsidR="001B2E98" w:rsidRDefault="001B2E98" w:rsidP="00787D2E">
      <w:pPr>
        <w:pStyle w:val="ListParagraph"/>
        <w:numPr>
          <w:ilvl w:val="0"/>
          <w:numId w:val="4"/>
        </w:numPr>
        <w:spacing w:line="360" w:lineRule="auto"/>
        <w:rPr>
          <w:rFonts w:ascii="Arial" w:hAnsi="Arial" w:cs="Arial"/>
          <w:b/>
          <w:sz w:val="24"/>
          <w:szCs w:val="24"/>
        </w:rPr>
      </w:pPr>
      <w:r w:rsidRPr="00BB539D">
        <w:rPr>
          <w:rFonts w:ascii="Arial" w:hAnsi="Arial" w:cs="Arial"/>
          <w:b/>
          <w:sz w:val="24"/>
          <w:szCs w:val="24"/>
        </w:rPr>
        <w:t>Asset Turnover ratio</w:t>
      </w:r>
    </w:p>
    <w:tbl>
      <w:tblPr>
        <w:tblW w:w="3520" w:type="dxa"/>
        <w:tblLook w:val="04A0" w:firstRow="1" w:lastRow="0" w:firstColumn="1" w:lastColumn="0" w:noHBand="0" w:noVBand="1"/>
      </w:tblPr>
      <w:tblGrid>
        <w:gridCol w:w="960"/>
        <w:gridCol w:w="2560"/>
      </w:tblGrid>
      <w:tr w:rsidR="004F3430" w:rsidRPr="004F3430" w14:paraId="10E39455" w14:textId="77777777" w:rsidTr="004F3430">
        <w:trPr>
          <w:trHeight w:val="288"/>
        </w:trPr>
        <w:tc>
          <w:tcPr>
            <w:tcW w:w="960" w:type="dxa"/>
            <w:tcBorders>
              <w:top w:val="single" w:sz="4" w:space="0" w:color="auto"/>
              <w:left w:val="single" w:sz="4" w:space="0" w:color="auto"/>
              <w:bottom w:val="single" w:sz="4" w:space="0" w:color="auto"/>
              <w:right w:val="single" w:sz="4" w:space="0" w:color="auto"/>
            </w:tcBorders>
            <w:shd w:val="clear" w:color="auto" w:fill="9CC2E5" w:themeFill="accent5" w:themeFillTint="99"/>
            <w:noWrap/>
            <w:vAlign w:val="bottom"/>
            <w:hideMark/>
          </w:tcPr>
          <w:p w14:paraId="5A405D41" w14:textId="77777777" w:rsidR="004F3430" w:rsidRPr="004F3430" w:rsidRDefault="004F3430" w:rsidP="004F3430">
            <w:pPr>
              <w:spacing w:after="0" w:line="240" w:lineRule="auto"/>
              <w:rPr>
                <w:rFonts w:ascii="Calibri" w:eastAsia="Times New Roman" w:hAnsi="Calibri" w:cs="Calibri"/>
                <w:b/>
                <w:bCs/>
                <w:color w:val="000000"/>
              </w:rPr>
            </w:pPr>
            <w:r w:rsidRPr="004F3430">
              <w:rPr>
                <w:rFonts w:ascii="Calibri" w:eastAsia="Times New Roman" w:hAnsi="Calibri" w:cs="Calibri"/>
                <w:b/>
                <w:bCs/>
                <w:color w:val="000000"/>
              </w:rPr>
              <w:t>YEAR</w:t>
            </w:r>
          </w:p>
        </w:tc>
        <w:tc>
          <w:tcPr>
            <w:tcW w:w="2560" w:type="dxa"/>
            <w:tcBorders>
              <w:top w:val="single" w:sz="4" w:space="0" w:color="auto"/>
              <w:left w:val="nil"/>
              <w:bottom w:val="single" w:sz="4" w:space="0" w:color="auto"/>
              <w:right w:val="single" w:sz="4" w:space="0" w:color="auto"/>
            </w:tcBorders>
            <w:shd w:val="clear" w:color="auto" w:fill="9CC2E5" w:themeFill="accent5" w:themeFillTint="99"/>
            <w:noWrap/>
            <w:vAlign w:val="bottom"/>
            <w:hideMark/>
          </w:tcPr>
          <w:p w14:paraId="72466026" w14:textId="77777777" w:rsidR="004F3430" w:rsidRPr="004F3430" w:rsidRDefault="004F3430" w:rsidP="004F3430">
            <w:pPr>
              <w:spacing w:after="0" w:line="240" w:lineRule="auto"/>
              <w:jc w:val="center"/>
              <w:rPr>
                <w:rFonts w:ascii="Calibri" w:eastAsia="Times New Roman" w:hAnsi="Calibri" w:cs="Calibri"/>
                <w:b/>
                <w:bCs/>
                <w:color w:val="000000"/>
              </w:rPr>
            </w:pPr>
            <w:r w:rsidRPr="004F3430">
              <w:rPr>
                <w:rFonts w:ascii="Calibri" w:eastAsia="Times New Roman" w:hAnsi="Calibri" w:cs="Calibri"/>
                <w:b/>
                <w:bCs/>
                <w:color w:val="000000"/>
              </w:rPr>
              <w:t>Asset turnover ratio</w:t>
            </w:r>
          </w:p>
        </w:tc>
      </w:tr>
      <w:tr w:rsidR="004F3430" w:rsidRPr="004F3430" w14:paraId="27212FB5" w14:textId="77777777" w:rsidTr="004F3430">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05BE448B" w14:textId="77777777" w:rsidR="004F3430" w:rsidRPr="004F3430" w:rsidRDefault="004F3430" w:rsidP="004F3430">
            <w:pPr>
              <w:spacing w:after="0" w:line="240" w:lineRule="auto"/>
              <w:rPr>
                <w:rFonts w:ascii="Calibri" w:eastAsia="Times New Roman" w:hAnsi="Calibri" w:cs="Calibri"/>
                <w:color w:val="000000"/>
              </w:rPr>
            </w:pPr>
            <w:r w:rsidRPr="004F3430">
              <w:rPr>
                <w:rFonts w:ascii="Calibri" w:eastAsia="Times New Roman" w:hAnsi="Calibri" w:cs="Calibri"/>
                <w:color w:val="000000"/>
              </w:rPr>
              <w:t>2020'</w:t>
            </w:r>
          </w:p>
        </w:tc>
        <w:tc>
          <w:tcPr>
            <w:tcW w:w="2560" w:type="dxa"/>
            <w:tcBorders>
              <w:top w:val="nil"/>
              <w:left w:val="nil"/>
              <w:bottom w:val="single" w:sz="4" w:space="0" w:color="auto"/>
              <w:right w:val="single" w:sz="4" w:space="0" w:color="auto"/>
            </w:tcBorders>
            <w:shd w:val="clear" w:color="auto" w:fill="auto"/>
            <w:noWrap/>
            <w:vAlign w:val="bottom"/>
            <w:hideMark/>
          </w:tcPr>
          <w:p w14:paraId="6F583CCB" w14:textId="77777777" w:rsidR="004F3430" w:rsidRPr="004F3430" w:rsidRDefault="004F3430" w:rsidP="004F3430">
            <w:pPr>
              <w:spacing w:after="0" w:line="240" w:lineRule="auto"/>
              <w:jc w:val="right"/>
              <w:rPr>
                <w:rFonts w:ascii="Calibri" w:eastAsia="Times New Roman" w:hAnsi="Calibri" w:cs="Calibri"/>
                <w:color w:val="000000"/>
              </w:rPr>
            </w:pPr>
            <w:r w:rsidRPr="004F3430">
              <w:rPr>
                <w:rFonts w:ascii="Calibri" w:eastAsia="Times New Roman" w:hAnsi="Calibri" w:cs="Calibri"/>
                <w:color w:val="000000"/>
              </w:rPr>
              <w:t>0.428</w:t>
            </w:r>
          </w:p>
        </w:tc>
      </w:tr>
      <w:tr w:rsidR="004F3430" w:rsidRPr="004F3430" w14:paraId="124E1EF0" w14:textId="77777777" w:rsidTr="004F3430">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F300540" w14:textId="77777777" w:rsidR="004F3430" w:rsidRPr="004F3430" w:rsidRDefault="004F3430" w:rsidP="004F3430">
            <w:pPr>
              <w:spacing w:after="0" w:line="240" w:lineRule="auto"/>
              <w:rPr>
                <w:rFonts w:ascii="Calibri" w:eastAsia="Times New Roman" w:hAnsi="Calibri" w:cs="Calibri"/>
                <w:color w:val="000000"/>
              </w:rPr>
            </w:pPr>
            <w:r w:rsidRPr="004F3430">
              <w:rPr>
                <w:rFonts w:ascii="Calibri" w:eastAsia="Times New Roman" w:hAnsi="Calibri" w:cs="Calibri"/>
                <w:color w:val="000000"/>
              </w:rPr>
              <w:t>2021'</w:t>
            </w:r>
          </w:p>
        </w:tc>
        <w:tc>
          <w:tcPr>
            <w:tcW w:w="2560" w:type="dxa"/>
            <w:tcBorders>
              <w:top w:val="nil"/>
              <w:left w:val="nil"/>
              <w:bottom w:val="single" w:sz="4" w:space="0" w:color="auto"/>
              <w:right w:val="single" w:sz="4" w:space="0" w:color="auto"/>
            </w:tcBorders>
            <w:shd w:val="clear" w:color="auto" w:fill="auto"/>
            <w:noWrap/>
            <w:vAlign w:val="bottom"/>
            <w:hideMark/>
          </w:tcPr>
          <w:p w14:paraId="30464191" w14:textId="77777777" w:rsidR="004F3430" w:rsidRPr="004F3430" w:rsidRDefault="004F3430" w:rsidP="004F3430">
            <w:pPr>
              <w:spacing w:after="0" w:line="240" w:lineRule="auto"/>
              <w:jc w:val="right"/>
              <w:rPr>
                <w:rFonts w:ascii="Calibri" w:eastAsia="Times New Roman" w:hAnsi="Calibri" w:cs="Calibri"/>
                <w:color w:val="000000"/>
              </w:rPr>
            </w:pPr>
            <w:r w:rsidRPr="004F3430">
              <w:rPr>
                <w:rFonts w:ascii="Calibri" w:eastAsia="Times New Roman" w:hAnsi="Calibri" w:cs="Calibri"/>
                <w:color w:val="000000"/>
              </w:rPr>
              <w:t>0.5423</w:t>
            </w:r>
          </w:p>
        </w:tc>
      </w:tr>
    </w:tbl>
    <w:p w14:paraId="0EBD354D" w14:textId="77777777" w:rsidR="004F3430" w:rsidRPr="004F3430" w:rsidRDefault="004F3430" w:rsidP="004F3430">
      <w:pPr>
        <w:spacing w:line="360" w:lineRule="auto"/>
        <w:rPr>
          <w:rFonts w:ascii="Arial" w:hAnsi="Arial" w:cs="Arial"/>
          <w:b/>
          <w:sz w:val="24"/>
          <w:szCs w:val="24"/>
        </w:rPr>
      </w:pPr>
    </w:p>
    <w:p w14:paraId="1BE0365A" w14:textId="74987B57" w:rsidR="001B2E98" w:rsidRPr="00BB539D" w:rsidRDefault="00A8707D" w:rsidP="004F3430">
      <w:pPr>
        <w:spacing w:line="360" w:lineRule="auto"/>
        <w:jc w:val="both"/>
        <w:rPr>
          <w:rFonts w:ascii="Arial" w:hAnsi="Arial" w:cs="Arial"/>
          <w:b/>
          <w:sz w:val="24"/>
          <w:szCs w:val="24"/>
        </w:rPr>
      </w:pPr>
      <w:r w:rsidRPr="00BB539D">
        <w:rPr>
          <w:rFonts w:ascii="Arial" w:hAnsi="Arial" w:cs="Arial"/>
          <w:bCs/>
          <w:sz w:val="24"/>
          <w:szCs w:val="24"/>
        </w:rPr>
        <w:t xml:space="preserve">Above data shows the Asset turnover ratio of </w:t>
      </w:r>
      <w:r w:rsidRPr="00BB539D">
        <w:rPr>
          <w:rFonts w:ascii="Arial" w:hAnsi="Arial" w:cs="Arial"/>
          <w:sz w:val="24"/>
          <w:szCs w:val="24"/>
        </w:rPr>
        <w:t xml:space="preserve">Marriott International, Inc for the year 2020 and 2021. The data interprets that the </w:t>
      </w:r>
      <w:r w:rsidRPr="00BB539D">
        <w:rPr>
          <w:rFonts w:ascii="Arial" w:hAnsi="Arial" w:cs="Arial"/>
          <w:bCs/>
          <w:sz w:val="24"/>
          <w:szCs w:val="24"/>
        </w:rPr>
        <w:t xml:space="preserve">Asset turnover ratio </w:t>
      </w:r>
      <w:r w:rsidRPr="00BB539D">
        <w:rPr>
          <w:rFonts w:ascii="Arial" w:hAnsi="Arial" w:cs="Arial"/>
          <w:sz w:val="24"/>
          <w:szCs w:val="24"/>
        </w:rPr>
        <w:t xml:space="preserve">for year 2020 is 0.428 l and as of 2021 it is 0.5423. We can clearly see that the </w:t>
      </w:r>
      <w:r w:rsidRPr="00BB539D">
        <w:rPr>
          <w:rFonts w:ascii="Arial" w:hAnsi="Arial" w:cs="Arial"/>
          <w:bCs/>
          <w:sz w:val="24"/>
          <w:szCs w:val="24"/>
        </w:rPr>
        <w:t>As</w:t>
      </w:r>
      <w:r w:rsidR="004F3430" w:rsidRPr="004F3430">
        <w:rPr>
          <w:noProof/>
        </w:rPr>
        <w:t xml:space="preserve"> </w:t>
      </w:r>
      <w:r w:rsidR="004F3430">
        <w:rPr>
          <w:noProof/>
        </w:rPr>
        <w:drawing>
          <wp:anchor distT="0" distB="0" distL="114300" distR="114300" simplePos="0" relativeHeight="251666432" behindDoc="0" locked="0" layoutInCell="1" allowOverlap="1" wp14:anchorId="5AE9A18B" wp14:editId="4A4B7A95">
            <wp:simplePos x="4438015" y="2753995"/>
            <wp:positionH relativeFrom="margin">
              <wp:align>right</wp:align>
            </wp:positionH>
            <wp:positionV relativeFrom="margin">
              <wp:align>top</wp:align>
            </wp:positionV>
            <wp:extent cx="2415540" cy="1950720"/>
            <wp:effectExtent l="0" t="0" r="3810" b="11430"/>
            <wp:wrapSquare wrapText="bothSides"/>
            <wp:docPr id="9" name="Chart 9">
              <a:extLst xmlns:a="http://schemas.openxmlformats.org/drawingml/2006/main">
                <a:ext uri="{FF2B5EF4-FFF2-40B4-BE49-F238E27FC236}">
                  <a16:creationId xmlns:a16="http://schemas.microsoft.com/office/drawing/2014/main" id="{7A28766B-BC03-09D4-5FC2-C2FF393550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r w:rsidRPr="00BB539D">
        <w:rPr>
          <w:rFonts w:ascii="Arial" w:hAnsi="Arial" w:cs="Arial"/>
          <w:bCs/>
          <w:sz w:val="24"/>
          <w:szCs w:val="24"/>
        </w:rPr>
        <w:t xml:space="preserve">set turnover ratio </w:t>
      </w:r>
      <w:r w:rsidRPr="00BB539D">
        <w:rPr>
          <w:rFonts w:ascii="Arial" w:hAnsi="Arial" w:cs="Arial"/>
          <w:sz w:val="24"/>
          <w:szCs w:val="24"/>
        </w:rPr>
        <w:t>of Marriott International has increased in 2021 as compared to previous year. This shows that Marriott is a more effective business at producing revenue from its assets in 2021 and that it has made good use of its investments in fixed assets to boost sales.</w:t>
      </w:r>
    </w:p>
    <w:p w14:paraId="27E7861E" w14:textId="7944EF09" w:rsidR="001B2E98" w:rsidRPr="00BB539D" w:rsidRDefault="001B2E98" w:rsidP="004F3430">
      <w:pPr>
        <w:pStyle w:val="Heading2"/>
        <w:spacing w:after="240"/>
        <w:rPr>
          <w:rFonts w:ascii="Arial" w:hAnsi="Arial" w:cs="Arial"/>
          <w:b/>
          <w:bCs/>
          <w:color w:val="auto"/>
        </w:rPr>
      </w:pPr>
      <w:bookmarkStart w:id="5" w:name="_Toc120719273"/>
      <w:r w:rsidRPr="00BB539D">
        <w:rPr>
          <w:rFonts w:ascii="Arial" w:hAnsi="Arial" w:cs="Arial"/>
          <w:b/>
          <w:bCs/>
          <w:color w:val="auto"/>
        </w:rPr>
        <w:t>GEARING RATIOS</w:t>
      </w:r>
      <w:bookmarkEnd w:id="5"/>
    </w:p>
    <w:p w14:paraId="6493293F" w14:textId="01B3A5F8" w:rsidR="001B2E98" w:rsidRDefault="004F3430" w:rsidP="00787D2E">
      <w:pPr>
        <w:pStyle w:val="ListParagraph"/>
        <w:numPr>
          <w:ilvl w:val="0"/>
          <w:numId w:val="6"/>
        </w:numPr>
        <w:spacing w:line="360" w:lineRule="auto"/>
        <w:rPr>
          <w:rFonts w:ascii="Arial" w:hAnsi="Arial" w:cs="Arial"/>
          <w:b/>
          <w:sz w:val="24"/>
          <w:szCs w:val="24"/>
        </w:rPr>
      </w:pPr>
      <w:r>
        <w:rPr>
          <w:noProof/>
        </w:rPr>
        <w:drawing>
          <wp:anchor distT="0" distB="0" distL="114300" distR="114300" simplePos="0" relativeHeight="251667456" behindDoc="0" locked="0" layoutInCell="1" allowOverlap="1" wp14:anchorId="613E530E" wp14:editId="63F2D34A">
            <wp:simplePos x="0" y="0"/>
            <wp:positionH relativeFrom="margin">
              <wp:align>right</wp:align>
            </wp:positionH>
            <wp:positionV relativeFrom="margin">
              <wp:posOffset>3890846</wp:posOffset>
            </wp:positionV>
            <wp:extent cx="2392680" cy="2011680"/>
            <wp:effectExtent l="0" t="0" r="7620" b="7620"/>
            <wp:wrapSquare wrapText="bothSides"/>
            <wp:docPr id="10" name="Chart 10">
              <a:extLst xmlns:a="http://schemas.openxmlformats.org/drawingml/2006/main">
                <a:ext uri="{FF2B5EF4-FFF2-40B4-BE49-F238E27FC236}">
                  <a16:creationId xmlns:a16="http://schemas.microsoft.com/office/drawing/2014/main" id="{F7EB862F-5888-F9E7-9BB8-21A1A622AB9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anchor>
        </w:drawing>
      </w:r>
      <w:r w:rsidR="001B2E98" w:rsidRPr="00BB539D">
        <w:rPr>
          <w:rFonts w:ascii="Arial" w:hAnsi="Arial" w:cs="Arial"/>
          <w:b/>
          <w:sz w:val="24"/>
          <w:szCs w:val="24"/>
        </w:rPr>
        <w:t>Debt/Equity ratio</w:t>
      </w:r>
    </w:p>
    <w:tbl>
      <w:tblPr>
        <w:tblW w:w="3520" w:type="dxa"/>
        <w:tblLook w:val="04A0" w:firstRow="1" w:lastRow="0" w:firstColumn="1" w:lastColumn="0" w:noHBand="0" w:noVBand="1"/>
      </w:tblPr>
      <w:tblGrid>
        <w:gridCol w:w="960"/>
        <w:gridCol w:w="2560"/>
      </w:tblGrid>
      <w:tr w:rsidR="004F3430" w:rsidRPr="004F3430" w14:paraId="5725A18F" w14:textId="77777777" w:rsidTr="004F3430">
        <w:trPr>
          <w:trHeight w:val="288"/>
        </w:trPr>
        <w:tc>
          <w:tcPr>
            <w:tcW w:w="960" w:type="dxa"/>
            <w:tcBorders>
              <w:top w:val="single" w:sz="4" w:space="0" w:color="auto"/>
              <w:left w:val="single" w:sz="4" w:space="0" w:color="auto"/>
              <w:bottom w:val="single" w:sz="4" w:space="0" w:color="auto"/>
              <w:right w:val="single" w:sz="4" w:space="0" w:color="auto"/>
            </w:tcBorders>
            <w:shd w:val="clear" w:color="auto" w:fill="9CC2E5" w:themeFill="accent5" w:themeFillTint="99"/>
            <w:noWrap/>
            <w:vAlign w:val="bottom"/>
            <w:hideMark/>
          </w:tcPr>
          <w:p w14:paraId="10700F62" w14:textId="77777777" w:rsidR="004F3430" w:rsidRPr="004F3430" w:rsidRDefault="004F3430" w:rsidP="004F3430">
            <w:pPr>
              <w:spacing w:after="0" w:line="240" w:lineRule="auto"/>
              <w:rPr>
                <w:rFonts w:ascii="Calibri" w:eastAsia="Times New Roman" w:hAnsi="Calibri" w:cs="Calibri"/>
                <w:b/>
                <w:bCs/>
                <w:color w:val="000000"/>
              </w:rPr>
            </w:pPr>
            <w:r w:rsidRPr="004F3430">
              <w:rPr>
                <w:rFonts w:ascii="Calibri" w:eastAsia="Times New Roman" w:hAnsi="Calibri" w:cs="Calibri"/>
                <w:b/>
                <w:bCs/>
                <w:color w:val="000000"/>
              </w:rPr>
              <w:t>YEAR</w:t>
            </w:r>
          </w:p>
        </w:tc>
        <w:tc>
          <w:tcPr>
            <w:tcW w:w="2560" w:type="dxa"/>
            <w:tcBorders>
              <w:top w:val="single" w:sz="4" w:space="0" w:color="auto"/>
              <w:left w:val="nil"/>
              <w:bottom w:val="single" w:sz="4" w:space="0" w:color="auto"/>
              <w:right w:val="single" w:sz="4" w:space="0" w:color="auto"/>
            </w:tcBorders>
            <w:shd w:val="clear" w:color="auto" w:fill="9CC2E5" w:themeFill="accent5" w:themeFillTint="99"/>
            <w:noWrap/>
            <w:vAlign w:val="bottom"/>
            <w:hideMark/>
          </w:tcPr>
          <w:p w14:paraId="360ACB4A" w14:textId="77777777" w:rsidR="004F3430" w:rsidRPr="004F3430" w:rsidRDefault="004F3430" w:rsidP="004F3430">
            <w:pPr>
              <w:spacing w:after="0" w:line="240" w:lineRule="auto"/>
              <w:jc w:val="center"/>
              <w:rPr>
                <w:rFonts w:ascii="Calibri" w:eastAsia="Times New Roman" w:hAnsi="Calibri" w:cs="Calibri"/>
                <w:b/>
                <w:bCs/>
                <w:color w:val="000000"/>
              </w:rPr>
            </w:pPr>
            <w:r w:rsidRPr="004F3430">
              <w:rPr>
                <w:rFonts w:ascii="Calibri" w:eastAsia="Times New Roman" w:hAnsi="Calibri" w:cs="Calibri"/>
                <w:b/>
                <w:bCs/>
                <w:color w:val="000000"/>
              </w:rPr>
              <w:t>Debt/Equity ratio</w:t>
            </w:r>
          </w:p>
        </w:tc>
      </w:tr>
      <w:tr w:rsidR="004F3430" w:rsidRPr="004F3430" w14:paraId="0D55FBE5" w14:textId="77777777" w:rsidTr="004F3430">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59B3D652" w14:textId="77777777" w:rsidR="004F3430" w:rsidRPr="004F3430" w:rsidRDefault="004F3430" w:rsidP="004F3430">
            <w:pPr>
              <w:spacing w:after="0" w:line="240" w:lineRule="auto"/>
              <w:rPr>
                <w:rFonts w:ascii="Calibri" w:eastAsia="Times New Roman" w:hAnsi="Calibri" w:cs="Calibri"/>
                <w:color w:val="000000"/>
              </w:rPr>
            </w:pPr>
            <w:r w:rsidRPr="004F3430">
              <w:rPr>
                <w:rFonts w:ascii="Calibri" w:eastAsia="Times New Roman" w:hAnsi="Calibri" w:cs="Calibri"/>
                <w:color w:val="000000"/>
              </w:rPr>
              <w:t>2020'</w:t>
            </w:r>
          </w:p>
        </w:tc>
        <w:tc>
          <w:tcPr>
            <w:tcW w:w="2560" w:type="dxa"/>
            <w:tcBorders>
              <w:top w:val="nil"/>
              <w:left w:val="nil"/>
              <w:bottom w:val="single" w:sz="4" w:space="0" w:color="auto"/>
              <w:right w:val="single" w:sz="4" w:space="0" w:color="auto"/>
            </w:tcBorders>
            <w:shd w:val="clear" w:color="auto" w:fill="auto"/>
            <w:noWrap/>
            <w:vAlign w:val="bottom"/>
            <w:hideMark/>
          </w:tcPr>
          <w:p w14:paraId="6331ECCA" w14:textId="77777777" w:rsidR="004F3430" w:rsidRPr="004F3430" w:rsidRDefault="004F3430" w:rsidP="004F3430">
            <w:pPr>
              <w:spacing w:after="0" w:line="240" w:lineRule="auto"/>
              <w:jc w:val="right"/>
              <w:rPr>
                <w:rFonts w:ascii="Calibri" w:eastAsia="Times New Roman" w:hAnsi="Calibri" w:cs="Calibri"/>
                <w:color w:val="000000"/>
              </w:rPr>
            </w:pPr>
            <w:r w:rsidRPr="004F3430">
              <w:rPr>
                <w:rFonts w:ascii="Calibri" w:eastAsia="Times New Roman" w:hAnsi="Calibri" w:cs="Calibri"/>
                <w:color w:val="000000"/>
              </w:rPr>
              <w:t>24.1302</w:t>
            </w:r>
          </w:p>
        </w:tc>
      </w:tr>
      <w:tr w:rsidR="004F3430" w:rsidRPr="004F3430" w14:paraId="2612A41F" w14:textId="77777777" w:rsidTr="004F3430">
        <w:trPr>
          <w:trHeight w:val="288"/>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36AD32FE" w14:textId="77777777" w:rsidR="004F3430" w:rsidRPr="004F3430" w:rsidRDefault="004F3430" w:rsidP="004F3430">
            <w:pPr>
              <w:spacing w:after="0" w:line="240" w:lineRule="auto"/>
              <w:rPr>
                <w:rFonts w:ascii="Calibri" w:eastAsia="Times New Roman" w:hAnsi="Calibri" w:cs="Calibri"/>
                <w:color w:val="000000"/>
              </w:rPr>
            </w:pPr>
            <w:r w:rsidRPr="004F3430">
              <w:rPr>
                <w:rFonts w:ascii="Calibri" w:eastAsia="Times New Roman" w:hAnsi="Calibri" w:cs="Calibri"/>
                <w:color w:val="000000"/>
              </w:rPr>
              <w:t>2021'</w:t>
            </w:r>
          </w:p>
        </w:tc>
        <w:tc>
          <w:tcPr>
            <w:tcW w:w="2560" w:type="dxa"/>
            <w:tcBorders>
              <w:top w:val="nil"/>
              <w:left w:val="nil"/>
              <w:bottom w:val="single" w:sz="4" w:space="0" w:color="auto"/>
              <w:right w:val="single" w:sz="4" w:space="0" w:color="auto"/>
            </w:tcBorders>
            <w:shd w:val="clear" w:color="auto" w:fill="auto"/>
            <w:noWrap/>
            <w:vAlign w:val="bottom"/>
            <w:hideMark/>
          </w:tcPr>
          <w:p w14:paraId="2D8A19F5" w14:textId="77777777" w:rsidR="004F3430" w:rsidRPr="004F3430" w:rsidRDefault="004F3430" w:rsidP="004F3430">
            <w:pPr>
              <w:spacing w:after="0" w:line="240" w:lineRule="auto"/>
              <w:jc w:val="right"/>
              <w:rPr>
                <w:rFonts w:ascii="Calibri" w:eastAsia="Times New Roman" w:hAnsi="Calibri" w:cs="Calibri"/>
                <w:color w:val="000000"/>
              </w:rPr>
            </w:pPr>
            <w:r w:rsidRPr="004F3430">
              <w:rPr>
                <w:rFonts w:ascii="Calibri" w:eastAsia="Times New Roman" w:hAnsi="Calibri" w:cs="Calibri"/>
                <w:color w:val="000000"/>
              </w:rPr>
              <w:t>7.1697</w:t>
            </w:r>
          </w:p>
        </w:tc>
      </w:tr>
    </w:tbl>
    <w:p w14:paraId="021CBB01" w14:textId="77777777" w:rsidR="004F3430" w:rsidRPr="004F3430" w:rsidRDefault="004F3430" w:rsidP="004F3430">
      <w:pPr>
        <w:spacing w:line="360" w:lineRule="auto"/>
        <w:rPr>
          <w:rFonts w:ascii="Arial" w:hAnsi="Arial" w:cs="Arial"/>
          <w:b/>
          <w:sz w:val="24"/>
          <w:szCs w:val="24"/>
        </w:rPr>
      </w:pPr>
    </w:p>
    <w:p w14:paraId="0BB63EA0" w14:textId="2426DB31" w:rsidR="001B2E98" w:rsidRPr="00BB539D" w:rsidRDefault="003E7A6B" w:rsidP="004F3430">
      <w:pPr>
        <w:spacing w:line="360" w:lineRule="auto"/>
        <w:jc w:val="both"/>
        <w:rPr>
          <w:rFonts w:ascii="Arial" w:hAnsi="Arial" w:cs="Arial"/>
          <w:b/>
          <w:sz w:val="24"/>
          <w:szCs w:val="24"/>
        </w:rPr>
      </w:pPr>
      <w:r w:rsidRPr="00BB539D">
        <w:rPr>
          <w:rFonts w:ascii="Arial" w:hAnsi="Arial" w:cs="Arial"/>
          <w:bCs/>
          <w:sz w:val="24"/>
          <w:szCs w:val="24"/>
        </w:rPr>
        <w:t>Above data shows the Debt/Equity ratio</w:t>
      </w:r>
      <w:r w:rsidRPr="00BB539D">
        <w:rPr>
          <w:rFonts w:ascii="Arial" w:hAnsi="Arial" w:cs="Arial"/>
          <w:b/>
          <w:sz w:val="24"/>
          <w:szCs w:val="24"/>
        </w:rPr>
        <w:t xml:space="preserve"> </w:t>
      </w:r>
      <w:r w:rsidRPr="00BB539D">
        <w:rPr>
          <w:rFonts w:ascii="Arial" w:hAnsi="Arial" w:cs="Arial"/>
          <w:bCs/>
          <w:sz w:val="24"/>
          <w:szCs w:val="24"/>
        </w:rPr>
        <w:t xml:space="preserve">of </w:t>
      </w:r>
      <w:r w:rsidRPr="00BB539D">
        <w:rPr>
          <w:rFonts w:ascii="Arial" w:hAnsi="Arial" w:cs="Arial"/>
          <w:sz w:val="24"/>
          <w:szCs w:val="24"/>
        </w:rPr>
        <w:t xml:space="preserve">Marriott International, Inc for the year 2020 and 2021. The data interprets that the </w:t>
      </w:r>
      <w:r w:rsidRPr="00BB539D">
        <w:rPr>
          <w:rFonts w:ascii="Arial" w:hAnsi="Arial" w:cs="Arial"/>
          <w:bCs/>
          <w:sz w:val="24"/>
          <w:szCs w:val="24"/>
        </w:rPr>
        <w:t>Debt/Equity ratio</w:t>
      </w:r>
      <w:r w:rsidRPr="00BB539D">
        <w:rPr>
          <w:rFonts w:ascii="Arial" w:hAnsi="Arial" w:cs="Arial"/>
          <w:b/>
          <w:sz w:val="24"/>
          <w:szCs w:val="24"/>
        </w:rPr>
        <w:t xml:space="preserve"> </w:t>
      </w:r>
      <w:r w:rsidRPr="00BB539D">
        <w:rPr>
          <w:rFonts w:ascii="Arial" w:hAnsi="Arial" w:cs="Arial"/>
          <w:sz w:val="24"/>
          <w:szCs w:val="24"/>
        </w:rPr>
        <w:t xml:space="preserve">for year 2020 is 24.1302 and as of 2021 it is 7.1697. We can clearly see that the </w:t>
      </w:r>
      <w:r w:rsidR="001755D6" w:rsidRPr="00BB539D">
        <w:rPr>
          <w:rFonts w:ascii="Arial" w:hAnsi="Arial" w:cs="Arial"/>
          <w:bCs/>
          <w:sz w:val="24"/>
          <w:szCs w:val="24"/>
        </w:rPr>
        <w:t xml:space="preserve">Debt/Equity </w:t>
      </w:r>
      <w:r w:rsidRPr="00BB539D">
        <w:rPr>
          <w:rFonts w:ascii="Arial" w:hAnsi="Arial" w:cs="Arial"/>
          <w:sz w:val="24"/>
          <w:szCs w:val="24"/>
        </w:rPr>
        <w:t>of Marriott International has decreased in 2021 as compared to previous year.</w:t>
      </w:r>
      <w:r w:rsidR="001755D6" w:rsidRPr="00BB539D">
        <w:rPr>
          <w:rFonts w:ascii="Arial" w:hAnsi="Arial" w:cs="Arial"/>
          <w:sz w:val="24"/>
          <w:szCs w:val="24"/>
        </w:rPr>
        <w:t xml:space="preserve"> This shows that is 2021 Marriott is relying more on stock to fund its operations rather than borrowing as much money from</w:t>
      </w:r>
      <w:r w:rsidR="00944E48">
        <w:rPr>
          <w:rFonts w:ascii="Arial" w:hAnsi="Arial" w:cs="Arial"/>
          <w:sz w:val="24"/>
          <w:szCs w:val="24"/>
        </w:rPr>
        <w:t xml:space="preserve"> lenders</w:t>
      </w:r>
      <w:r w:rsidR="001755D6" w:rsidRPr="00BB539D">
        <w:rPr>
          <w:rFonts w:ascii="Arial" w:hAnsi="Arial" w:cs="Arial"/>
          <w:sz w:val="24"/>
          <w:szCs w:val="24"/>
        </w:rPr>
        <w:t>.</w:t>
      </w:r>
    </w:p>
    <w:p w14:paraId="03F55F87" w14:textId="77777777" w:rsidR="003E7A6B" w:rsidRPr="00BB539D" w:rsidRDefault="003E7A6B" w:rsidP="00787D2E">
      <w:pPr>
        <w:spacing w:line="360" w:lineRule="auto"/>
        <w:rPr>
          <w:rFonts w:ascii="Arial" w:hAnsi="Arial" w:cs="Arial"/>
          <w:b/>
          <w:sz w:val="24"/>
          <w:szCs w:val="24"/>
        </w:rPr>
      </w:pPr>
    </w:p>
    <w:p w14:paraId="647D33D1" w14:textId="3CFD24E6" w:rsidR="008E3A5F" w:rsidRPr="00BB539D" w:rsidRDefault="008E3A5F" w:rsidP="00BB539D">
      <w:pPr>
        <w:pStyle w:val="Heading1"/>
        <w:spacing w:after="240" w:line="360" w:lineRule="auto"/>
        <w:ind w:left="-1"/>
        <w:jc w:val="both"/>
        <w:rPr>
          <w:rFonts w:ascii="Arial" w:hAnsi="Arial" w:cs="Arial"/>
          <w:sz w:val="28"/>
          <w:szCs w:val="28"/>
        </w:rPr>
      </w:pPr>
      <w:bookmarkStart w:id="6" w:name="_Toc120719274"/>
      <w:r w:rsidRPr="00BB539D">
        <w:rPr>
          <w:rFonts w:ascii="Arial" w:hAnsi="Arial" w:cs="Arial"/>
          <w:sz w:val="28"/>
          <w:szCs w:val="28"/>
        </w:rPr>
        <w:t>Importance of understanding of ratio and their fluctuations for hotel management</w:t>
      </w:r>
      <w:bookmarkEnd w:id="6"/>
      <w:r w:rsidRPr="00BB539D">
        <w:rPr>
          <w:rFonts w:ascii="Arial" w:hAnsi="Arial" w:cs="Arial"/>
          <w:sz w:val="28"/>
          <w:szCs w:val="28"/>
        </w:rPr>
        <w:t xml:space="preserve"> </w:t>
      </w:r>
      <w:bookmarkEnd w:id="0"/>
    </w:p>
    <w:p w14:paraId="4352DA7B" w14:textId="7893FDAB" w:rsidR="00110F82" w:rsidRPr="00BB539D" w:rsidRDefault="00110F82" w:rsidP="00787D2E">
      <w:pPr>
        <w:spacing w:line="360" w:lineRule="auto"/>
        <w:jc w:val="both"/>
        <w:rPr>
          <w:rFonts w:ascii="Arial" w:hAnsi="Arial" w:cs="Arial"/>
          <w:sz w:val="24"/>
          <w:szCs w:val="24"/>
        </w:rPr>
      </w:pPr>
      <w:r w:rsidRPr="00BB539D">
        <w:rPr>
          <w:rFonts w:ascii="Arial" w:hAnsi="Arial" w:cs="Arial"/>
          <w:sz w:val="24"/>
          <w:szCs w:val="24"/>
        </w:rPr>
        <w:t xml:space="preserve">It is crucial to comprehend the financial ratios and how they change while examining the data from the hotel management financial statement. Following are some examples of those forms of financial data and how crucial financial ratios are for comprehending them. </w:t>
      </w:r>
    </w:p>
    <w:p w14:paraId="00C99091" w14:textId="784008DA" w:rsidR="00BD50EE" w:rsidRPr="00BB539D" w:rsidRDefault="00110F82" w:rsidP="00787D2E">
      <w:pPr>
        <w:spacing w:line="360" w:lineRule="auto"/>
        <w:jc w:val="both"/>
        <w:rPr>
          <w:rFonts w:ascii="Arial" w:hAnsi="Arial" w:cs="Arial"/>
          <w:sz w:val="24"/>
          <w:szCs w:val="24"/>
        </w:rPr>
      </w:pPr>
      <w:r w:rsidRPr="00BB539D">
        <w:rPr>
          <w:rFonts w:ascii="Arial" w:hAnsi="Arial" w:cs="Arial"/>
          <w:sz w:val="24"/>
          <w:szCs w:val="24"/>
        </w:rPr>
        <w:t xml:space="preserve">Position in terms of liquidity: </w:t>
      </w:r>
      <w:r w:rsidR="00BB539D" w:rsidRPr="00BB539D">
        <w:rPr>
          <w:rFonts w:ascii="Arial" w:hAnsi="Arial" w:cs="Arial"/>
          <w:sz w:val="24"/>
          <w:szCs w:val="24"/>
        </w:rPr>
        <w:t xml:space="preserve"> </w:t>
      </w:r>
      <w:r w:rsidRPr="00BB539D">
        <w:rPr>
          <w:rFonts w:ascii="Arial" w:hAnsi="Arial" w:cs="Arial"/>
          <w:sz w:val="24"/>
          <w:szCs w:val="24"/>
        </w:rPr>
        <w:t xml:space="preserve">The capacity to pay its short-term obligations depends on its liquidity position. If the ratio of liquid assets to liquid liabilities is higher, the liquidity will be strong. Additionally, a less liquid asset will leave a less </w:t>
      </w:r>
      <w:proofErr w:type="spellStart"/>
      <w:r w:rsidRPr="00BB539D">
        <w:rPr>
          <w:rFonts w:ascii="Arial" w:hAnsi="Arial" w:cs="Arial"/>
          <w:sz w:val="24"/>
          <w:szCs w:val="24"/>
        </w:rPr>
        <w:t>favourable</w:t>
      </w:r>
      <w:proofErr w:type="spellEnd"/>
      <w:r w:rsidRPr="00BB539D">
        <w:rPr>
          <w:rFonts w:ascii="Arial" w:hAnsi="Arial" w:cs="Arial"/>
          <w:sz w:val="24"/>
          <w:szCs w:val="24"/>
        </w:rPr>
        <w:t xml:space="preserve"> position for satisfying a short-term liability. Calculating and examining the company's liquidity ratios will reveal the position that any hotel is in.</w:t>
      </w:r>
    </w:p>
    <w:p w14:paraId="2A417988" w14:textId="3DD6D2FC" w:rsidR="006B67BA" w:rsidRPr="00BB539D" w:rsidRDefault="006B67BA" w:rsidP="00787D2E">
      <w:pPr>
        <w:spacing w:line="360" w:lineRule="auto"/>
        <w:jc w:val="both"/>
        <w:rPr>
          <w:rFonts w:ascii="Arial" w:hAnsi="Arial" w:cs="Arial"/>
          <w:sz w:val="24"/>
          <w:szCs w:val="24"/>
        </w:rPr>
      </w:pPr>
      <w:r w:rsidRPr="00BB539D">
        <w:rPr>
          <w:rFonts w:ascii="Arial" w:hAnsi="Arial" w:cs="Arial"/>
          <w:sz w:val="24"/>
          <w:szCs w:val="24"/>
        </w:rPr>
        <w:t>Long-term solvency: The ability to pay long-term debt and the consequence of long-term liabilities boost financial statement information. If a hotel management firm, such as Marriott International, Inc., is able to pay the long-term debt in a timely manner, it demonstrates its creditworthiness and financial stability. The external as well a internal stakeholder will be able to gauge the hotel company's long-term solvency situation through ratio understanding and financial analysis</w:t>
      </w:r>
      <w:sdt>
        <w:sdtPr>
          <w:rPr>
            <w:rFonts w:ascii="Arial" w:hAnsi="Arial" w:cs="Arial"/>
            <w:sz w:val="24"/>
            <w:szCs w:val="24"/>
          </w:rPr>
          <w:id w:val="-2124838897"/>
          <w:citation/>
        </w:sdtPr>
        <w:sdtEndPr/>
        <w:sdtContent>
          <w:r w:rsidR="0039541E">
            <w:rPr>
              <w:rFonts w:ascii="Arial" w:hAnsi="Arial" w:cs="Arial"/>
              <w:sz w:val="24"/>
              <w:szCs w:val="24"/>
            </w:rPr>
            <w:fldChar w:fldCharType="begin"/>
          </w:r>
          <w:r w:rsidR="0039541E">
            <w:rPr>
              <w:rFonts w:ascii="Arial" w:hAnsi="Arial" w:cs="Arial"/>
              <w:sz w:val="24"/>
              <w:szCs w:val="24"/>
            </w:rPr>
            <w:instrText xml:space="preserve"> CITATION Pri22 \l 1033 </w:instrText>
          </w:r>
          <w:r w:rsidR="0039541E">
            <w:rPr>
              <w:rFonts w:ascii="Arial" w:hAnsi="Arial" w:cs="Arial"/>
              <w:sz w:val="24"/>
              <w:szCs w:val="24"/>
            </w:rPr>
            <w:fldChar w:fldCharType="separate"/>
          </w:r>
          <w:r w:rsidR="0039541E">
            <w:rPr>
              <w:rFonts w:ascii="Arial" w:hAnsi="Arial" w:cs="Arial"/>
              <w:noProof/>
              <w:sz w:val="24"/>
              <w:szCs w:val="24"/>
            </w:rPr>
            <w:t xml:space="preserve"> </w:t>
          </w:r>
          <w:r w:rsidR="0039541E" w:rsidRPr="0039541E">
            <w:rPr>
              <w:rFonts w:ascii="Arial" w:hAnsi="Arial" w:cs="Arial"/>
              <w:noProof/>
              <w:sz w:val="24"/>
              <w:szCs w:val="24"/>
            </w:rPr>
            <w:t>(Banerjee, 2022)</w:t>
          </w:r>
          <w:r w:rsidR="0039541E">
            <w:rPr>
              <w:rFonts w:ascii="Arial" w:hAnsi="Arial" w:cs="Arial"/>
              <w:sz w:val="24"/>
              <w:szCs w:val="24"/>
            </w:rPr>
            <w:fldChar w:fldCharType="end"/>
          </w:r>
        </w:sdtContent>
      </w:sdt>
      <w:r w:rsidRPr="00BB539D">
        <w:rPr>
          <w:rFonts w:ascii="Arial" w:hAnsi="Arial" w:cs="Arial"/>
          <w:sz w:val="24"/>
          <w:szCs w:val="24"/>
        </w:rPr>
        <w:t>.</w:t>
      </w:r>
    </w:p>
    <w:p w14:paraId="5E9FEA6D" w14:textId="688E9575" w:rsidR="00110F82" w:rsidRPr="00BB539D" w:rsidRDefault="006B67BA" w:rsidP="00787D2E">
      <w:pPr>
        <w:spacing w:line="360" w:lineRule="auto"/>
        <w:jc w:val="both"/>
        <w:rPr>
          <w:rFonts w:ascii="Arial" w:hAnsi="Arial" w:cs="Arial"/>
          <w:sz w:val="24"/>
          <w:szCs w:val="24"/>
        </w:rPr>
      </w:pPr>
      <w:r w:rsidRPr="00BB539D">
        <w:rPr>
          <w:rFonts w:ascii="Arial" w:hAnsi="Arial" w:cs="Arial"/>
          <w:sz w:val="24"/>
          <w:szCs w:val="24"/>
        </w:rPr>
        <w:t>Operating efficiency: It's crucial to assess the financial statement, particularly through ratio measurement, to learn how effectively the management and various assets are used. Varying operational ratios indicate different managerial efficacies in utilizing the operating assets. Ratio analysis is crucial, as a result.</w:t>
      </w:r>
    </w:p>
    <w:p w14:paraId="1B969E8F" w14:textId="018097AB" w:rsidR="007F67FC" w:rsidRPr="00BB539D" w:rsidRDefault="006B67BA" w:rsidP="00787D2E">
      <w:pPr>
        <w:spacing w:line="360" w:lineRule="auto"/>
        <w:jc w:val="both"/>
        <w:rPr>
          <w:rFonts w:ascii="Arial" w:hAnsi="Arial" w:cs="Arial"/>
          <w:sz w:val="24"/>
          <w:szCs w:val="24"/>
        </w:rPr>
      </w:pPr>
      <w:r w:rsidRPr="00BB539D">
        <w:rPr>
          <w:rFonts w:ascii="Arial" w:hAnsi="Arial" w:cs="Arial"/>
          <w:sz w:val="24"/>
          <w:szCs w:val="24"/>
        </w:rPr>
        <w:t>Profitability: The financial statement's measurement of profitability alludes to Marriott International's profitability as a hotel management firm. By analy</w:t>
      </w:r>
      <w:r w:rsidR="00B6470B" w:rsidRPr="00BB539D">
        <w:rPr>
          <w:rFonts w:ascii="Arial" w:hAnsi="Arial" w:cs="Arial"/>
          <w:sz w:val="24"/>
          <w:szCs w:val="24"/>
        </w:rPr>
        <w:t>z</w:t>
      </w:r>
      <w:r w:rsidRPr="00BB539D">
        <w:rPr>
          <w:rFonts w:ascii="Arial" w:hAnsi="Arial" w:cs="Arial"/>
          <w:sz w:val="24"/>
          <w:szCs w:val="24"/>
        </w:rPr>
        <w:t>ing several profit indicating ratios, it is possible to determine a company's capacity for creating profits. </w:t>
      </w:r>
    </w:p>
    <w:p w14:paraId="60257409" w14:textId="3D471F16" w:rsidR="006B67BA" w:rsidRPr="00BB539D" w:rsidRDefault="006B67BA" w:rsidP="00787D2E">
      <w:pPr>
        <w:spacing w:line="360" w:lineRule="auto"/>
        <w:jc w:val="both"/>
        <w:rPr>
          <w:rFonts w:ascii="Arial" w:hAnsi="Arial" w:cs="Arial"/>
          <w:sz w:val="24"/>
          <w:szCs w:val="24"/>
        </w:rPr>
      </w:pPr>
      <w:r w:rsidRPr="00BB539D">
        <w:rPr>
          <w:rFonts w:ascii="Arial" w:hAnsi="Arial" w:cs="Arial"/>
          <w:sz w:val="24"/>
          <w:szCs w:val="24"/>
        </w:rPr>
        <w:t>Expense and Cost control: By comparing ratios across various hotel sector companies and years, distinct cost structures and types of expenditures will be made evident. The hidden pattern cost is known from the comparison and ratio analysis of the financial statement. Therefore, if such ratio analysis data is taken into consideration throughout the decision-making process, the control strategy of such costs and expenditures can be simple.</w:t>
      </w:r>
    </w:p>
    <w:p w14:paraId="6ABC61B9" w14:textId="3B4C060B" w:rsidR="007F67FC" w:rsidRPr="00BB539D" w:rsidRDefault="007F67FC" w:rsidP="00787D2E">
      <w:pPr>
        <w:spacing w:line="360" w:lineRule="auto"/>
        <w:jc w:val="both"/>
        <w:rPr>
          <w:rFonts w:ascii="Arial" w:hAnsi="Arial" w:cs="Arial"/>
          <w:sz w:val="24"/>
          <w:szCs w:val="24"/>
        </w:rPr>
      </w:pPr>
      <w:r w:rsidRPr="00BB539D">
        <w:rPr>
          <w:rFonts w:ascii="Arial" w:hAnsi="Arial" w:cs="Arial"/>
          <w:sz w:val="24"/>
          <w:szCs w:val="24"/>
        </w:rPr>
        <w:t>Future planning and forecasting: Marriott International, Inc.'s financial results have a tendency to trend upward, which aids the corporation in developing an operational and financial strategy for its future operations</w:t>
      </w:r>
      <w:sdt>
        <w:sdtPr>
          <w:rPr>
            <w:rFonts w:ascii="Arial" w:hAnsi="Arial" w:cs="Arial"/>
            <w:sz w:val="24"/>
            <w:szCs w:val="24"/>
          </w:rPr>
          <w:id w:val="1430384204"/>
          <w:citation/>
        </w:sdtPr>
        <w:sdtEndPr/>
        <w:sdtContent>
          <w:r w:rsidR="00944E48">
            <w:rPr>
              <w:rFonts w:ascii="Arial" w:hAnsi="Arial" w:cs="Arial"/>
              <w:sz w:val="24"/>
              <w:szCs w:val="24"/>
            </w:rPr>
            <w:fldChar w:fldCharType="begin"/>
          </w:r>
          <w:r w:rsidR="00944E48">
            <w:rPr>
              <w:rFonts w:ascii="Arial" w:hAnsi="Arial" w:cs="Arial"/>
              <w:sz w:val="24"/>
              <w:szCs w:val="24"/>
            </w:rPr>
            <w:instrText xml:space="preserve"> CITATION Gab19 \l 1033 </w:instrText>
          </w:r>
          <w:r w:rsidR="00944E48">
            <w:rPr>
              <w:rFonts w:ascii="Arial" w:hAnsi="Arial" w:cs="Arial"/>
              <w:sz w:val="24"/>
              <w:szCs w:val="24"/>
            </w:rPr>
            <w:fldChar w:fldCharType="separate"/>
          </w:r>
          <w:r w:rsidR="00944E48">
            <w:rPr>
              <w:rFonts w:ascii="Arial" w:hAnsi="Arial" w:cs="Arial"/>
              <w:noProof/>
              <w:sz w:val="24"/>
              <w:szCs w:val="24"/>
            </w:rPr>
            <w:t xml:space="preserve"> </w:t>
          </w:r>
          <w:r w:rsidR="00944E48" w:rsidRPr="00944E48">
            <w:rPr>
              <w:rFonts w:ascii="Arial" w:hAnsi="Arial" w:cs="Arial"/>
              <w:noProof/>
              <w:sz w:val="24"/>
              <w:szCs w:val="24"/>
            </w:rPr>
            <w:t>(GabrijelaPopovic, 2019)</w:t>
          </w:r>
          <w:r w:rsidR="00944E48">
            <w:rPr>
              <w:rFonts w:ascii="Arial" w:hAnsi="Arial" w:cs="Arial"/>
              <w:sz w:val="24"/>
              <w:szCs w:val="24"/>
            </w:rPr>
            <w:fldChar w:fldCharType="end"/>
          </w:r>
        </w:sdtContent>
      </w:sdt>
      <w:r w:rsidRPr="00BB539D">
        <w:rPr>
          <w:rFonts w:ascii="Arial" w:hAnsi="Arial" w:cs="Arial"/>
          <w:sz w:val="24"/>
          <w:szCs w:val="24"/>
        </w:rPr>
        <w:t xml:space="preserve">. The outlook of the current financial performance opens the door for quantitative forecasting of the expected cost </w:t>
      </w:r>
      <w:proofErr w:type="spellStart"/>
      <w:r w:rsidRPr="00BB539D">
        <w:rPr>
          <w:rFonts w:ascii="Arial" w:hAnsi="Arial" w:cs="Arial"/>
          <w:sz w:val="24"/>
          <w:szCs w:val="24"/>
        </w:rPr>
        <w:t>behaviour</w:t>
      </w:r>
      <w:proofErr w:type="spellEnd"/>
      <w:r w:rsidRPr="00BB539D">
        <w:rPr>
          <w:rFonts w:ascii="Arial" w:hAnsi="Arial" w:cs="Arial"/>
          <w:sz w:val="24"/>
          <w:szCs w:val="24"/>
        </w:rPr>
        <w:t>, liquidity requirements, and solvency position. For a corporation like Marriott, the ratio analysis for such financial data is crucial.</w:t>
      </w:r>
    </w:p>
    <w:p w14:paraId="6C4ADEF6" w14:textId="1656841A" w:rsidR="006B67BA" w:rsidRPr="00BB539D" w:rsidRDefault="007F67FC" w:rsidP="00787D2E">
      <w:pPr>
        <w:spacing w:line="360" w:lineRule="auto"/>
        <w:jc w:val="both"/>
        <w:rPr>
          <w:rFonts w:ascii="Arial" w:hAnsi="Arial" w:cs="Arial"/>
          <w:sz w:val="24"/>
          <w:szCs w:val="24"/>
        </w:rPr>
      </w:pPr>
      <w:r w:rsidRPr="00BB539D">
        <w:rPr>
          <w:rFonts w:ascii="Arial" w:hAnsi="Arial" w:cs="Arial"/>
          <w:sz w:val="24"/>
          <w:szCs w:val="24"/>
        </w:rPr>
        <w:t xml:space="preserve">Decision-making </w:t>
      </w:r>
      <w:proofErr w:type="spellStart"/>
      <w:r w:rsidRPr="00BB539D">
        <w:rPr>
          <w:rFonts w:ascii="Arial" w:hAnsi="Arial" w:cs="Arial"/>
          <w:sz w:val="24"/>
          <w:szCs w:val="24"/>
        </w:rPr>
        <w:t>Decision-making</w:t>
      </w:r>
      <w:proofErr w:type="spellEnd"/>
      <w:r w:rsidRPr="00BB539D">
        <w:rPr>
          <w:rFonts w:ascii="Arial" w:hAnsi="Arial" w:cs="Arial"/>
          <w:sz w:val="24"/>
          <w:szCs w:val="24"/>
        </w:rPr>
        <w:t xml:space="preserve"> will be simple if the financial data related to such decisions is examined by cross-departmental and business peers. This includes loan decisions, financing decisions, liquidity planning, and many other business decisions. Ratio analysis is therefore relevant in this situation.</w:t>
      </w:r>
    </w:p>
    <w:p w14:paraId="47BB3677" w14:textId="4F2E2A07" w:rsidR="007F67FC" w:rsidRPr="00BB539D" w:rsidRDefault="001C7726" w:rsidP="00787D2E">
      <w:pPr>
        <w:spacing w:line="360" w:lineRule="auto"/>
        <w:jc w:val="both"/>
        <w:rPr>
          <w:rFonts w:ascii="Arial" w:hAnsi="Arial" w:cs="Arial"/>
          <w:sz w:val="24"/>
          <w:szCs w:val="24"/>
        </w:rPr>
      </w:pPr>
      <w:r w:rsidRPr="00BB539D">
        <w:rPr>
          <w:rFonts w:ascii="Arial" w:hAnsi="Arial" w:cs="Arial"/>
          <w:sz w:val="24"/>
          <w:szCs w:val="24"/>
        </w:rPr>
        <w:t>Above all, any hotel business will gain from the financial statement information and the information from ratio analysis in the ways we've already covered.</w:t>
      </w:r>
    </w:p>
    <w:p w14:paraId="169B3D1F" w14:textId="77777777" w:rsidR="00A10C59" w:rsidRPr="00BB539D" w:rsidRDefault="00A10C59" w:rsidP="00BB539D">
      <w:pPr>
        <w:pStyle w:val="Heading1"/>
        <w:spacing w:after="240"/>
        <w:rPr>
          <w:rFonts w:ascii="Arial" w:hAnsi="Arial" w:cs="Arial"/>
          <w:sz w:val="28"/>
          <w:szCs w:val="24"/>
        </w:rPr>
      </w:pPr>
      <w:bookmarkStart w:id="7" w:name="_Toc120719275"/>
      <w:r w:rsidRPr="00BB539D">
        <w:rPr>
          <w:rFonts w:ascii="Arial" w:hAnsi="Arial" w:cs="Arial"/>
          <w:sz w:val="28"/>
          <w:szCs w:val="24"/>
        </w:rPr>
        <w:t>Outlining the importance of using the ratio analysis in order to make an effective decision making</w:t>
      </w:r>
      <w:bookmarkEnd w:id="7"/>
    </w:p>
    <w:p w14:paraId="1D446148" w14:textId="77777777" w:rsidR="00A10C59" w:rsidRPr="00BB539D" w:rsidRDefault="00A10C59" w:rsidP="00787D2E">
      <w:pPr>
        <w:spacing w:line="360" w:lineRule="auto"/>
        <w:jc w:val="both"/>
        <w:rPr>
          <w:rFonts w:ascii="Arial" w:hAnsi="Arial" w:cs="Arial"/>
          <w:sz w:val="24"/>
          <w:szCs w:val="24"/>
        </w:rPr>
      </w:pPr>
      <w:r w:rsidRPr="00BB539D">
        <w:rPr>
          <w:rFonts w:ascii="Arial" w:hAnsi="Arial" w:cs="Arial"/>
          <w:sz w:val="24"/>
          <w:szCs w:val="24"/>
        </w:rPr>
        <w:t>Financial ratios are calculated in order to determine how well a company's finances are doing given a specific time period. To ensure a continuous flow in profitability and improved future growth chances, the ratio computation is nevertheless regarded as a crucial component. However, the following paragraphs highlight the significance of the financial ratio:</w:t>
      </w:r>
    </w:p>
    <w:p w14:paraId="390F2F6D" w14:textId="134A3AD9" w:rsidR="00A10C59" w:rsidRPr="00F51BED" w:rsidRDefault="00A10C59" w:rsidP="00787D2E">
      <w:pPr>
        <w:pStyle w:val="ListParagraph"/>
        <w:numPr>
          <w:ilvl w:val="0"/>
          <w:numId w:val="2"/>
        </w:numPr>
        <w:spacing w:line="360" w:lineRule="auto"/>
        <w:jc w:val="both"/>
        <w:rPr>
          <w:rFonts w:ascii="Arial" w:hAnsi="Arial" w:cs="Arial"/>
          <w:sz w:val="24"/>
          <w:szCs w:val="24"/>
        </w:rPr>
      </w:pPr>
      <w:r w:rsidRPr="00F51BED">
        <w:rPr>
          <w:rFonts w:ascii="Arial" w:hAnsi="Arial" w:cs="Arial"/>
          <w:sz w:val="24"/>
          <w:szCs w:val="24"/>
        </w:rPr>
        <w:t>The financial accounts and data must be interpreted for stakeholders of the company. The statistics from the income statement and balance sheet can be interpreted by the corporation with the aid of ratio analysis</w:t>
      </w:r>
      <w:r w:rsidR="00F51BED" w:rsidRPr="00F51BED">
        <w:rPr>
          <w:rFonts w:ascii="Arial" w:hAnsi="Arial" w:cs="Arial"/>
          <w:sz w:val="24"/>
          <w:szCs w:val="24"/>
        </w:rPr>
        <w:t>.</w:t>
      </w:r>
    </w:p>
    <w:p w14:paraId="22C76D38" w14:textId="49DEAFDE" w:rsidR="00F51BED" w:rsidRPr="00F51BED" w:rsidRDefault="00F51BED" w:rsidP="00787D2E">
      <w:pPr>
        <w:pStyle w:val="ListParagraph"/>
        <w:numPr>
          <w:ilvl w:val="0"/>
          <w:numId w:val="2"/>
        </w:numPr>
        <w:spacing w:line="360" w:lineRule="auto"/>
        <w:jc w:val="both"/>
        <w:rPr>
          <w:rFonts w:ascii="Arial" w:hAnsi="Arial" w:cs="Arial"/>
          <w:sz w:val="24"/>
          <w:szCs w:val="24"/>
        </w:rPr>
      </w:pPr>
      <w:r w:rsidRPr="00F51BED">
        <w:rPr>
          <w:rFonts w:ascii="Arial" w:hAnsi="Arial" w:cs="Arial"/>
          <w:sz w:val="24"/>
          <w:szCs w:val="24"/>
        </w:rPr>
        <w:t>With the help of ratio analysis, crucial business decisions can be made. For instance which project the company should invest in or if they have invested then is it being profitable or not.</w:t>
      </w:r>
    </w:p>
    <w:p w14:paraId="407E20E3" w14:textId="77777777" w:rsidR="00F85EBE" w:rsidRPr="00BB539D" w:rsidRDefault="00F85EBE" w:rsidP="00787D2E">
      <w:pPr>
        <w:pStyle w:val="ListParagraph"/>
        <w:numPr>
          <w:ilvl w:val="0"/>
          <w:numId w:val="2"/>
        </w:numPr>
        <w:spacing w:line="360" w:lineRule="auto"/>
        <w:jc w:val="both"/>
        <w:rPr>
          <w:rFonts w:ascii="Arial" w:hAnsi="Arial" w:cs="Arial"/>
          <w:sz w:val="24"/>
          <w:szCs w:val="24"/>
        </w:rPr>
      </w:pPr>
      <w:r w:rsidRPr="00BB539D">
        <w:rPr>
          <w:rFonts w:ascii="Arial" w:hAnsi="Arial" w:cs="Arial"/>
          <w:sz w:val="24"/>
          <w:szCs w:val="24"/>
        </w:rPr>
        <w:t>Comparing each firm's strengths and weaknesses is the main application of ratio analysis. In order to determine if the company has advanced, the ratios can be put side by side with the firm's prior ratio.</w:t>
      </w:r>
    </w:p>
    <w:p w14:paraId="45051D36" w14:textId="0D6D2E08" w:rsidR="002C0DB6" w:rsidRPr="00BB539D" w:rsidRDefault="00F85EBE" w:rsidP="00787D2E">
      <w:pPr>
        <w:pStyle w:val="ListParagraph"/>
        <w:numPr>
          <w:ilvl w:val="0"/>
          <w:numId w:val="2"/>
        </w:numPr>
        <w:spacing w:line="360" w:lineRule="auto"/>
        <w:jc w:val="both"/>
        <w:rPr>
          <w:rFonts w:ascii="Arial" w:hAnsi="Arial" w:cs="Arial"/>
          <w:sz w:val="24"/>
          <w:szCs w:val="24"/>
        </w:rPr>
      </w:pPr>
      <w:r w:rsidRPr="00BB539D">
        <w:rPr>
          <w:rFonts w:ascii="Arial" w:hAnsi="Arial" w:cs="Arial"/>
          <w:sz w:val="24"/>
          <w:szCs w:val="24"/>
        </w:rPr>
        <w:t>Evaluation of productivity and compensation system improvement may be feasible if the percentage of monetary data paints a clear understanding of financial actions.</w:t>
      </w:r>
    </w:p>
    <w:p w14:paraId="722B343A" w14:textId="77777777" w:rsidR="00F85EBE" w:rsidRPr="00BB539D" w:rsidRDefault="00F85EBE" w:rsidP="00787D2E">
      <w:pPr>
        <w:pStyle w:val="ListParagraph"/>
        <w:numPr>
          <w:ilvl w:val="0"/>
          <w:numId w:val="2"/>
        </w:numPr>
        <w:spacing w:line="360" w:lineRule="auto"/>
        <w:jc w:val="both"/>
        <w:rPr>
          <w:rFonts w:ascii="Arial" w:hAnsi="Arial" w:cs="Arial"/>
          <w:sz w:val="24"/>
          <w:szCs w:val="24"/>
        </w:rPr>
      </w:pPr>
      <w:r w:rsidRPr="00BB539D">
        <w:rPr>
          <w:rFonts w:ascii="Arial" w:hAnsi="Arial" w:cs="Arial"/>
          <w:sz w:val="24"/>
          <w:szCs w:val="24"/>
        </w:rPr>
        <w:t>If Marriott International's proportion evaluation offers fully prepared data for budgeting, several budgets for organizational processes are made based on expected needs.</w:t>
      </w:r>
    </w:p>
    <w:p w14:paraId="7E7F97D1" w14:textId="77777777" w:rsidR="00F85EBE" w:rsidRPr="00BB539D" w:rsidRDefault="00F85EBE" w:rsidP="00787D2E">
      <w:pPr>
        <w:pStyle w:val="ListParagraph"/>
        <w:numPr>
          <w:ilvl w:val="0"/>
          <w:numId w:val="2"/>
        </w:numPr>
        <w:spacing w:line="360" w:lineRule="auto"/>
        <w:jc w:val="both"/>
        <w:rPr>
          <w:rFonts w:ascii="Arial" w:hAnsi="Arial" w:cs="Arial"/>
          <w:sz w:val="24"/>
          <w:szCs w:val="24"/>
        </w:rPr>
      </w:pPr>
      <w:r w:rsidRPr="00BB539D">
        <w:rPr>
          <w:rFonts w:ascii="Arial" w:hAnsi="Arial" w:cs="Arial"/>
          <w:sz w:val="24"/>
          <w:szCs w:val="24"/>
        </w:rPr>
        <w:t>One who benefits from financial data can make the relationship between various accounting statistics and results simpler by using various ratios.</w:t>
      </w:r>
    </w:p>
    <w:p w14:paraId="7FF02BC7" w14:textId="556A513A" w:rsidR="00F85EBE" w:rsidRPr="00BB539D" w:rsidRDefault="00F85EBE" w:rsidP="00787D2E">
      <w:pPr>
        <w:pStyle w:val="ListParagraph"/>
        <w:numPr>
          <w:ilvl w:val="0"/>
          <w:numId w:val="2"/>
        </w:numPr>
        <w:spacing w:line="360" w:lineRule="auto"/>
        <w:jc w:val="both"/>
        <w:rPr>
          <w:rFonts w:ascii="Arial" w:hAnsi="Arial" w:cs="Arial"/>
          <w:sz w:val="24"/>
          <w:szCs w:val="24"/>
        </w:rPr>
      </w:pPr>
      <w:r w:rsidRPr="00BB539D">
        <w:rPr>
          <w:rFonts w:ascii="Arial" w:hAnsi="Arial" w:cs="Arial"/>
          <w:sz w:val="24"/>
          <w:szCs w:val="24"/>
        </w:rPr>
        <w:t>Redesigning pay policies and performance evaluations may be possible if the ratio analysis of financial data provides a clear picture of the financial behaviors.</w:t>
      </w:r>
    </w:p>
    <w:p w14:paraId="3BCC5F10" w14:textId="77777777" w:rsidR="00F85EBE" w:rsidRPr="00BB539D" w:rsidRDefault="00F85EBE" w:rsidP="00787D2E">
      <w:pPr>
        <w:pStyle w:val="ListParagraph"/>
        <w:numPr>
          <w:ilvl w:val="0"/>
          <w:numId w:val="2"/>
        </w:numPr>
        <w:spacing w:line="360" w:lineRule="auto"/>
        <w:jc w:val="both"/>
        <w:rPr>
          <w:rFonts w:ascii="Arial" w:hAnsi="Arial" w:cs="Arial"/>
          <w:sz w:val="24"/>
          <w:szCs w:val="24"/>
        </w:rPr>
      </w:pPr>
      <w:r w:rsidRPr="00BB539D">
        <w:rPr>
          <w:rFonts w:ascii="Arial" w:hAnsi="Arial" w:cs="Arial"/>
          <w:sz w:val="24"/>
          <w:szCs w:val="24"/>
        </w:rPr>
        <w:t>Financial ratio analysis will make it easier to understand the entire financial and operational situation and performance of a company.</w:t>
      </w:r>
    </w:p>
    <w:p w14:paraId="308BB243" w14:textId="2080A5EF" w:rsidR="00F85EBE" w:rsidRPr="00BB539D" w:rsidRDefault="00F85EBE" w:rsidP="00787D2E">
      <w:pPr>
        <w:pStyle w:val="ListParagraph"/>
        <w:numPr>
          <w:ilvl w:val="0"/>
          <w:numId w:val="2"/>
        </w:numPr>
        <w:spacing w:line="360" w:lineRule="auto"/>
        <w:jc w:val="both"/>
        <w:rPr>
          <w:rFonts w:ascii="Arial" w:hAnsi="Arial" w:cs="Arial"/>
          <w:sz w:val="24"/>
          <w:szCs w:val="24"/>
        </w:rPr>
      </w:pPr>
      <w:r w:rsidRPr="00BB539D">
        <w:rPr>
          <w:rFonts w:ascii="Arial" w:hAnsi="Arial" w:cs="Arial"/>
          <w:sz w:val="24"/>
          <w:szCs w:val="24"/>
        </w:rPr>
        <w:t>The financial position can be compared by business organi</w:t>
      </w:r>
      <w:r w:rsidR="00B6470B" w:rsidRPr="00BB539D">
        <w:rPr>
          <w:rFonts w:ascii="Arial" w:hAnsi="Arial" w:cs="Arial"/>
          <w:sz w:val="24"/>
          <w:szCs w:val="24"/>
        </w:rPr>
        <w:t>z</w:t>
      </w:r>
      <w:r w:rsidRPr="00BB539D">
        <w:rPr>
          <w:rFonts w:ascii="Arial" w:hAnsi="Arial" w:cs="Arial"/>
          <w:sz w:val="24"/>
          <w:szCs w:val="24"/>
        </w:rPr>
        <w:t>ations using ratio analysis in order to assess financial performance over a range of years.</w:t>
      </w:r>
    </w:p>
    <w:p w14:paraId="12ECE6DF" w14:textId="77777777" w:rsidR="007128F1" w:rsidRPr="00BB539D" w:rsidRDefault="007128F1" w:rsidP="00BB539D">
      <w:pPr>
        <w:pStyle w:val="Heading1"/>
        <w:rPr>
          <w:rFonts w:ascii="Arial" w:hAnsi="Arial" w:cs="Arial"/>
          <w:sz w:val="28"/>
          <w:szCs w:val="24"/>
        </w:rPr>
      </w:pPr>
      <w:bookmarkStart w:id="8" w:name="_Toc120719276"/>
      <w:r w:rsidRPr="00BB539D">
        <w:rPr>
          <w:rFonts w:ascii="Arial" w:hAnsi="Arial" w:cs="Arial"/>
          <w:sz w:val="28"/>
          <w:szCs w:val="24"/>
        </w:rPr>
        <w:t>Limitation of ratio analysis</w:t>
      </w:r>
      <w:bookmarkEnd w:id="8"/>
    </w:p>
    <w:p w14:paraId="3DE33215" w14:textId="53331932" w:rsidR="00F51BED" w:rsidRDefault="00F51BED" w:rsidP="00F51BED">
      <w:pPr>
        <w:pStyle w:val="ListParagraph"/>
        <w:numPr>
          <w:ilvl w:val="0"/>
          <w:numId w:val="1"/>
        </w:numPr>
        <w:spacing w:line="360" w:lineRule="auto"/>
        <w:jc w:val="both"/>
        <w:rPr>
          <w:rFonts w:ascii="Arial" w:hAnsi="Arial" w:cs="Arial"/>
          <w:sz w:val="24"/>
          <w:szCs w:val="24"/>
        </w:rPr>
      </w:pPr>
      <w:r w:rsidRPr="00F51BED">
        <w:rPr>
          <w:rFonts w:ascii="Arial" w:hAnsi="Arial" w:cs="Arial"/>
          <w:sz w:val="24"/>
          <w:szCs w:val="24"/>
        </w:rPr>
        <w:t>Ratio analysis needs to be understood in the perspective of the business world as a whole. 60 days of sale that are outstanding as receivables may be perceived unfavorable at a time of high sales gr</w:t>
      </w:r>
      <w:r>
        <w:rPr>
          <w:rFonts w:ascii="Arial" w:hAnsi="Arial" w:cs="Arial"/>
          <w:sz w:val="24"/>
          <w:szCs w:val="24"/>
        </w:rPr>
        <w:t>owth, but it may be viewed favo</w:t>
      </w:r>
      <w:r w:rsidRPr="00F51BED">
        <w:rPr>
          <w:rFonts w:ascii="Arial" w:hAnsi="Arial" w:cs="Arial"/>
          <w:sz w:val="24"/>
          <w:szCs w:val="24"/>
        </w:rPr>
        <w:t>rably during an economic down</w:t>
      </w:r>
      <w:r>
        <w:rPr>
          <w:rFonts w:ascii="Arial" w:hAnsi="Arial" w:cs="Arial"/>
          <w:sz w:val="24"/>
          <w:szCs w:val="24"/>
        </w:rPr>
        <w:t xml:space="preserve"> </w:t>
      </w:r>
      <w:r w:rsidRPr="00F51BED">
        <w:rPr>
          <w:rFonts w:ascii="Arial" w:hAnsi="Arial" w:cs="Arial"/>
          <w:sz w:val="24"/>
          <w:szCs w:val="24"/>
        </w:rPr>
        <w:t>turn.</w:t>
      </w:r>
    </w:p>
    <w:p w14:paraId="057FCD20" w14:textId="500533F5" w:rsidR="007128F1" w:rsidRPr="00BB539D" w:rsidRDefault="00DE3B7E" w:rsidP="00F51BED">
      <w:pPr>
        <w:pStyle w:val="ListParagraph"/>
        <w:numPr>
          <w:ilvl w:val="0"/>
          <w:numId w:val="1"/>
        </w:numPr>
        <w:spacing w:line="360" w:lineRule="auto"/>
        <w:jc w:val="both"/>
        <w:rPr>
          <w:rFonts w:ascii="Arial" w:hAnsi="Arial" w:cs="Arial"/>
          <w:sz w:val="24"/>
          <w:szCs w:val="24"/>
        </w:rPr>
      </w:pPr>
      <w:r w:rsidRPr="00BB539D">
        <w:rPr>
          <w:rFonts w:ascii="Arial" w:hAnsi="Arial" w:cs="Arial"/>
          <w:sz w:val="24"/>
          <w:szCs w:val="24"/>
        </w:rPr>
        <w:t>Even if ratio analysis is a useful tool for comparing the performance of two businesses, for effective results, the two must belong to the same sector. When doing ratio analysis, comparison criteria should be similar. The ratios would be useless otherwise</w:t>
      </w:r>
      <w:sdt>
        <w:sdtPr>
          <w:rPr>
            <w:rFonts w:ascii="Arial" w:hAnsi="Arial" w:cs="Arial"/>
            <w:sz w:val="24"/>
            <w:szCs w:val="24"/>
          </w:rPr>
          <w:id w:val="437487626"/>
          <w:citation/>
        </w:sdtPr>
        <w:sdtEndPr/>
        <w:sdtContent>
          <w:r w:rsidR="0039541E">
            <w:rPr>
              <w:rFonts w:ascii="Arial" w:hAnsi="Arial" w:cs="Arial"/>
              <w:sz w:val="24"/>
              <w:szCs w:val="24"/>
            </w:rPr>
            <w:fldChar w:fldCharType="begin"/>
          </w:r>
          <w:r w:rsidR="0039541E">
            <w:rPr>
              <w:rFonts w:ascii="Arial" w:hAnsi="Arial" w:cs="Arial"/>
              <w:sz w:val="24"/>
              <w:szCs w:val="24"/>
            </w:rPr>
            <w:instrText xml:space="preserve"> CITATION Ros22 \l 1033 </w:instrText>
          </w:r>
          <w:r w:rsidR="0039541E">
            <w:rPr>
              <w:rFonts w:ascii="Arial" w:hAnsi="Arial" w:cs="Arial"/>
              <w:sz w:val="24"/>
              <w:szCs w:val="24"/>
            </w:rPr>
            <w:fldChar w:fldCharType="separate"/>
          </w:r>
          <w:r w:rsidR="0039541E">
            <w:rPr>
              <w:rFonts w:ascii="Arial" w:hAnsi="Arial" w:cs="Arial"/>
              <w:noProof/>
              <w:sz w:val="24"/>
              <w:szCs w:val="24"/>
            </w:rPr>
            <w:t xml:space="preserve"> </w:t>
          </w:r>
          <w:r w:rsidR="0039541E" w:rsidRPr="0039541E">
            <w:rPr>
              <w:rFonts w:ascii="Arial" w:hAnsi="Arial" w:cs="Arial"/>
              <w:noProof/>
              <w:sz w:val="24"/>
              <w:szCs w:val="24"/>
            </w:rPr>
            <w:t>(Carlson, 2022)</w:t>
          </w:r>
          <w:r w:rsidR="0039541E">
            <w:rPr>
              <w:rFonts w:ascii="Arial" w:hAnsi="Arial" w:cs="Arial"/>
              <w:sz w:val="24"/>
              <w:szCs w:val="24"/>
            </w:rPr>
            <w:fldChar w:fldCharType="end"/>
          </w:r>
        </w:sdtContent>
      </w:sdt>
      <w:r w:rsidRPr="00BB539D">
        <w:rPr>
          <w:rFonts w:ascii="Arial" w:hAnsi="Arial" w:cs="Arial"/>
          <w:sz w:val="24"/>
          <w:szCs w:val="24"/>
        </w:rPr>
        <w:t>. Finding a really relevant benchmark against which to compare data from the two business statements is challenging. Despite the fact that the industry averages might be used as a baseline, they are not always available.</w:t>
      </w:r>
    </w:p>
    <w:p w14:paraId="19D439E8" w14:textId="77777777" w:rsidR="00AC6ABD" w:rsidRDefault="00AC6ABD" w:rsidP="00787D2E">
      <w:pPr>
        <w:pStyle w:val="ListParagraph"/>
        <w:numPr>
          <w:ilvl w:val="0"/>
          <w:numId w:val="1"/>
        </w:numPr>
        <w:spacing w:line="360" w:lineRule="auto"/>
        <w:jc w:val="both"/>
        <w:rPr>
          <w:rFonts w:ascii="Arial" w:hAnsi="Arial" w:cs="Arial"/>
          <w:sz w:val="24"/>
          <w:szCs w:val="24"/>
        </w:rPr>
      </w:pPr>
      <w:r w:rsidRPr="00BB539D">
        <w:rPr>
          <w:rFonts w:ascii="Arial" w:hAnsi="Arial" w:cs="Arial"/>
          <w:sz w:val="24"/>
          <w:szCs w:val="24"/>
        </w:rPr>
        <w:t>The majority of financial information is created using knowledge and data from the past. As a result, the ratio measures tend to follow historical trends. Ratio analysis is not capable of predicting the future.</w:t>
      </w:r>
    </w:p>
    <w:p w14:paraId="6177AA03" w14:textId="77777777" w:rsidR="00E10A75" w:rsidRPr="00E10A75" w:rsidRDefault="00E10A75" w:rsidP="00E10A75">
      <w:pPr>
        <w:pStyle w:val="ListParagraph"/>
        <w:numPr>
          <w:ilvl w:val="0"/>
          <w:numId w:val="1"/>
        </w:numPr>
        <w:spacing w:line="360" w:lineRule="auto"/>
        <w:jc w:val="both"/>
        <w:rPr>
          <w:rFonts w:ascii="Arial" w:hAnsi="Arial" w:cs="Arial"/>
          <w:sz w:val="24"/>
          <w:szCs w:val="24"/>
        </w:rPr>
      </w:pPr>
      <w:r w:rsidRPr="00E10A75">
        <w:rPr>
          <w:rFonts w:ascii="Arial" w:hAnsi="Arial" w:cs="Arial"/>
          <w:sz w:val="24"/>
          <w:szCs w:val="24"/>
        </w:rPr>
        <w:t>Running a ratio analysis on a trend line does not evaluate the same data over the whole trend period since the data in the financial statement line item under consideration for the ratio analysis may have been consolidated in a different way previously.</w:t>
      </w:r>
    </w:p>
    <w:p w14:paraId="708F3521" w14:textId="3A687A24" w:rsidR="00E10A75" w:rsidRPr="00BB539D" w:rsidRDefault="00E10A75" w:rsidP="00E10A75">
      <w:pPr>
        <w:pStyle w:val="ListParagraph"/>
        <w:numPr>
          <w:ilvl w:val="0"/>
          <w:numId w:val="1"/>
        </w:numPr>
        <w:spacing w:line="360" w:lineRule="auto"/>
        <w:jc w:val="both"/>
        <w:rPr>
          <w:rFonts w:ascii="Arial" w:hAnsi="Arial" w:cs="Arial"/>
          <w:sz w:val="24"/>
          <w:szCs w:val="24"/>
        </w:rPr>
      </w:pPr>
      <w:r w:rsidRPr="00E10A75">
        <w:rPr>
          <w:rFonts w:ascii="Arial" w:hAnsi="Arial" w:cs="Arial"/>
          <w:sz w:val="24"/>
          <w:szCs w:val="24"/>
        </w:rPr>
        <w:t>Analysts must be cautious of seasonal factors that m</w:t>
      </w:r>
      <w:r>
        <w:rPr>
          <w:rFonts w:ascii="Arial" w:hAnsi="Arial" w:cs="Arial"/>
          <w:sz w:val="24"/>
          <w:szCs w:val="24"/>
        </w:rPr>
        <w:t>ay limit ratio analysis. If the</w:t>
      </w:r>
      <w:r w:rsidRPr="00E10A75">
        <w:rPr>
          <w:rFonts w:ascii="Arial" w:hAnsi="Arial" w:cs="Arial"/>
          <w:sz w:val="24"/>
          <w:szCs w:val="24"/>
        </w:rPr>
        <w:t> analysis is not modified for seasonality, the outcomes of the analysis may be misinterpreted.</w:t>
      </w:r>
    </w:p>
    <w:p w14:paraId="663B65FE" w14:textId="72473903" w:rsidR="00BB539D" w:rsidRDefault="00BB539D" w:rsidP="00BB539D">
      <w:pPr>
        <w:pStyle w:val="Heading1"/>
        <w:spacing w:line="360" w:lineRule="auto"/>
        <w:jc w:val="both"/>
        <w:rPr>
          <w:rFonts w:ascii="Arial" w:hAnsi="Arial" w:cs="Arial"/>
          <w:sz w:val="28"/>
          <w:szCs w:val="24"/>
        </w:rPr>
      </w:pPr>
      <w:bookmarkStart w:id="9" w:name="_Toc120719277"/>
      <w:r w:rsidRPr="00BB539D">
        <w:rPr>
          <w:rFonts w:ascii="Arial" w:hAnsi="Arial" w:cs="Arial"/>
          <w:sz w:val="28"/>
          <w:szCs w:val="24"/>
        </w:rPr>
        <w:t>Conclusion</w:t>
      </w:r>
      <w:bookmarkEnd w:id="9"/>
    </w:p>
    <w:p w14:paraId="31632F90" w14:textId="7568F2C6" w:rsidR="00BB539D" w:rsidRDefault="00B30A50" w:rsidP="00B30A50">
      <w:pPr>
        <w:spacing w:line="360" w:lineRule="auto"/>
        <w:jc w:val="both"/>
        <w:rPr>
          <w:rFonts w:ascii="Arial" w:hAnsi="Arial" w:cs="Arial"/>
          <w:sz w:val="24"/>
          <w:szCs w:val="24"/>
        </w:rPr>
      </w:pPr>
      <w:r w:rsidRPr="00B30A50">
        <w:rPr>
          <w:rFonts w:ascii="Arial" w:hAnsi="Arial" w:cs="Arial"/>
          <w:sz w:val="24"/>
          <w:szCs w:val="24"/>
        </w:rPr>
        <w:t>According to an examination of Marriott's financial results, the company did far better in 2021 than it did in 2020, but there are still certain areas where it can improve and expand in the future. The operational expenses and costs need to be tracked and managed. Moreover, non-operational costs and financial costs shouldn't be given more attention because they are offset by significantly higher profits</w:t>
      </w:r>
      <w:sdt>
        <w:sdtPr>
          <w:rPr>
            <w:rFonts w:ascii="Arial" w:hAnsi="Arial" w:cs="Arial"/>
            <w:sz w:val="24"/>
            <w:szCs w:val="24"/>
          </w:rPr>
          <w:id w:val="-1820727037"/>
          <w:citation/>
        </w:sdtPr>
        <w:sdtEndPr/>
        <w:sdtContent>
          <w:r w:rsidR="00944E48">
            <w:rPr>
              <w:rFonts w:ascii="Arial" w:hAnsi="Arial" w:cs="Arial"/>
              <w:sz w:val="24"/>
              <w:szCs w:val="24"/>
            </w:rPr>
            <w:fldChar w:fldCharType="begin"/>
          </w:r>
          <w:r w:rsidR="00944E48">
            <w:rPr>
              <w:rFonts w:ascii="Arial" w:hAnsi="Arial" w:cs="Arial"/>
              <w:sz w:val="24"/>
              <w:szCs w:val="24"/>
            </w:rPr>
            <w:instrText xml:space="preserve"> CITATION Ser19 \l 1033 </w:instrText>
          </w:r>
          <w:r w:rsidR="00944E48">
            <w:rPr>
              <w:rFonts w:ascii="Arial" w:hAnsi="Arial" w:cs="Arial"/>
              <w:sz w:val="24"/>
              <w:szCs w:val="24"/>
            </w:rPr>
            <w:fldChar w:fldCharType="separate"/>
          </w:r>
          <w:r w:rsidR="00944E48">
            <w:rPr>
              <w:rFonts w:ascii="Arial" w:hAnsi="Arial" w:cs="Arial"/>
              <w:noProof/>
              <w:sz w:val="24"/>
              <w:szCs w:val="24"/>
            </w:rPr>
            <w:t xml:space="preserve"> </w:t>
          </w:r>
          <w:r w:rsidR="00944E48" w:rsidRPr="00944E48">
            <w:rPr>
              <w:rFonts w:ascii="Arial" w:hAnsi="Arial" w:cs="Arial"/>
              <w:noProof/>
              <w:sz w:val="24"/>
              <w:szCs w:val="24"/>
            </w:rPr>
            <w:t>(Hilkevics, 2019)</w:t>
          </w:r>
          <w:r w:rsidR="00944E48">
            <w:rPr>
              <w:rFonts w:ascii="Arial" w:hAnsi="Arial" w:cs="Arial"/>
              <w:sz w:val="24"/>
              <w:szCs w:val="24"/>
            </w:rPr>
            <w:fldChar w:fldCharType="end"/>
          </w:r>
        </w:sdtContent>
      </w:sdt>
      <w:r w:rsidRPr="00B30A50">
        <w:rPr>
          <w:rFonts w:ascii="Arial" w:hAnsi="Arial" w:cs="Arial"/>
          <w:sz w:val="24"/>
          <w:szCs w:val="24"/>
        </w:rPr>
        <w:t>. As there is more potential, sales should be raised by implementing an effective product promotion plan combined with cost management practices. Lastly, the debt servicing process and procedure need to be given more attention.</w:t>
      </w:r>
    </w:p>
    <w:bookmarkStart w:id="10" w:name="_Toc120719278" w:displacedByCustomXml="next"/>
    <w:sdt>
      <w:sdtPr>
        <w:rPr>
          <w:rFonts w:asciiTheme="minorHAnsi" w:eastAsiaTheme="minorHAnsi" w:hAnsiTheme="minorHAnsi" w:cstheme="minorBidi"/>
          <w:b w:val="0"/>
          <w:color w:val="auto"/>
          <w:sz w:val="22"/>
        </w:rPr>
        <w:id w:val="302889627"/>
        <w:docPartObj>
          <w:docPartGallery w:val="Bibliographies"/>
          <w:docPartUnique/>
        </w:docPartObj>
      </w:sdtPr>
      <w:sdtEndPr/>
      <w:sdtContent>
        <w:p w14:paraId="224FB91A" w14:textId="6F07604F" w:rsidR="0039541E" w:rsidRDefault="0039541E">
          <w:pPr>
            <w:pStyle w:val="Heading1"/>
          </w:pPr>
          <w:r>
            <w:t>References</w:t>
          </w:r>
          <w:bookmarkEnd w:id="10"/>
        </w:p>
        <w:sdt>
          <w:sdtPr>
            <w:id w:val="-573587230"/>
            <w:bibliography/>
          </w:sdtPr>
          <w:sdtEndPr/>
          <w:sdtContent>
            <w:p w14:paraId="72BEB65B" w14:textId="77777777" w:rsidR="0039541E" w:rsidRDefault="0039541E" w:rsidP="0039541E">
              <w:pPr>
                <w:pStyle w:val="Bibliography"/>
                <w:rPr>
                  <w:noProof/>
                  <w:sz w:val="24"/>
                  <w:szCs w:val="24"/>
                </w:rPr>
              </w:pPr>
              <w:r>
                <w:fldChar w:fldCharType="begin"/>
              </w:r>
              <w:r>
                <w:instrText xml:space="preserve"> BIBLIOGRAPHY </w:instrText>
              </w:r>
              <w:r>
                <w:fldChar w:fldCharType="separate"/>
              </w:r>
              <w:r>
                <w:rPr>
                  <w:noProof/>
                </w:rPr>
                <w:t xml:space="preserve">Banerjee, P., 2022. </w:t>
              </w:r>
              <w:r>
                <w:rPr>
                  <w:i/>
                  <w:iCs/>
                  <w:noProof/>
                </w:rPr>
                <w:t xml:space="preserve">Importance of Ratio Analysis. </w:t>
              </w:r>
              <w:r>
                <w:rPr>
                  <w:noProof/>
                </w:rPr>
                <w:t xml:space="preserve">[Online] </w:t>
              </w:r>
              <w:r>
                <w:rPr>
                  <w:noProof/>
                </w:rPr>
                <w:br/>
                <w:t xml:space="preserve">Available at: </w:t>
              </w:r>
              <w:r>
                <w:rPr>
                  <w:noProof/>
                  <w:u w:val="single"/>
                </w:rPr>
                <w:t>https://www.wallstreetmojo.com/importance-of-ratio-analysis/</w:t>
              </w:r>
              <w:r>
                <w:rPr>
                  <w:noProof/>
                </w:rPr>
                <w:br/>
                <w:t>[Accessed 29 11 2022].</w:t>
              </w:r>
            </w:p>
            <w:p w14:paraId="1966B892" w14:textId="77777777" w:rsidR="0039541E" w:rsidRDefault="0039541E" w:rsidP="0039541E">
              <w:pPr>
                <w:pStyle w:val="Bibliography"/>
                <w:rPr>
                  <w:noProof/>
                </w:rPr>
              </w:pPr>
              <w:r>
                <w:rPr>
                  <w:noProof/>
                </w:rPr>
                <w:t xml:space="preserve">Carlson, R., 2022. </w:t>
              </w:r>
              <w:r>
                <w:rPr>
                  <w:i/>
                  <w:iCs/>
                  <w:noProof/>
                </w:rPr>
                <w:t xml:space="preserve">6 Limitations of Using Financial Ratio Analysis. </w:t>
              </w:r>
              <w:r>
                <w:rPr>
                  <w:noProof/>
                </w:rPr>
                <w:t xml:space="preserve">[Online] </w:t>
              </w:r>
              <w:r>
                <w:rPr>
                  <w:noProof/>
                </w:rPr>
                <w:br/>
                <w:t xml:space="preserve">Available at: </w:t>
              </w:r>
              <w:r>
                <w:rPr>
                  <w:noProof/>
                  <w:u w:val="single"/>
                </w:rPr>
                <w:t>https://www.thebalancemoney.com/limitations-of-financial-ratio-analysis-393236</w:t>
              </w:r>
              <w:r>
                <w:rPr>
                  <w:noProof/>
                </w:rPr>
                <w:br/>
                <w:t>[Accessed 30 11 2022].</w:t>
              </w:r>
            </w:p>
            <w:p w14:paraId="14C38817" w14:textId="77777777" w:rsidR="0039541E" w:rsidRDefault="0039541E" w:rsidP="0039541E">
              <w:pPr>
                <w:pStyle w:val="Bibliography"/>
                <w:rPr>
                  <w:noProof/>
                </w:rPr>
              </w:pPr>
              <w:r>
                <w:rPr>
                  <w:noProof/>
                </w:rPr>
                <w:t xml:space="preserve">FERNANDO, J., 2022. </w:t>
              </w:r>
              <w:r>
                <w:rPr>
                  <w:i/>
                  <w:iCs/>
                  <w:noProof/>
                </w:rPr>
                <w:t xml:space="preserve">What Is the Current Ratio?. </w:t>
              </w:r>
              <w:r>
                <w:rPr>
                  <w:noProof/>
                </w:rPr>
                <w:t xml:space="preserve">[Online] </w:t>
              </w:r>
              <w:r>
                <w:rPr>
                  <w:noProof/>
                </w:rPr>
                <w:br/>
                <w:t xml:space="preserve">Available at: </w:t>
              </w:r>
              <w:r>
                <w:rPr>
                  <w:noProof/>
                  <w:u w:val="single"/>
                </w:rPr>
                <w:t>https://www.investopedia.com/terms/c/currentratio.asp</w:t>
              </w:r>
              <w:r>
                <w:rPr>
                  <w:noProof/>
                </w:rPr>
                <w:br/>
                <w:t>[Accessed 29 11 2022].</w:t>
              </w:r>
            </w:p>
            <w:p w14:paraId="2C48A609" w14:textId="77777777" w:rsidR="0039541E" w:rsidRDefault="0039541E" w:rsidP="0039541E">
              <w:pPr>
                <w:pStyle w:val="Bibliography"/>
                <w:rPr>
                  <w:noProof/>
                </w:rPr>
              </w:pPr>
              <w:r>
                <w:rPr>
                  <w:noProof/>
                </w:rPr>
                <w:t xml:space="preserve">fundamentals, 2022. </w:t>
              </w:r>
              <w:r>
                <w:rPr>
                  <w:i/>
                  <w:iCs/>
                  <w:noProof/>
                </w:rPr>
                <w:t xml:space="preserve">Negative Return on Assets: Causes and Meaning. </w:t>
              </w:r>
              <w:r>
                <w:rPr>
                  <w:noProof/>
                </w:rPr>
                <w:t xml:space="preserve">[Online] </w:t>
              </w:r>
              <w:r>
                <w:rPr>
                  <w:noProof/>
                </w:rPr>
                <w:br/>
                <w:t xml:space="preserve">Available at: </w:t>
              </w:r>
              <w:r>
                <w:rPr>
                  <w:noProof/>
                  <w:u w:val="single"/>
                </w:rPr>
                <w:t>https://cliffcore.com/negative-return-on-assets-causes-and-meaning/</w:t>
              </w:r>
              <w:r>
                <w:rPr>
                  <w:noProof/>
                </w:rPr>
                <w:br/>
                <w:t>[Accessed 28 11 2022].</w:t>
              </w:r>
            </w:p>
            <w:p w14:paraId="7A166C46" w14:textId="77777777" w:rsidR="0039541E" w:rsidRDefault="0039541E" w:rsidP="0039541E">
              <w:pPr>
                <w:pStyle w:val="Bibliography"/>
                <w:rPr>
                  <w:noProof/>
                </w:rPr>
              </w:pPr>
              <w:r>
                <w:rPr>
                  <w:noProof/>
                </w:rPr>
                <w:t xml:space="preserve">GabrijelaPopovic, 2019. A multiple-criteria decision-making model for the selection of a hotel location. </w:t>
              </w:r>
              <w:r>
                <w:rPr>
                  <w:i/>
                  <w:iCs/>
                  <w:noProof/>
                </w:rPr>
                <w:t xml:space="preserve">Land Use Policy, </w:t>
              </w:r>
              <w:r>
                <w:rPr>
                  <w:noProof/>
                </w:rPr>
                <w:t>Volume 84, pp. 49-58.</w:t>
              </w:r>
            </w:p>
            <w:p w14:paraId="4944C4CC" w14:textId="77777777" w:rsidR="0039541E" w:rsidRDefault="0039541E" w:rsidP="0039541E">
              <w:pPr>
                <w:pStyle w:val="Bibliography"/>
                <w:rPr>
                  <w:noProof/>
                </w:rPr>
              </w:pPr>
              <w:r>
                <w:rPr>
                  <w:noProof/>
                </w:rPr>
                <w:t xml:space="preserve">GRZEGORZEK, J., 2022. </w:t>
              </w:r>
              <w:r>
                <w:rPr>
                  <w:i/>
                  <w:iCs/>
                  <w:noProof/>
                </w:rPr>
                <w:t xml:space="preserve">Efficiency Ratios: Debtor Days. </w:t>
              </w:r>
              <w:r>
                <w:rPr>
                  <w:noProof/>
                </w:rPr>
                <w:t xml:space="preserve">[Online] </w:t>
              </w:r>
              <w:r>
                <w:rPr>
                  <w:noProof/>
                </w:rPr>
                <w:br/>
                <w:t xml:space="preserve">Available at: </w:t>
              </w:r>
              <w:r>
                <w:rPr>
                  <w:noProof/>
                  <w:u w:val="single"/>
                </w:rPr>
                <w:t>https://www.superbusinessmanager.com/efficiency-ratios-debtor-days/</w:t>
              </w:r>
              <w:r>
                <w:rPr>
                  <w:noProof/>
                </w:rPr>
                <w:br/>
                <w:t>[Accessed 29 11 2022].</w:t>
              </w:r>
            </w:p>
            <w:p w14:paraId="6E3E9A40" w14:textId="77777777" w:rsidR="0039541E" w:rsidRDefault="0039541E" w:rsidP="0039541E">
              <w:pPr>
                <w:pStyle w:val="Bibliography"/>
                <w:rPr>
                  <w:noProof/>
                </w:rPr>
              </w:pPr>
              <w:r>
                <w:rPr>
                  <w:noProof/>
                </w:rPr>
                <w:t xml:space="preserve">Hilkevics, S., 2019. The classification and comparison of business ratios analysis methods. </w:t>
              </w:r>
              <w:r>
                <w:rPr>
                  <w:i/>
                  <w:iCs/>
                  <w:noProof/>
                </w:rPr>
                <w:t xml:space="preserve">Humanities and Social Sciences , </w:t>
              </w:r>
              <w:r>
                <w:rPr>
                  <w:noProof/>
                </w:rPr>
                <w:t>11(1).</w:t>
              </w:r>
            </w:p>
            <w:p w14:paraId="72B088C6" w14:textId="77777777" w:rsidR="0039541E" w:rsidRDefault="0039541E" w:rsidP="0039541E">
              <w:pPr>
                <w:pStyle w:val="Bibliography"/>
                <w:rPr>
                  <w:noProof/>
                </w:rPr>
              </w:pPr>
              <w:r>
                <w:rPr>
                  <w:noProof/>
                </w:rPr>
                <w:t xml:space="preserve">Huebsch, R., 2022. </w:t>
              </w:r>
              <w:r>
                <w:rPr>
                  <w:i/>
                  <w:iCs/>
                  <w:noProof/>
                </w:rPr>
                <w:t xml:space="preserve">Gross Margin of Hotels. </w:t>
              </w:r>
              <w:r>
                <w:rPr>
                  <w:noProof/>
                </w:rPr>
                <w:t xml:space="preserve">[Online] </w:t>
              </w:r>
              <w:r>
                <w:rPr>
                  <w:noProof/>
                </w:rPr>
                <w:br/>
                <w:t xml:space="preserve">Available at: </w:t>
              </w:r>
              <w:r>
                <w:rPr>
                  <w:noProof/>
                  <w:u w:val="single"/>
                </w:rPr>
                <w:t>https://smallbusiness.chron.com/gross-margin-hotels-36581.html</w:t>
              </w:r>
              <w:r>
                <w:rPr>
                  <w:noProof/>
                </w:rPr>
                <w:br/>
                <w:t>[Accessed 27 11 2022].</w:t>
              </w:r>
            </w:p>
            <w:p w14:paraId="797C1A20" w14:textId="77777777" w:rsidR="0039541E" w:rsidRDefault="0039541E" w:rsidP="0039541E">
              <w:pPr>
                <w:pStyle w:val="Bibliography"/>
                <w:rPr>
                  <w:noProof/>
                </w:rPr>
              </w:pPr>
              <w:r>
                <w:rPr>
                  <w:noProof/>
                </w:rPr>
                <w:t xml:space="preserve">Lewis, R., 2022. </w:t>
              </w:r>
              <w:r>
                <w:rPr>
                  <w:i/>
                  <w:iCs/>
                  <w:noProof/>
                </w:rPr>
                <w:t xml:space="preserve">What is return on equity? How to calculate ROE to evaluate a company's profitability. </w:t>
              </w:r>
              <w:r>
                <w:rPr>
                  <w:noProof/>
                </w:rPr>
                <w:t xml:space="preserve">[Online] </w:t>
              </w:r>
              <w:r>
                <w:rPr>
                  <w:noProof/>
                </w:rPr>
                <w:br/>
                <w:t xml:space="preserve">Available at: </w:t>
              </w:r>
              <w:r>
                <w:rPr>
                  <w:noProof/>
                  <w:u w:val="single"/>
                </w:rPr>
                <w:t>https://www.businessinsider.com/personal-finance/return-on-equity#:~:text=A%20higher%20ROE%20signals%20that,compared%20to%20its%20shareholder's%20equity.</w:t>
              </w:r>
              <w:r>
                <w:rPr>
                  <w:noProof/>
                </w:rPr>
                <w:br/>
                <w:t>[Accessed 28 11 2022].</w:t>
              </w:r>
            </w:p>
            <w:p w14:paraId="290323C1" w14:textId="77777777" w:rsidR="0039541E" w:rsidRDefault="0039541E" w:rsidP="0039541E">
              <w:pPr>
                <w:pStyle w:val="Bibliography"/>
                <w:rPr>
                  <w:noProof/>
                </w:rPr>
              </w:pPr>
              <w:r>
                <w:rPr>
                  <w:noProof/>
                </w:rPr>
                <w:t xml:space="preserve">Milano, S., 2020. </w:t>
              </w:r>
              <w:r>
                <w:rPr>
                  <w:i/>
                  <w:iCs/>
                  <w:noProof/>
                </w:rPr>
                <w:t xml:space="preserve">How to Improve ROI. </w:t>
              </w:r>
              <w:r>
                <w:rPr>
                  <w:noProof/>
                </w:rPr>
                <w:t xml:space="preserve">[Online] </w:t>
              </w:r>
              <w:r>
                <w:rPr>
                  <w:noProof/>
                </w:rPr>
                <w:br/>
                <w:t xml:space="preserve">Available at: </w:t>
              </w:r>
              <w:r>
                <w:rPr>
                  <w:noProof/>
                  <w:u w:val="single"/>
                </w:rPr>
                <w:t>https://smallbusiness.chron.com/improve-roi-67173.html</w:t>
              </w:r>
              <w:r>
                <w:rPr>
                  <w:noProof/>
                </w:rPr>
                <w:br/>
                <w:t>[Accessed 30 11 2022].</w:t>
              </w:r>
            </w:p>
            <w:p w14:paraId="677CDD21" w14:textId="03D07439" w:rsidR="0039541E" w:rsidRDefault="0039541E" w:rsidP="0039541E">
              <w:r>
                <w:rPr>
                  <w:b/>
                  <w:bCs/>
                  <w:noProof/>
                </w:rPr>
                <w:fldChar w:fldCharType="end"/>
              </w:r>
            </w:p>
          </w:sdtContent>
        </w:sdt>
      </w:sdtContent>
    </w:sdt>
    <w:p w14:paraId="56367EFA" w14:textId="77777777" w:rsidR="0039541E" w:rsidRPr="00B30A50" w:rsidRDefault="0039541E" w:rsidP="00B30A50">
      <w:pPr>
        <w:spacing w:line="360" w:lineRule="auto"/>
        <w:jc w:val="both"/>
        <w:rPr>
          <w:rFonts w:ascii="Arial" w:hAnsi="Arial" w:cs="Arial"/>
          <w:sz w:val="24"/>
          <w:szCs w:val="24"/>
        </w:rPr>
      </w:pPr>
    </w:p>
    <w:sectPr w:rsidR="0039541E" w:rsidRPr="00B30A50">
      <w:footerReference w:type="default" r:id="rId1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3BDEFD" w14:textId="77777777" w:rsidR="00154534" w:rsidRDefault="00154534" w:rsidP="0039541E">
      <w:pPr>
        <w:spacing w:after="0" w:line="240" w:lineRule="auto"/>
      </w:pPr>
      <w:r>
        <w:separator/>
      </w:r>
    </w:p>
  </w:endnote>
  <w:endnote w:type="continuationSeparator" w:id="0">
    <w:p w14:paraId="5C2956CE" w14:textId="77777777" w:rsidR="00154534" w:rsidRDefault="00154534" w:rsidP="003954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9057135"/>
      <w:docPartObj>
        <w:docPartGallery w:val="Page Numbers (Bottom of Page)"/>
        <w:docPartUnique/>
      </w:docPartObj>
    </w:sdtPr>
    <w:sdtEndPr>
      <w:rPr>
        <w:noProof/>
      </w:rPr>
    </w:sdtEndPr>
    <w:sdtContent>
      <w:p w14:paraId="6C51098F" w14:textId="37B691D7" w:rsidR="0039541E" w:rsidRDefault="0039541E">
        <w:pPr>
          <w:pStyle w:val="Footer"/>
          <w:jc w:val="right"/>
        </w:pPr>
        <w:r>
          <w:fldChar w:fldCharType="begin"/>
        </w:r>
        <w:r>
          <w:instrText xml:space="preserve"> PAGE   \* MERGEFORMAT </w:instrText>
        </w:r>
        <w:r>
          <w:fldChar w:fldCharType="separate"/>
        </w:r>
        <w:r w:rsidR="00E10A75">
          <w:rPr>
            <w:noProof/>
          </w:rPr>
          <w:t>13</w:t>
        </w:r>
        <w:r>
          <w:rPr>
            <w:noProof/>
          </w:rPr>
          <w:fldChar w:fldCharType="end"/>
        </w:r>
      </w:p>
    </w:sdtContent>
  </w:sdt>
  <w:p w14:paraId="41F116E1" w14:textId="77777777" w:rsidR="0039541E" w:rsidRDefault="0039541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EADB31" w14:textId="77777777" w:rsidR="00154534" w:rsidRDefault="00154534" w:rsidP="0039541E">
      <w:pPr>
        <w:spacing w:after="0" w:line="240" w:lineRule="auto"/>
      </w:pPr>
      <w:r>
        <w:separator/>
      </w:r>
    </w:p>
  </w:footnote>
  <w:footnote w:type="continuationSeparator" w:id="0">
    <w:p w14:paraId="466C7813" w14:textId="77777777" w:rsidR="00154534" w:rsidRDefault="00154534" w:rsidP="003954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5B007F"/>
    <w:multiLevelType w:val="hybridMultilevel"/>
    <w:tmpl w:val="90D242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6CE79D7"/>
    <w:multiLevelType w:val="hybridMultilevel"/>
    <w:tmpl w:val="069A85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D82FCC"/>
    <w:multiLevelType w:val="hybridMultilevel"/>
    <w:tmpl w:val="D2A0C8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C157E3"/>
    <w:multiLevelType w:val="hybridMultilevel"/>
    <w:tmpl w:val="84901ACA"/>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5757757F"/>
    <w:multiLevelType w:val="hybridMultilevel"/>
    <w:tmpl w:val="E0D855DC"/>
    <w:lvl w:ilvl="0" w:tplc="04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3026387"/>
    <w:multiLevelType w:val="hybridMultilevel"/>
    <w:tmpl w:val="E05E1B0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689866542">
    <w:abstractNumId w:val="1"/>
  </w:num>
  <w:num w:numId="2" w16cid:durableId="1697611055">
    <w:abstractNumId w:val="2"/>
  </w:num>
  <w:num w:numId="3" w16cid:durableId="368994582">
    <w:abstractNumId w:val="4"/>
  </w:num>
  <w:num w:numId="4" w16cid:durableId="297346653">
    <w:abstractNumId w:val="3"/>
  </w:num>
  <w:num w:numId="5" w16cid:durableId="2128740420">
    <w:abstractNumId w:val="5"/>
  </w:num>
  <w:num w:numId="6" w16cid:durableId="18141290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31E1"/>
    <w:rsid w:val="00063058"/>
    <w:rsid w:val="000C5AD6"/>
    <w:rsid w:val="00110F82"/>
    <w:rsid w:val="00154534"/>
    <w:rsid w:val="001755D6"/>
    <w:rsid w:val="001B2E98"/>
    <w:rsid w:val="001C7726"/>
    <w:rsid w:val="002028E6"/>
    <w:rsid w:val="002C0DB6"/>
    <w:rsid w:val="0039541E"/>
    <w:rsid w:val="003E7A6B"/>
    <w:rsid w:val="004F3430"/>
    <w:rsid w:val="005938FF"/>
    <w:rsid w:val="00683E08"/>
    <w:rsid w:val="00687272"/>
    <w:rsid w:val="006B67BA"/>
    <w:rsid w:val="006C6513"/>
    <w:rsid w:val="007128F1"/>
    <w:rsid w:val="00787D2E"/>
    <w:rsid w:val="007E2B11"/>
    <w:rsid w:val="007F67FC"/>
    <w:rsid w:val="008A1BBA"/>
    <w:rsid w:val="008C2432"/>
    <w:rsid w:val="008E3A5F"/>
    <w:rsid w:val="00944E48"/>
    <w:rsid w:val="009457AF"/>
    <w:rsid w:val="00A10C59"/>
    <w:rsid w:val="00A8707D"/>
    <w:rsid w:val="00AC6ABD"/>
    <w:rsid w:val="00AF0D81"/>
    <w:rsid w:val="00B2575E"/>
    <w:rsid w:val="00B30A50"/>
    <w:rsid w:val="00B6470B"/>
    <w:rsid w:val="00BB539D"/>
    <w:rsid w:val="00BD50EE"/>
    <w:rsid w:val="00BF4106"/>
    <w:rsid w:val="00C031E1"/>
    <w:rsid w:val="00C32F52"/>
    <w:rsid w:val="00D653C8"/>
    <w:rsid w:val="00D815EB"/>
    <w:rsid w:val="00DE3B7E"/>
    <w:rsid w:val="00E10A75"/>
    <w:rsid w:val="00F0109C"/>
    <w:rsid w:val="00F51BED"/>
    <w:rsid w:val="00F85EB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D7B4D"/>
  <w15:chartTrackingRefBased/>
  <w15:docId w15:val="{0EEC9F64-C596-41F5-B4D5-47160DDB50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next w:val="Normal"/>
    <w:link w:val="Heading1Char"/>
    <w:uiPriority w:val="9"/>
    <w:qFormat/>
    <w:rsid w:val="008E3A5F"/>
    <w:pPr>
      <w:keepNext/>
      <w:keepLines/>
      <w:spacing w:after="0" w:line="265" w:lineRule="auto"/>
      <w:ind w:left="14" w:hanging="10"/>
      <w:outlineLvl w:val="0"/>
    </w:pPr>
    <w:rPr>
      <w:rFonts w:ascii="Calibri" w:eastAsia="Calibri" w:hAnsi="Calibri" w:cs="Calibri"/>
      <w:b/>
      <w:color w:val="000000"/>
      <w:sz w:val="24"/>
    </w:rPr>
  </w:style>
  <w:style w:type="paragraph" w:styleId="Heading2">
    <w:name w:val="heading 2"/>
    <w:basedOn w:val="Normal"/>
    <w:next w:val="Normal"/>
    <w:link w:val="Heading2Char"/>
    <w:uiPriority w:val="9"/>
    <w:unhideWhenUsed/>
    <w:qFormat/>
    <w:rsid w:val="00BB539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A5F"/>
    <w:rPr>
      <w:rFonts w:ascii="Calibri" w:eastAsia="Calibri" w:hAnsi="Calibri" w:cs="Calibri"/>
      <w:b/>
      <w:color w:val="000000"/>
      <w:sz w:val="24"/>
    </w:rPr>
  </w:style>
  <w:style w:type="paragraph" w:styleId="ListParagraph">
    <w:name w:val="List Paragraph"/>
    <w:basedOn w:val="Normal"/>
    <w:uiPriority w:val="34"/>
    <w:qFormat/>
    <w:rsid w:val="00DE3B7E"/>
    <w:pPr>
      <w:ind w:left="720"/>
      <w:contextualSpacing/>
    </w:pPr>
  </w:style>
  <w:style w:type="character" w:customStyle="1" w:styleId="Heading2Char">
    <w:name w:val="Heading 2 Char"/>
    <w:basedOn w:val="DefaultParagraphFont"/>
    <w:link w:val="Heading2"/>
    <w:uiPriority w:val="9"/>
    <w:rsid w:val="00BB539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B539D"/>
    <w:pPr>
      <w:spacing w:before="240" w:line="259" w:lineRule="auto"/>
      <w:ind w:left="0" w:firstLine="0"/>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BB539D"/>
    <w:pPr>
      <w:spacing w:after="100"/>
    </w:pPr>
  </w:style>
  <w:style w:type="paragraph" w:styleId="TOC2">
    <w:name w:val="toc 2"/>
    <w:basedOn w:val="Normal"/>
    <w:next w:val="Normal"/>
    <w:autoRedefine/>
    <w:uiPriority w:val="39"/>
    <w:unhideWhenUsed/>
    <w:rsid w:val="00BB539D"/>
    <w:pPr>
      <w:spacing w:after="100"/>
      <w:ind w:left="220"/>
    </w:pPr>
  </w:style>
  <w:style w:type="character" w:styleId="Hyperlink">
    <w:name w:val="Hyperlink"/>
    <w:basedOn w:val="DefaultParagraphFont"/>
    <w:uiPriority w:val="99"/>
    <w:unhideWhenUsed/>
    <w:rsid w:val="00BB539D"/>
    <w:rPr>
      <w:color w:val="0563C1" w:themeColor="hyperlink"/>
      <w:u w:val="single"/>
    </w:rPr>
  </w:style>
  <w:style w:type="paragraph" w:styleId="Bibliography">
    <w:name w:val="Bibliography"/>
    <w:basedOn w:val="Normal"/>
    <w:next w:val="Normal"/>
    <w:uiPriority w:val="37"/>
    <w:unhideWhenUsed/>
    <w:rsid w:val="0039541E"/>
  </w:style>
  <w:style w:type="paragraph" w:styleId="Header">
    <w:name w:val="header"/>
    <w:basedOn w:val="Normal"/>
    <w:link w:val="HeaderChar"/>
    <w:uiPriority w:val="99"/>
    <w:unhideWhenUsed/>
    <w:rsid w:val="0039541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541E"/>
  </w:style>
  <w:style w:type="paragraph" w:styleId="Footer">
    <w:name w:val="footer"/>
    <w:basedOn w:val="Normal"/>
    <w:link w:val="FooterChar"/>
    <w:uiPriority w:val="99"/>
    <w:unhideWhenUsed/>
    <w:rsid w:val="0039541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54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8868546">
      <w:bodyDiv w:val="1"/>
      <w:marLeft w:val="0"/>
      <w:marRight w:val="0"/>
      <w:marTop w:val="0"/>
      <w:marBottom w:val="0"/>
      <w:divBdr>
        <w:top w:val="none" w:sz="0" w:space="0" w:color="auto"/>
        <w:left w:val="none" w:sz="0" w:space="0" w:color="auto"/>
        <w:bottom w:val="none" w:sz="0" w:space="0" w:color="auto"/>
        <w:right w:val="none" w:sz="0" w:space="0" w:color="auto"/>
      </w:divBdr>
    </w:div>
    <w:div w:id="378478947">
      <w:bodyDiv w:val="1"/>
      <w:marLeft w:val="0"/>
      <w:marRight w:val="0"/>
      <w:marTop w:val="0"/>
      <w:marBottom w:val="0"/>
      <w:divBdr>
        <w:top w:val="none" w:sz="0" w:space="0" w:color="auto"/>
        <w:left w:val="none" w:sz="0" w:space="0" w:color="auto"/>
        <w:bottom w:val="none" w:sz="0" w:space="0" w:color="auto"/>
        <w:right w:val="none" w:sz="0" w:space="0" w:color="auto"/>
      </w:divBdr>
    </w:div>
    <w:div w:id="482967483">
      <w:bodyDiv w:val="1"/>
      <w:marLeft w:val="0"/>
      <w:marRight w:val="0"/>
      <w:marTop w:val="0"/>
      <w:marBottom w:val="0"/>
      <w:divBdr>
        <w:top w:val="none" w:sz="0" w:space="0" w:color="auto"/>
        <w:left w:val="none" w:sz="0" w:space="0" w:color="auto"/>
        <w:bottom w:val="none" w:sz="0" w:space="0" w:color="auto"/>
        <w:right w:val="none" w:sz="0" w:space="0" w:color="auto"/>
      </w:divBdr>
    </w:div>
    <w:div w:id="526257071">
      <w:bodyDiv w:val="1"/>
      <w:marLeft w:val="0"/>
      <w:marRight w:val="0"/>
      <w:marTop w:val="0"/>
      <w:marBottom w:val="0"/>
      <w:divBdr>
        <w:top w:val="none" w:sz="0" w:space="0" w:color="auto"/>
        <w:left w:val="none" w:sz="0" w:space="0" w:color="auto"/>
        <w:bottom w:val="none" w:sz="0" w:space="0" w:color="auto"/>
        <w:right w:val="none" w:sz="0" w:space="0" w:color="auto"/>
      </w:divBdr>
    </w:div>
    <w:div w:id="527840449">
      <w:bodyDiv w:val="1"/>
      <w:marLeft w:val="0"/>
      <w:marRight w:val="0"/>
      <w:marTop w:val="0"/>
      <w:marBottom w:val="0"/>
      <w:divBdr>
        <w:top w:val="none" w:sz="0" w:space="0" w:color="auto"/>
        <w:left w:val="none" w:sz="0" w:space="0" w:color="auto"/>
        <w:bottom w:val="none" w:sz="0" w:space="0" w:color="auto"/>
        <w:right w:val="none" w:sz="0" w:space="0" w:color="auto"/>
      </w:divBdr>
    </w:div>
    <w:div w:id="744646451">
      <w:bodyDiv w:val="1"/>
      <w:marLeft w:val="0"/>
      <w:marRight w:val="0"/>
      <w:marTop w:val="0"/>
      <w:marBottom w:val="0"/>
      <w:divBdr>
        <w:top w:val="none" w:sz="0" w:space="0" w:color="auto"/>
        <w:left w:val="none" w:sz="0" w:space="0" w:color="auto"/>
        <w:bottom w:val="none" w:sz="0" w:space="0" w:color="auto"/>
        <w:right w:val="none" w:sz="0" w:space="0" w:color="auto"/>
      </w:divBdr>
    </w:div>
    <w:div w:id="854072151">
      <w:bodyDiv w:val="1"/>
      <w:marLeft w:val="0"/>
      <w:marRight w:val="0"/>
      <w:marTop w:val="0"/>
      <w:marBottom w:val="0"/>
      <w:divBdr>
        <w:top w:val="none" w:sz="0" w:space="0" w:color="auto"/>
        <w:left w:val="none" w:sz="0" w:space="0" w:color="auto"/>
        <w:bottom w:val="none" w:sz="0" w:space="0" w:color="auto"/>
        <w:right w:val="none" w:sz="0" w:space="0" w:color="auto"/>
      </w:divBdr>
    </w:div>
    <w:div w:id="945502932">
      <w:bodyDiv w:val="1"/>
      <w:marLeft w:val="0"/>
      <w:marRight w:val="0"/>
      <w:marTop w:val="0"/>
      <w:marBottom w:val="0"/>
      <w:divBdr>
        <w:top w:val="none" w:sz="0" w:space="0" w:color="auto"/>
        <w:left w:val="none" w:sz="0" w:space="0" w:color="auto"/>
        <w:bottom w:val="none" w:sz="0" w:space="0" w:color="auto"/>
        <w:right w:val="none" w:sz="0" w:space="0" w:color="auto"/>
      </w:divBdr>
    </w:div>
    <w:div w:id="1041057948">
      <w:bodyDiv w:val="1"/>
      <w:marLeft w:val="0"/>
      <w:marRight w:val="0"/>
      <w:marTop w:val="0"/>
      <w:marBottom w:val="0"/>
      <w:divBdr>
        <w:top w:val="none" w:sz="0" w:space="0" w:color="auto"/>
        <w:left w:val="none" w:sz="0" w:space="0" w:color="auto"/>
        <w:bottom w:val="none" w:sz="0" w:space="0" w:color="auto"/>
        <w:right w:val="none" w:sz="0" w:space="0" w:color="auto"/>
      </w:divBdr>
    </w:div>
    <w:div w:id="1136727458">
      <w:bodyDiv w:val="1"/>
      <w:marLeft w:val="0"/>
      <w:marRight w:val="0"/>
      <w:marTop w:val="0"/>
      <w:marBottom w:val="0"/>
      <w:divBdr>
        <w:top w:val="none" w:sz="0" w:space="0" w:color="auto"/>
        <w:left w:val="none" w:sz="0" w:space="0" w:color="auto"/>
        <w:bottom w:val="none" w:sz="0" w:space="0" w:color="auto"/>
        <w:right w:val="none" w:sz="0" w:space="0" w:color="auto"/>
      </w:divBdr>
    </w:div>
    <w:div w:id="1149592960">
      <w:bodyDiv w:val="1"/>
      <w:marLeft w:val="0"/>
      <w:marRight w:val="0"/>
      <w:marTop w:val="0"/>
      <w:marBottom w:val="0"/>
      <w:divBdr>
        <w:top w:val="none" w:sz="0" w:space="0" w:color="auto"/>
        <w:left w:val="none" w:sz="0" w:space="0" w:color="auto"/>
        <w:bottom w:val="none" w:sz="0" w:space="0" w:color="auto"/>
        <w:right w:val="none" w:sz="0" w:space="0" w:color="auto"/>
      </w:divBdr>
    </w:div>
    <w:div w:id="1300308549">
      <w:bodyDiv w:val="1"/>
      <w:marLeft w:val="0"/>
      <w:marRight w:val="0"/>
      <w:marTop w:val="0"/>
      <w:marBottom w:val="0"/>
      <w:divBdr>
        <w:top w:val="none" w:sz="0" w:space="0" w:color="auto"/>
        <w:left w:val="none" w:sz="0" w:space="0" w:color="auto"/>
        <w:bottom w:val="none" w:sz="0" w:space="0" w:color="auto"/>
        <w:right w:val="none" w:sz="0" w:space="0" w:color="auto"/>
      </w:divBdr>
    </w:div>
    <w:div w:id="1371997790">
      <w:bodyDiv w:val="1"/>
      <w:marLeft w:val="0"/>
      <w:marRight w:val="0"/>
      <w:marTop w:val="0"/>
      <w:marBottom w:val="0"/>
      <w:divBdr>
        <w:top w:val="none" w:sz="0" w:space="0" w:color="auto"/>
        <w:left w:val="none" w:sz="0" w:space="0" w:color="auto"/>
        <w:bottom w:val="none" w:sz="0" w:space="0" w:color="auto"/>
        <w:right w:val="none" w:sz="0" w:space="0" w:color="auto"/>
      </w:divBdr>
    </w:div>
    <w:div w:id="1500196332">
      <w:bodyDiv w:val="1"/>
      <w:marLeft w:val="0"/>
      <w:marRight w:val="0"/>
      <w:marTop w:val="0"/>
      <w:marBottom w:val="0"/>
      <w:divBdr>
        <w:top w:val="none" w:sz="0" w:space="0" w:color="auto"/>
        <w:left w:val="none" w:sz="0" w:space="0" w:color="auto"/>
        <w:bottom w:val="none" w:sz="0" w:space="0" w:color="auto"/>
        <w:right w:val="none" w:sz="0" w:space="0" w:color="auto"/>
      </w:divBdr>
    </w:div>
    <w:div w:id="1521316438">
      <w:bodyDiv w:val="1"/>
      <w:marLeft w:val="0"/>
      <w:marRight w:val="0"/>
      <w:marTop w:val="0"/>
      <w:marBottom w:val="0"/>
      <w:divBdr>
        <w:top w:val="none" w:sz="0" w:space="0" w:color="auto"/>
        <w:left w:val="none" w:sz="0" w:space="0" w:color="auto"/>
        <w:bottom w:val="none" w:sz="0" w:space="0" w:color="auto"/>
        <w:right w:val="none" w:sz="0" w:space="0" w:color="auto"/>
      </w:divBdr>
    </w:div>
    <w:div w:id="1549030739">
      <w:bodyDiv w:val="1"/>
      <w:marLeft w:val="0"/>
      <w:marRight w:val="0"/>
      <w:marTop w:val="0"/>
      <w:marBottom w:val="0"/>
      <w:divBdr>
        <w:top w:val="none" w:sz="0" w:space="0" w:color="auto"/>
        <w:left w:val="none" w:sz="0" w:space="0" w:color="auto"/>
        <w:bottom w:val="none" w:sz="0" w:space="0" w:color="auto"/>
        <w:right w:val="none" w:sz="0" w:space="0" w:color="auto"/>
      </w:divBdr>
    </w:div>
    <w:div w:id="1572810800">
      <w:bodyDiv w:val="1"/>
      <w:marLeft w:val="0"/>
      <w:marRight w:val="0"/>
      <w:marTop w:val="0"/>
      <w:marBottom w:val="0"/>
      <w:divBdr>
        <w:top w:val="none" w:sz="0" w:space="0" w:color="auto"/>
        <w:left w:val="none" w:sz="0" w:space="0" w:color="auto"/>
        <w:bottom w:val="none" w:sz="0" w:space="0" w:color="auto"/>
        <w:right w:val="none" w:sz="0" w:space="0" w:color="auto"/>
      </w:divBdr>
    </w:div>
    <w:div w:id="1676573096">
      <w:bodyDiv w:val="1"/>
      <w:marLeft w:val="0"/>
      <w:marRight w:val="0"/>
      <w:marTop w:val="0"/>
      <w:marBottom w:val="0"/>
      <w:divBdr>
        <w:top w:val="none" w:sz="0" w:space="0" w:color="auto"/>
        <w:left w:val="none" w:sz="0" w:space="0" w:color="auto"/>
        <w:bottom w:val="none" w:sz="0" w:space="0" w:color="auto"/>
        <w:right w:val="none" w:sz="0" w:space="0" w:color="auto"/>
      </w:divBdr>
    </w:div>
    <w:div w:id="1732385829">
      <w:bodyDiv w:val="1"/>
      <w:marLeft w:val="0"/>
      <w:marRight w:val="0"/>
      <w:marTop w:val="0"/>
      <w:marBottom w:val="0"/>
      <w:divBdr>
        <w:top w:val="none" w:sz="0" w:space="0" w:color="auto"/>
        <w:left w:val="none" w:sz="0" w:space="0" w:color="auto"/>
        <w:bottom w:val="none" w:sz="0" w:space="0" w:color="auto"/>
        <w:right w:val="none" w:sz="0" w:space="0" w:color="auto"/>
      </w:divBdr>
    </w:div>
    <w:div w:id="1855531218">
      <w:bodyDiv w:val="1"/>
      <w:marLeft w:val="0"/>
      <w:marRight w:val="0"/>
      <w:marTop w:val="0"/>
      <w:marBottom w:val="0"/>
      <w:divBdr>
        <w:top w:val="none" w:sz="0" w:space="0" w:color="auto"/>
        <w:left w:val="none" w:sz="0" w:space="0" w:color="auto"/>
        <w:bottom w:val="none" w:sz="0" w:space="0" w:color="auto"/>
        <w:right w:val="none" w:sz="0" w:space="0" w:color="auto"/>
      </w:divBdr>
    </w:div>
    <w:div w:id="1923559466">
      <w:bodyDiv w:val="1"/>
      <w:marLeft w:val="0"/>
      <w:marRight w:val="0"/>
      <w:marTop w:val="0"/>
      <w:marBottom w:val="0"/>
      <w:divBdr>
        <w:top w:val="none" w:sz="0" w:space="0" w:color="auto"/>
        <w:left w:val="none" w:sz="0" w:space="0" w:color="auto"/>
        <w:bottom w:val="none" w:sz="0" w:space="0" w:color="auto"/>
        <w:right w:val="none" w:sz="0" w:space="0" w:color="auto"/>
      </w:divBdr>
    </w:div>
    <w:div w:id="1990745669">
      <w:bodyDiv w:val="1"/>
      <w:marLeft w:val="0"/>
      <w:marRight w:val="0"/>
      <w:marTop w:val="0"/>
      <w:marBottom w:val="0"/>
      <w:divBdr>
        <w:top w:val="none" w:sz="0" w:space="0" w:color="auto"/>
        <w:left w:val="none" w:sz="0" w:space="0" w:color="auto"/>
        <w:bottom w:val="none" w:sz="0" w:space="0" w:color="auto"/>
        <w:right w:val="none" w:sz="0" w:space="0" w:color="auto"/>
      </w:divBdr>
    </w:div>
    <w:div w:id="2111391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 /><Relationship Id="rId13" Type="http://schemas.openxmlformats.org/officeDocument/2006/relationships/chart" Target="charts/chart6.xml" /><Relationship Id="rId1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chart" Target="charts/chart5.xml" /><Relationship Id="rId17" Type="http://schemas.openxmlformats.org/officeDocument/2006/relationships/chart" Target="charts/chart10.xml" /><Relationship Id="rId2" Type="http://schemas.openxmlformats.org/officeDocument/2006/relationships/numbering" Target="numbering.xml" /><Relationship Id="rId16" Type="http://schemas.openxmlformats.org/officeDocument/2006/relationships/chart" Target="charts/chart9.xml"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chart" Target="charts/chart4.xml" /><Relationship Id="rId5" Type="http://schemas.openxmlformats.org/officeDocument/2006/relationships/webSettings" Target="webSettings.xml" /><Relationship Id="rId15" Type="http://schemas.openxmlformats.org/officeDocument/2006/relationships/chart" Target="charts/chart8.xml" /><Relationship Id="rId10" Type="http://schemas.openxmlformats.org/officeDocument/2006/relationships/chart" Target="charts/chart3.xml"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chart" Target="charts/chart2.xml" /><Relationship Id="rId14" Type="http://schemas.openxmlformats.org/officeDocument/2006/relationships/chart" Target="charts/chart7.xml" /></Relationships>
</file>

<file path=word/charts/_rels/chart1.xml.rels><?xml version="1.0" encoding="UTF-8" standalone="yes"?>
<Relationships xmlns="http://schemas.openxmlformats.org/package/2006/relationships"><Relationship Id="rId3" Type="http://schemas.openxmlformats.org/officeDocument/2006/relationships/oleObject" Target="file:///C:\Users\hp\Documents\Marriott%20ratio%20analysis%202020-21.xlsx" TargetMode="External" /><Relationship Id="rId2" Type="http://schemas.microsoft.com/office/2011/relationships/chartColorStyle" Target="colors1.xml" /><Relationship Id="rId1" Type="http://schemas.microsoft.com/office/2011/relationships/chartStyle" Target="style1.xml" /></Relationships>
</file>

<file path=word/charts/_rels/chart2.xml.rels><?xml version="1.0" encoding="UTF-8" standalone="yes"?>
<Relationships xmlns="http://schemas.openxmlformats.org/package/2006/relationships"><Relationship Id="rId3" Type="http://schemas.openxmlformats.org/officeDocument/2006/relationships/oleObject" Target="file:///C:\Users\hp\Documents\Marriott%20ratio%20analysis%202020-21.xlsx" TargetMode="External" /><Relationship Id="rId2" Type="http://schemas.microsoft.com/office/2011/relationships/chartColorStyle" Target="colors2.xml" /><Relationship Id="rId1" Type="http://schemas.microsoft.com/office/2011/relationships/chartStyle" Target="style2.xml" /></Relationships>
</file>

<file path=word/charts/_rels/chart3.xml.rels><?xml version="1.0" encoding="UTF-8" standalone="yes"?>
<Relationships xmlns="http://schemas.openxmlformats.org/package/2006/relationships"><Relationship Id="rId3" Type="http://schemas.openxmlformats.org/officeDocument/2006/relationships/oleObject" Target="file:///C:\Users\hp\Documents\Marriott%20ratio%20analysis%202020-21.xlsx" TargetMode="External" /><Relationship Id="rId2" Type="http://schemas.microsoft.com/office/2011/relationships/chartColorStyle" Target="colors3.xml" /><Relationship Id="rId1" Type="http://schemas.microsoft.com/office/2011/relationships/chartStyle" Target="style3.xml" /></Relationships>
</file>

<file path=word/charts/_rels/chart4.xml.rels><?xml version="1.0" encoding="UTF-8" standalone="yes"?>
<Relationships xmlns="http://schemas.openxmlformats.org/package/2006/relationships"><Relationship Id="rId3" Type="http://schemas.openxmlformats.org/officeDocument/2006/relationships/oleObject" Target="file:///C:\Users\hp\Documents\Marriott%20ratio%20analysis%202020-21.xlsx" TargetMode="External" /><Relationship Id="rId2" Type="http://schemas.microsoft.com/office/2011/relationships/chartColorStyle" Target="colors4.xml" /><Relationship Id="rId1" Type="http://schemas.microsoft.com/office/2011/relationships/chartStyle" Target="style4.xml" /></Relationships>
</file>

<file path=word/charts/_rels/chart5.xml.rels><?xml version="1.0" encoding="UTF-8" standalone="yes"?>
<Relationships xmlns="http://schemas.openxmlformats.org/package/2006/relationships"><Relationship Id="rId3" Type="http://schemas.openxmlformats.org/officeDocument/2006/relationships/oleObject" Target="file:///C:\Users\hp\Documents\Marriott%20ratio%20analysis%202020-21.xlsx" TargetMode="External" /><Relationship Id="rId2" Type="http://schemas.microsoft.com/office/2011/relationships/chartColorStyle" Target="colors5.xml" /><Relationship Id="rId1" Type="http://schemas.microsoft.com/office/2011/relationships/chartStyle" Target="style5.xml" /></Relationships>
</file>

<file path=word/charts/_rels/chart6.xml.rels><?xml version="1.0" encoding="UTF-8" standalone="yes"?>
<Relationships xmlns="http://schemas.openxmlformats.org/package/2006/relationships"><Relationship Id="rId3" Type="http://schemas.openxmlformats.org/officeDocument/2006/relationships/oleObject" Target="file:///C:\Users\hp\Documents\Marriott%20ratio%20analysis%202020-21.xlsx" TargetMode="External" /><Relationship Id="rId2" Type="http://schemas.microsoft.com/office/2011/relationships/chartColorStyle" Target="colors6.xml" /><Relationship Id="rId1" Type="http://schemas.microsoft.com/office/2011/relationships/chartStyle" Target="style6.xml" /></Relationships>
</file>

<file path=word/charts/_rels/chart7.xml.rels><?xml version="1.0" encoding="UTF-8" standalone="yes"?>
<Relationships xmlns="http://schemas.openxmlformats.org/package/2006/relationships"><Relationship Id="rId3" Type="http://schemas.openxmlformats.org/officeDocument/2006/relationships/oleObject" Target="file:///C:\Users\hp\Documents\Marriott%20ratio%20analysis%202020-21.xlsx" TargetMode="External" /><Relationship Id="rId2" Type="http://schemas.microsoft.com/office/2011/relationships/chartColorStyle" Target="colors7.xml" /><Relationship Id="rId1" Type="http://schemas.microsoft.com/office/2011/relationships/chartStyle" Target="style7.xml" /></Relationships>
</file>

<file path=word/charts/_rels/chart8.xml.rels><?xml version="1.0" encoding="UTF-8" standalone="yes"?>
<Relationships xmlns="http://schemas.openxmlformats.org/package/2006/relationships"><Relationship Id="rId3" Type="http://schemas.openxmlformats.org/officeDocument/2006/relationships/oleObject" Target="file:///C:\Users\hp\Documents\Marriott%20ratio%20analysis%202020-21.xlsx" TargetMode="External" /><Relationship Id="rId2" Type="http://schemas.microsoft.com/office/2011/relationships/chartColorStyle" Target="colors8.xml" /><Relationship Id="rId1" Type="http://schemas.microsoft.com/office/2011/relationships/chartStyle" Target="style8.xml" /></Relationships>
</file>

<file path=word/charts/_rels/chart9.xml.rels><?xml version="1.0" encoding="UTF-8" standalone="yes"?>
<Relationships xmlns="http://schemas.openxmlformats.org/package/2006/relationships"><Relationship Id="rId3" Type="http://schemas.openxmlformats.org/officeDocument/2006/relationships/oleObject" Target="file:///C:\Users\hp\Documents\Marriott%20ratio%20analysis%202020-21.xlsx" TargetMode="External" /><Relationship Id="rId2" Type="http://schemas.microsoft.com/office/2011/relationships/chartColorStyle" Target="colors9.xml" /><Relationship Id="rId1" Type="http://schemas.microsoft.com/office/2011/relationships/chartStyle" Target="style9.xml" /></Relationships>
</file>

<file path=word/charts/_rels/chart10.xml.rels><?xml version="1.0" encoding="UTF-8" standalone="yes"?>
<Relationships xmlns="http://schemas.openxmlformats.org/package/2006/relationships"><Relationship Id="rId3" Type="http://schemas.openxmlformats.org/officeDocument/2006/relationships/oleObject" Target="file:///C:\Users\hp\Documents\Marriott%20ratio%20analysis%202020-21.xlsx" TargetMode="External" /><Relationship Id="rId2" Type="http://schemas.microsoft.com/office/2011/relationships/chartColorStyle" Target="colors10.xml" /><Relationship Id="rId1" Type="http://schemas.microsoft.com/office/2011/relationships/chartStyle" Target="style10.xml" /></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Sheet1!$C$3</c:f>
              <c:strCache>
                <c:ptCount val="1"/>
                <c:pt idx="0">
                  <c:v>Current ratio</c:v>
                </c:pt>
              </c:strCache>
            </c:strRef>
          </c:tx>
          <c:spPr>
            <a:solidFill>
              <a:schemeClr val="accent1"/>
            </a:solidFill>
            <a:ln>
              <a:noFill/>
            </a:ln>
            <a:effectLst/>
          </c:spPr>
          <c:invertIfNegative val="0"/>
          <c:cat>
            <c:strRef>
              <c:f>Sheet1!$B$4:$B$5</c:f>
              <c:strCache>
                <c:ptCount val="2"/>
                <c:pt idx="0">
                  <c:v>2020'</c:v>
                </c:pt>
                <c:pt idx="1">
                  <c:v>2021'</c:v>
                </c:pt>
              </c:strCache>
            </c:strRef>
          </c:cat>
          <c:val>
            <c:numRef>
              <c:f>Sheet1!$C$4:$C$5</c:f>
              <c:numCache>
                <c:formatCode>General</c:formatCode>
                <c:ptCount val="2"/>
                <c:pt idx="0">
                  <c:v>0.49109999999999998</c:v>
                </c:pt>
                <c:pt idx="1">
                  <c:v>0.56589999999999996</c:v>
                </c:pt>
              </c:numCache>
            </c:numRef>
          </c:val>
          <c:extLst>
            <c:ext xmlns:c16="http://schemas.microsoft.com/office/drawing/2014/chart" uri="{C3380CC4-5D6E-409C-BE32-E72D297353CC}">
              <c16:uniqueId val="{00000000-911D-4746-B297-C3C696DF36CF}"/>
            </c:ext>
          </c:extLst>
        </c:ser>
        <c:dLbls>
          <c:showLegendKey val="0"/>
          <c:showVal val="0"/>
          <c:showCatName val="0"/>
          <c:showSerName val="0"/>
          <c:showPercent val="0"/>
          <c:showBubbleSize val="0"/>
        </c:dLbls>
        <c:gapWidth val="150"/>
        <c:overlap val="100"/>
        <c:axId val="-1699510720"/>
        <c:axId val="-1699514528"/>
      </c:barChart>
      <c:catAx>
        <c:axId val="-16995107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9514528"/>
        <c:crosses val="autoZero"/>
        <c:auto val="1"/>
        <c:lblAlgn val="ctr"/>
        <c:lblOffset val="100"/>
        <c:noMultiLvlLbl val="0"/>
      </c:catAx>
      <c:valAx>
        <c:axId val="-169951452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951072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Sheet1!$C$14</c:f>
              <c:strCache>
                <c:ptCount val="1"/>
                <c:pt idx="0">
                  <c:v>Days sales in receivables</c:v>
                </c:pt>
              </c:strCache>
            </c:strRef>
          </c:tx>
          <c:spPr>
            <a:solidFill>
              <a:schemeClr val="accent1"/>
            </a:solidFill>
            <a:ln>
              <a:noFill/>
            </a:ln>
            <a:effectLst/>
          </c:spPr>
          <c:invertIfNegative val="0"/>
          <c:cat>
            <c:strRef>
              <c:f>Sheet1!$B$15:$B$16</c:f>
              <c:strCache>
                <c:ptCount val="2"/>
                <c:pt idx="0">
                  <c:v>2020'</c:v>
                </c:pt>
                <c:pt idx="1">
                  <c:v>2021'</c:v>
                </c:pt>
              </c:strCache>
            </c:strRef>
          </c:cat>
          <c:val>
            <c:numRef>
              <c:f>Sheet1!$C$15:$C$16</c:f>
              <c:numCache>
                <c:formatCode>General</c:formatCode>
                <c:ptCount val="2"/>
                <c:pt idx="0">
                  <c:v>61</c:v>
                </c:pt>
                <c:pt idx="1">
                  <c:v>52</c:v>
                </c:pt>
              </c:numCache>
            </c:numRef>
          </c:val>
          <c:extLst>
            <c:ext xmlns:c16="http://schemas.microsoft.com/office/drawing/2014/chart" uri="{C3380CC4-5D6E-409C-BE32-E72D297353CC}">
              <c16:uniqueId val="{00000000-65F5-49B9-9853-D5A3A4B83FAC}"/>
            </c:ext>
          </c:extLst>
        </c:ser>
        <c:dLbls>
          <c:showLegendKey val="0"/>
          <c:showVal val="0"/>
          <c:showCatName val="0"/>
          <c:showSerName val="0"/>
          <c:showPercent val="0"/>
          <c:showBubbleSize val="0"/>
        </c:dLbls>
        <c:gapWidth val="150"/>
        <c:overlap val="100"/>
        <c:axId val="-1699513440"/>
        <c:axId val="-1699510176"/>
      </c:barChart>
      <c:catAx>
        <c:axId val="-169951344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9510176"/>
        <c:crosses val="autoZero"/>
        <c:auto val="1"/>
        <c:lblAlgn val="ctr"/>
        <c:lblOffset val="100"/>
        <c:noMultiLvlLbl val="0"/>
      </c:catAx>
      <c:valAx>
        <c:axId val="-16995101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95134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Sheet1!$C$29</c:f>
              <c:strCache>
                <c:ptCount val="1"/>
                <c:pt idx="0">
                  <c:v>Gross Margin</c:v>
                </c:pt>
              </c:strCache>
            </c:strRef>
          </c:tx>
          <c:spPr>
            <a:solidFill>
              <a:schemeClr val="accent1"/>
            </a:solidFill>
            <a:ln>
              <a:noFill/>
            </a:ln>
            <a:effectLst/>
          </c:spPr>
          <c:invertIfNegative val="0"/>
          <c:cat>
            <c:strRef>
              <c:f>Sheet1!$B$30:$B$31</c:f>
              <c:strCache>
                <c:ptCount val="2"/>
                <c:pt idx="0">
                  <c:v>2020'</c:v>
                </c:pt>
                <c:pt idx="1">
                  <c:v>2021'</c:v>
                </c:pt>
              </c:strCache>
            </c:strRef>
          </c:cat>
          <c:val>
            <c:numRef>
              <c:f>Sheet1!$C$30:$C$31</c:f>
              <c:numCache>
                <c:formatCode>General</c:formatCode>
                <c:ptCount val="2"/>
                <c:pt idx="0">
                  <c:v>13.8019</c:v>
                </c:pt>
                <c:pt idx="1">
                  <c:v>20.2136</c:v>
                </c:pt>
              </c:numCache>
            </c:numRef>
          </c:val>
          <c:extLst>
            <c:ext xmlns:c16="http://schemas.microsoft.com/office/drawing/2014/chart" uri="{C3380CC4-5D6E-409C-BE32-E72D297353CC}">
              <c16:uniqueId val="{00000000-AFC6-4633-AC47-1236B9BE56B1}"/>
            </c:ext>
          </c:extLst>
        </c:ser>
        <c:dLbls>
          <c:showLegendKey val="0"/>
          <c:showVal val="0"/>
          <c:showCatName val="0"/>
          <c:showSerName val="0"/>
          <c:showPercent val="0"/>
          <c:showBubbleSize val="0"/>
        </c:dLbls>
        <c:gapWidth val="150"/>
        <c:overlap val="100"/>
        <c:axId val="-1699509632"/>
        <c:axId val="-1699509088"/>
      </c:barChart>
      <c:catAx>
        <c:axId val="-16995096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9509088"/>
        <c:crosses val="autoZero"/>
        <c:auto val="1"/>
        <c:lblAlgn val="ctr"/>
        <c:lblOffset val="100"/>
        <c:noMultiLvlLbl val="0"/>
      </c:catAx>
      <c:valAx>
        <c:axId val="-16995090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95096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Sheet1!$C$42</c:f>
              <c:strCache>
                <c:ptCount val="1"/>
                <c:pt idx="0">
                  <c:v>Operating Margin</c:v>
                </c:pt>
              </c:strCache>
            </c:strRef>
          </c:tx>
          <c:spPr>
            <a:solidFill>
              <a:schemeClr val="accent1"/>
            </a:solidFill>
            <a:ln>
              <a:noFill/>
            </a:ln>
            <a:effectLst/>
          </c:spPr>
          <c:invertIfNegative val="0"/>
          <c:cat>
            <c:strRef>
              <c:f>Sheet1!$B$43:$B$44</c:f>
              <c:strCache>
                <c:ptCount val="2"/>
                <c:pt idx="0">
                  <c:v>2020'</c:v>
                </c:pt>
                <c:pt idx="1">
                  <c:v>2021'</c:v>
                </c:pt>
              </c:strCache>
            </c:strRef>
          </c:cat>
          <c:val>
            <c:numRef>
              <c:f>Sheet1!$C$43:$C$44</c:f>
              <c:numCache>
                <c:formatCode>General</c:formatCode>
                <c:ptCount val="2"/>
                <c:pt idx="0">
                  <c:v>0.79459999999999997</c:v>
                </c:pt>
                <c:pt idx="1">
                  <c:v>12.629</c:v>
                </c:pt>
              </c:numCache>
            </c:numRef>
          </c:val>
          <c:extLst>
            <c:ext xmlns:c16="http://schemas.microsoft.com/office/drawing/2014/chart" uri="{C3380CC4-5D6E-409C-BE32-E72D297353CC}">
              <c16:uniqueId val="{00000000-C550-47CC-95F8-E06384AABD09}"/>
            </c:ext>
          </c:extLst>
        </c:ser>
        <c:dLbls>
          <c:showLegendKey val="0"/>
          <c:showVal val="0"/>
          <c:showCatName val="0"/>
          <c:showSerName val="0"/>
          <c:showPercent val="0"/>
          <c:showBubbleSize val="0"/>
        </c:dLbls>
        <c:gapWidth val="150"/>
        <c:overlap val="100"/>
        <c:axId val="-1699508544"/>
        <c:axId val="-1450289312"/>
      </c:barChart>
      <c:catAx>
        <c:axId val="-16995085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0289312"/>
        <c:crosses val="autoZero"/>
        <c:auto val="1"/>
        <c:lblAlgn val="ctr"/>
        <c:lblOffset val="100"/>
        <c:noMultiLvlLbl val="0"/>
      </c:catAx>
      <c:valAx>
        <c:axId val="-14502893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995085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Sheet1!$C$56</c:f>
              <c:strCache>
                <c:ptCount val="1"/>
                <c:pt idx="0">
                  <c:v>Net Profit Margin</c:v>
                </c:pt>
              </c:strCache>
            </c:strRef>
          </c:tx>
          <c:spPr>
            <a:solidFill>
              <a:schemeClr val="accent1"/>
            </a:solidFill>
            <a:ln>
              <a:noFill/>
            </a:ln>
            <a:effectLst/>
          </c:spPr>
          <c:invertIfNegative val="0"/>
          <c:cat>
            <c:strRef>
              <c:f>Sheet1!$B$57:$B$58</c:f>
              <c:strCache>
                <c:ptCount val="2"/>
                <c:pt idx="0">
                  <c:v>2020'</c:v>
                </c:pt>
                <c:pt idx="1">
                  <c:v>2021'</c:v>
                </c:pt>
              </c:strCache>
            </c:strRef>
          </c:cat>
          <c:val>
            <c:numRef>
              <c:f>Sheet1!$C$57:$C$58</c:f>
              <c:numCache>
                <c:formatCode>General</c:formatCode>
                <c:ptCount val="2"/>
                <c:pt idx="0">
                  <c:v>-2.5257999999999998</c:v>
                </c:pt>
                <c:pt idx="1">
                  <c:v>7.931</c:v>
                </c:pt>
              </c:numCache>
            </c:numRef>
          </c:val>
          <c:extLst>
            <c:ext xmlns:c16="http://schemas.microsoft.com/office/drawing/2014/chart" uri="{C3380CC4-5D6E-409C-BE32-E72D297353CC}">
              <c16:uniqueId val="{00000000-3230-42D1-8DC6-CC4DD0BFC2EE}"/>
            </c:ext>
          </c:extLst>
        </c:ser>
        <c:dLbls>
          <c:showLegendKey val="0"/>
          <c:showVal val="0"/>
          <c:showCatName val="0"/>
          <c:showSerName val="0"/>
          <c:showPercent val="0"/>
          <c:showBubbleSize val="0"/>
        </c:dLbls>
        <c:gapWidth val="150"/>
        <c:overlap val="100"/>
        <c:axId val="-1450292032"/>
        <c:axId val="-1450289856"/>
      </c:barChart>
      <c:catAx>
        <c:axId val="-1450292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0289856"/>
        <c:crosses val="autoZero"/>
        <c:auto val="1"/>
        <c:lblAlgn val="ctr"/>
        <c:lblOffset val="100"/>
        <c:noMultiLvlLbl val="0"/>
      </c:catAx>
      <c:valAx>
        <c:axId val="-14502898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02920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Sheet1!$C$70</c:f>
              <c:strCache>
                <c:ptCount val="1"/>
                <c:pt idx="0">
                  <c:v>ROA- Return on assets</c:v>
                </c:pt>
              </c:strCache>
            </c:strRef>
          </c:tx>
          <c:spPr>
            <a:solidFill>
              <a:schemeClr val="accent1"/>
            </a:solidFill>
            <a:ln>
              <a:noFill/>
            </a:ln>
            <a:effectLst/>
          </c:spPr>
          <c:invertIfNegative val="0"/>
          <c:cat>
            <c:strRef>
              <c:f>Sheet1!$B$71:$B$72</c:f>
              <c:strCache>
                <c:ptCount val="2"/>
                <c:pt idx="0">
                  <c:v>2020'</c:v>
                </c:pt>
                <c:pt idx="1">
                  <c:v>2021'</c:v>
                </c:pt>
              </c:strCache>
            </c:strRef>
          </c:cat>
          <c:val>
            <c:numRef>
              <c:f>Sheet1!$C$71:$C$72</c:f>
              <c:numCache>
                <c:formatCode>General</c:formatCode>
                <c:ptCount val="2"/>
                <c:pt idx="0">
                  <c:v>-1.0809</c:v>
                </c:pt>
                <c:pt idx="1">
                  <c:v>4.3009000000000004</c:v>
                </c:pt>
              </c:numCache>
            </c:numRef>
          </c:val>
          <c:extLst>
            <c:ext xmlns:c16="http://schemas.microsoft.com/office/drawing/2014/chart" uri="{C3380CC4-5D6E-409C-BE32-E72D297353CC}">
              <c16:uniqueId val="{00000000-0EB0-42F2-8D7B-BBE24208D84E}"/>
            </c:ext>
          </c:extLst>
        </c:ser>
        <c:dLbls>
          <c:showLegendKey val="0"/>
          <c:showVal val="0"/>
          <c:showCatName val="0"/>
          <c:showSerName val="0"/>
          <c:showPercent val="0"/>
          <c:showBubbleSize val="0"/>
        </c:dLbls>
        <c:gapWidth val="150"/>
        <c:overlap val="100"/>
        <c:axId val="-1450288224"/>
        <c:axId val="-1450284960"/>
      </c:barChart>
      <c:catAx>
        <c:axId val="-145028822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0284960"/>
        <c:crosses val="autoZero"/>
        <c:auto val="1"/>
        <c:lblAlgn val="ctr"/>
        <c:lblOffset val="100"/>
        <c:noMultiLvlLbl val="0"/>
      </c:catAx>
      <c:valAx>
        <c:axId val="-145028496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028822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Sheet1!$C$84</c:f>
              <c:strCache>
                <c:ptCount val="1"/>
                <c:pt idx="0">
                  <c:v>ROE- Return on equity</c:v>
                </c:pt>
              </c:strCache>
            </c:strRef>
          </c:tx>
          <c:spPr>
            <a:solidFill>
              <a:schemeClr val="accent1"/>
            </a:solidFill>
            <a:ln>
              <a:noFill/>
            </a:ln>
            <a:effectLst/>
          </c:spPr>
          <c:invertIfNegative val="0"/>
          <c:cat>
            <c:strRef>
              <c:f>Sheet1!$B$85:$B$86</c:f>
              <c:strCache>
                <c:ptCount val="2"/>
                <c:pt idx="0">
                  <c:v>2020'</c:v>
                </c:pt>
                <c:pt idx="1">
                  <c:v>2021'</c:v>
                </c:pt>
              </c:strCache>
            </c:strRef>
          </c:cat>
          <c:val>
            <c:numRef>
              <c:f>Sheet1!$C$85:$C$86</c:f>
              <c:numCache>
                <c:formatCode>General</c:formatCode>
                <c:ptCount val="2"/>
                <c:pt idx="0">
                  <c:v>-62.093000000000004</c:v>
                </c:pt>
                <c:pt idx="1">
                  <c:v>77.722800000000007</c:v>
                </c:pt>
              </c:numCache>
            </c:numRef>
          </c:val>
          <c:extLst>
            <c:ext xmlns:c16="http://schemas.microsoft.com/office/drawing/2014/chart" uri="{C3380CC4-5D6E-409C-BE32-E72D297353CC}">
              <c16:uniqueId val="{00000000-A818-4D10-B3FA-2AF47E9E607E}"/>
            </c:ext>
          </c:extLst>
        </c:ser>
        <c:dLbls>
          <c:showLegendKey val="0"/>
          <c:showVal val="0"/>
          <c:showCatName val="0"/>
          <c:showSerName val="0"/>
          <c:showPercent val="0"/>
          <c:showBubbleSize val="0"/>
        </c:dLbls>
        <c:gapWidth val="150"/>
        <c:overlap val="100"/>
        <c:axId val="-1450291488"/>
        <c:axId val="-1450290944"/>
      </c:barChart>
      <c:catAx>
        <c:axId val="-145029148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0290944"/>
        <c:crosses val="autoZero"/>
        <c:auto val="1"/>
        <c:lblAlgn val="ctr"/>
        <c:lblOffset val="100"/>
        <c:noMultiLvlLbl val="0"/>
      </c:catAx>
      <c:valAx>
        <c:axId val="-145029094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02914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Sheet1!$C$98</c:f>
              <c:strCache>
                <c:ptCount val="1"/>
                <c:pt idx="0">
                  <c:v>ROI- Return on investment</c:v>
                </c:pt>
              </c:strCache>
            </c:strRef>
          </c:tx>
          <c:spPr>
            <a:solidFill>
              <a:schemeClr val="accent1"/>
            </a:solidFill>
            <a:ln>
              <a:noFill/>
            </a:ln>
            <a:effectLst/>
          </c:spPr>
          <c:invertIfNegative val="0"/>
          <c:cat>
            <c:strRef>
              <c:f>Sheet1!$B$99:$B$100</c:f>
              <c:strCache>
                <c:ptCount val="2"/>
                <c:pt idx="0">
                  <c:v>2020'</c:v>
                </c:pt>
                <c:pt idx="1">
                  <c:v>2021'</c:v>
                </c:pt>
              </c:strCache>
            </c:strRef>
          </c:cat>
          <c:val>
            <c:numRef>
              <c:f>Sheet1!$C$99:$C$100</c:f>
              <c:numCache>
                <c:formatCode>General</c:formatCode>
                <c:ptCount val="2"/>
                <c:pt idx="0">
                  <c:v>-2.7717000000000001</c:v>
                </c:pt>
                <c:pt idx="1">
                  <c:v>10.226100000000001</c:v>
                </c:pt>
              </c:numCache>
            </c:numRef>
          </c:val>
          <c:extLst>
            <c:ext xmlns:c16="http://schemas.microsoft.com/office/drawing/2014/chart" uri="{C3380CC4-5D6E-409C-BE32-E72D297353CC}">
              <c16:uniqueId val="{00000000-1F4B-4986-9D55-C1483230E70B}"/>
            </c:ext>
          </c:extLst>
        </c:ser>
        <c:dLbls>
          <c:showLegendKey val="0"/>
          <c:showVal val="0"/>
          <c:showCatName val="0"/>
          <c:showSerName val="0"/>
          <c:showPercent val="0"/>
          <c:showBubbleSize val="0"/>
        </c:dLbls>
        <c:gapWidth val="150"/>
        <c:overlap val="100"/>
        <c:axId val="-1450287680"/>
        <c:axId val="-1450283872"/>
      </c:barChart>
      <c:catAx>
        <c:axId val="-14502876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0283872"/>
        <c:crosses val="autoZero"/>
        <c:auto val="1"/>
        <c:lblAlgn val="ctr"/>
        <c:lblOffset val="100"/>
        <c:noMultiLvlLbl val="0"/>
      </c:catAx>
      <c:valAx>
        <c:axId val="-145028387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02876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Sheet1!$C$125</c:f>
              <c:strCache>
                <c:ptCount val="1"/>
                <c:pt idx="0">
                  <c:v>Asset turnover ratio</c:v>
                </c:pt>
              </c:strCache>
            </c:strRef>
          </c:tx>
          <c:spPr>
            <a:solidFill>
              <a:schemeClr val="accent1"/>
            </a:solidFill>
            <a:ln>
              <a:noFill/>
            </a:ln>
            <a:effectLst/>
          </c:spPr>
          <c:invertIfNegative val="0"/>
          <c:cat>
            <c:strRef>
              <c:f>Sheet1!$B$126:$B$127</c:f>
              <c:strCache>
                <c:ptCount val="2"/>
                <c:pt idx="0">
                  <c:v>2020'</c:v>
                </c:pt>
                <c:pt idx="1">
                  <c:v>2021'</c:v>
                </c:pt>
              </c:strCache>
            </c:strRef>
          </c:cat>
          <c:val>
            <c:numRef>
              <c:f>Sheet1!$C$126:$C$127</c:f>
              <c:numCache>
                <c:formatCode>General</c:formatCode>
                <c:ptCount val="2"/>
                <c:pt idx="0">
                  <c:v>0.42799999999999999</c:v>
                </c:pt>
                <c:pt idx="1">
                  <c:v>0.5423</c:v>
                </c:pt>
              </c:numCache>
            </c:numRef>
          </c:val>
          <c:extLst>
            <c:ext xmlns:c16="http://schemas.microsoft.com/office/drawing/2014/chart" uri="{C3380CC4-5D6E-409C-BE32-E72D297353CC}">
              <c16:uniqueId val="{00000000-21FA-4FA1-AF4B-2D86003297CB}"/>
            </c:ext>
          </c:extLst>
        </c:ser>
        <c:dLbls>
          <c:showLegendKey val="0"/>
          <c:showVal val="0"/>
          <c:showCatName val="0"/>
          <c:showSerName val="0"/>
          <c:showPercent val="0"/>
          <c:showBubbleSize val="0"/>
        </c:dLbls>
        <c:gapWidth val="150"/>
        <c:overlap val="100"/>
        <c:axId val="-1450288768"/>
        <c:axId val="-1450287136"/>
      </c:barChart>
      <c:catAx>
        <c:axId val="-145028876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0287136"/>
        <c:crosses val="autoZero"/>
        <c:auto val="1"/>
        <c:lblAlgn val="ctr"/>
        <c:lblOffset val="100"/>
        <c:noMultiLvlLbl val="0"/>
      </c:catAx>
      <c:valAx>
        <c:axId val="-145028713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028876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Sheet1!$C$112</c:f>
              <c:strCache>
                <c:ptCount val="1"/>
                <c:pt idx="0">
                  <c:v>Debt/Equity ratio</c:v>
                </c:pt>
              </c:strCache>
            </c:strRef>
          </c:tx>
          <c:spPr>
            <a:solidFill>
              <a:schemeClr val="accent1"/>
            </a:solidFill>
            <a:ln>
              <a:noFill/>
            </a:ln>
            <a:effectLst/>
          </c:spPr>
          <c:invertIfNegative val="0"/>
          <c:cat>
            <c:strRef>
              <c:f>Sheet1!$B$113:$B$114</c:f>
              <c:strCache>
                <c:ptCount val="2"/>
                <c:pt idx="0">
                  <c:v>2020'</c:v>
                </c:pt>
                <c:pt idx="1">
                  <c:v>2021'</c:v>
                </c:pt>
              </c:strCache>
            </c:strRef>
          </c:cat>
          <c:val>
            <c:numRef>
              <c:f>Sheet1!$C$113:$C$114</c:f>
              <c:numCache>
                <c:formatCode>General</c:formatCode>
                <c:ptCount val="2"/>
                <c:pt idx="0">
                  <c:v>24.130199999999999</c:v>
                </c:pt>
                <c:pt idx="1">
                  <c:v>7.1696999999999997</c:v>
                </c:pt>
              </c:numCache>
            </c:numRef>
          </c:val>
          <c:extLst>
            <c:ext xmlns:c16="http://schemas.microsoft.com/office/drawing/2014/chart" uri="{C3380CC4-5D6E-409C-BE32-E72D297353CC}">
              <c16:uniqueId val="{00000000-B9D8-47AD-A5EF-B5F843FB6F47}"/>
            </c:ext>
          </c:extLst>
        </c:ser>
        <c:dLbls>
          <c:showLegendKey val="0"/>
          <c:showVal val="0"/>
          <c:showCatName val="0"/>
          <c:showSerName val="0"/>
          <c:showPercent val="0"/>
          <c:showBubbleSize val="0"/>
        </c:dLbls>
        <c:gapWidth val="150"/>
        <c:overlap val="100"/>
        <c:axId val="-1450286048"/>
        <c:axId val="-1450293120"/>
      </c:barChart>
      <c:catAx>
        <c:axId val="-145028604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0293120"/>
        <c:crosses val="autoZero"/>
        <c:auto val="1"/>
        <c:lblAlgn val="ctr"/>
        <c:lblOffset val="100"/>
        <c:noMultiLvlLbl val="0"/>
      </c:catAx>
      <c:valAx>
        <c:axId val="-14502931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5028604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Ser19</b:Tag>
    <b:SourceType>JournalArticle</b:SourceType>
    <b:Guid>{BFD34261-8B99-4DB1-BE3D-A98BF3317965}</b:Guid>
    <b:Title>The classification and comparison of business ratios analysis methods</b:Title>
    <b:Year>2019</b:Year>
    <b:Author>
      <b:Author>
        <b:NameList>
          <b:Person>
            <b:Last>Hilkevics</b:Last>
            <b:First>Sergejs</b:First>
          </b:Person>
        </b:NameList>
      </b:Author>
    </b:Author>
    <b:JournalName>Humanities and Social Sciences </b:JournalName>
    <b:Volume>11</b:Volume>
    <b:Issue>1</b:Issue>
    <b:RefOrder>10</b:RefOrder>
  </b:Source>
  <b:Source>
    <b:Tag>Gab19</b:Tag>
    <b:SourceType>JournalArticle</b:SourceType>
    <b:Guid>{9C03F42E-3460-4B5E-8173-5A50A8510364}</b:Guid>
    <b:Author>
      <b:Author>
        <b:NameList>
          <b:Person>
            <b:Last>GabrijelaPopovic</b:Last>
          </b:Person>
        </b:NameList>
      </b:Author>
    </b:Author>
    <b:Title>A multiple-criteria decision-making model for the selection of a hotel location</b:Title>
    <b:JournalName>Land Use Policy</b:JournalName>
    <b:Year>2019</b:Year>
    <b:Pages>49-58</b:Pages>
    <b:Volume>84</b:Volume>
    <b:RefOrder>8</b:RefOrder>
  </b:Source>
  <b:Source>
    <b:Tag>Ste20</b:Tag>
    <b:SourceType>InternetSite</b:SourceType>
    <b:Guid>{CB49DACB-6A33-4383-AC06-CD07B6E2F420}</b:Guid>
    <b:Title>How to Improve ROI</b:Title>
    <b:Year>2020</b:Year>
    <b:Author>
      <b:Author>
        <b:NameList>
          <b:Person>
            <b:Last>Milano</b:Last>
            <b:First>Steve</b:First>
          </b:Person>
        </b:NameList>
      </b:Author>
    </b:Author>
    <b:YearAccessed>2022</b:YearAccessed>
    <b:MonthAccessed>11</b:MonthAccessed>
    <b:DayAccessed>30</b:DayAccessed>
    <b:URL>https://smallbusiness.chron.com/improve-roi-67173.html</b:URL>
    <b:RefOrder>6</b:RefOrder>
  </b:Source>
  <b:Source>
    <b:Tag>Ram22</b:Tag>
    <b:SourceType>InternetSite</b:SourceType>
    <b:Guid>{BA630AF8-5EA2-4A74-8B43-08BA59950AF2}</b:Guid>
    <b:Author>
      <b:Author>
        <b:NameList>
          <b:Person>
            <b:Last>Lewis</b:Last>
            <b:First>Ramsay</b:First>
          </b:Person>
        </b:NameList>
      </b:Author>
    </b:Author>
    <b:Title>What is return on equity? How to calculate ROE to evaluate a company's profitability</b:Title>
    <b:Year>2022</b:Year>
    <b:YearAccessed>2022</b:YearAccessed>
    <b:MonthAccessed>11</b:MonthAccessed>
    <b:DayAccessed>28</b:DayAccessed>
    <b:URL>https://www.businessinsider.com/personal-finance/return-on-equity#:~:text=A%20higher%20ROE%20signals%20that,compared%20to%20its%20shareholder's%20equity.</b:URL>
    <b:RefOrder>5</b:RefOrder>
  </b:Source>
  <b:Source>
    <b:Tag>fun22</b:Tag>
    <b:SourceType>InternetSite</b:SourceType>
    <b:Guid>{3301CFDB-F659-49A5-88B9-73A41AB24A29}</b:Guid>
    <b:Author>
      <b:Author>
        <b:Corporate>fundamentals</b:Corporate>
      </b:Author>
    </b:Author>
    <b:Title>Negative Return on Assets: Causes and Meaning</b:Title>
    <b:Year>2022</b:Year>
    <b:YearAccessed>2022</b:YearAccessed>
    <b:MonthAccessed>11</b:MonthAccessed>
    <b:DayAccessed>28</b:DayAccessed>
    <b:URL>https://cliffcore.com/negative-return-on-assets-causes-and-meaning/</b:URL>
    <b:RefOrder>4</b:RefOrder>
  </b:Source>
  <b:Source>
    <b:Tag>Rus22</b:Tag>
    <b:SourceType>InternetSite</b:SourceType>
    <b:Guid>{CAAD5540-6531-4B3B-B4C2-93012012DDBE}</b:Guid>
    <b:Author>
      <b:Author>
        <b:NameList>
          <b:Person>
            <b:Last>Huebsch</b:Last>
            <b:First>Russell</b:First>
          </b:Person>
        </b:NameList>
      </b:Author>
    </b:Author>
    <b:Title>Gross Margin of Hotels</b:Title>
    <b:Year>2022</b:Year>
    <b:YearAccessed>2022</b:YearAccessed>
    <b:MonthAccessed>11</b:MonthAccessed>
    <b:DayAccessed>27</b:DayAccessed>
    <b:URL>https://smallbusiness.chron.com/gross-margin-hotels-36581.html</b:URL>
    <b:RefOrder>3</b:RefOrder>
  </b:Source>
  <b:Source>
    <b:Tag>JER22</b:Tag>
    <b:SourceType>InternetSite</b:SourceType>
    <b:Guid>{9469873B-6ACA-4F3D-93B6-B77A56497D42}</b:Guid>
    <b:Author>
      <b:Author>
        <b:NameList>
          <b:Person>
            <b:Last>GRZEGORZEK</b:Last>
            <b:First>JERRY</b:First>
          </b:Person>
        </b:NameList>
      </b:Author>
    </b:Author>
    <b:Title>Efficiency Ratios: Debtor Days</b:Title>
    <b:Year>2022</b:Year>
    <b:YearAccessed>2022</b:YearAccessed>
    <b:MonthAccessed>11</b:MonthAccessed>
    <b:DayAccessed>29</b:DayAccessed>
    <b:URL>https://www.superbusinessmanager.com/efficiency-ratios-debtor-days/</b:URL>
    <b:RefOrder>2</b:RefOrder>
  </b:Source>
  <b:Source>
    <b:Tag>JAS22</b:Tag>
    <b:SourceType>InternetSite</b:SourceType>
    <b:Guid>{01E3359B-E3F4-47D9-A5E5-D5B6480882E4}</b:Guid>
    <b:Author>
      <b:Author>
        <b:NameList>
          <b:Person>
            <b:Last>FERNANDO</b:Last>
            <b:First>JASON</b:First>
          </b:Person>
        </b:NameList>
      </b:Author>
    </b:Author>
    <b:Title>What Is the Current Ratio?</b:Title>
    <b:Year>2022</b:Year>
    <b:YearAccessed>2022</b:YearAccessed>
    <b:MonthAccessed>11</b:MonthAccessed>
    <b:DayAccessed>29</b:DayAccessed>
    <b:URL>https://www.investopedia.com/terms/c/currentratio.asp</b:URL>
    <b:RefOrder>1</b:RefOrder>
  </b:Source>
  <b:Source>
    <b:Tag>Ros22</b:Tag>
    <b:SourceType>InternetSite</b:SourceType>
    <b:Guid>{01871362-88C7-4318-B9B0-D70A78276CAC}</b:Guid>
    <b:Author>
      <b:Author>
        <b:NameList>
          <b:Person>
            <b:Last>Carlson</b:Last>
            <b:First>Rosemary</b:First>
          </b:Person>
        </b:NameList>
      </b:Author>
    </b:Author>
    <b:Title>6 Limitations of Using Financial Ratio Analysis</b:Title>
    <b:Year>2022</b:Year>
    <b:YearAccessed>2022</b:YearAccessed>
    <b:MonthAccessed>11</b:MonthAccessed>
    <b:DayAccessed>30</b:DayAccessed>
    <b:URL>https://www.thebalancemoney.com/limitations-of-financial-ratio-analysis-393236</b:URL>
    <b:RefOrder>9</b:RefOrder>
  </b:Source>
  <b:Source>
    <b:Tag>Pri22</b:Tag>
    <b:SourceType>InternetSite</b:SourceType>
    <b:Guid>{BF5208A5-B675-4239-892B-5D779DB74F2A}</b:Guid>
    <b:Author>
      <b:Author>
        <b:NameList>
          <b:Person>
            <b:Last>Banerjee</b:Last>
            <b:First>Pritha</b:First>
          </b:Person>
        </b:NameList>
      </b:Author>
    </b:Author>
    <b:Title>Importance of Ratio Analysis</b:Title>
    <b:Year>2022</b:Year>
    <b:YearAccessed>2022</b:YearAccessed>
    <b:MonthAccessed>11</b:MonthAccessed>
    <b:DayAccessed>29</b:DayAccessed>
    <b:URL>https://www.wallstreetmojo.com/importance-of-ratio-analysis/</b:URL>
    <b:RefOrder>7</b:RefOrder>
  </b:Source>
</b:Sources>
</file>

<file path=customXml/itemProps1.xml><?xml version="1.0" encoding="utf-8"?>
<ds:datastoreItem xmlns:ds="http://schemas.openxmlformats.org/officeDocument/2006/customXml" ds:itemID="{F129A6B9-0603-4724-9E23-18DAB39B5E4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2695</Words>
  <Characters>15362</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Samrana</dc:creator>
  <cp:keywords/>
  <dc:description/>
  <cp:lastModifiedBy>Shahzad Khan</cp:lastModifiedBy>
  <cp:revision>2</cp:revision>
  <dcterms:created xsi:type="dcterms:W3CDTF">2022-12-06T09:03:00Z</dcterms:created>
  <dcterms:modified xsi:type="dcterms:W3CDTF">2022-12-06T09:03:00Z</dcterms:modified>
</cp:coreProperties>
</file>