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4814B" w14:textId="77777777" w:rsidR="005B1486" w:rsidRDefault="005B1486">
      <w:pPr>
        <w:spacing w:line="480" w:lineRule="auto"/>
        <w:jc w:val="center"/>
        <w:rPr>
          <w:rFonts w:ascii="Times New Roman" w:eastAsia="Times New Roman" w:hAnsi="Times New Roman" w:cs="Times New Roman"/>
          <w:sz w:val="24"/>
          <w:szCs w:val="24"/>
        </w:rPr>
      </w:pPr>
    </w:p>
    <w:p w14:paraId="2DBEF521" w14:textId="77777777" w:rsidR="002661A7" w:rsidRDefault="002661A7" w:rsidP="00863D2A">
      <w:pPr>
        <w:spacing w:line="480" w:lineRule="auto"/>
        <w:jc w:val="center"/>
        <w:rPr>
          <w:rFonts w:ascii="Times New Roman" w:eastAsia="Times New Roman" w:hAnsi="Times New Roman" w:cs="Times New Roman"/>
          <w:sz w:val="24"/>
          <w:szCs w:val="24"/>
        </w:rPr>
      </w:pPr>
    </w:p>
    <w:p w14:paraId="75747EA6" w14:textId="0F0E2C1C" w:rsidR="00863D2A" w:rsidRPr="00863D2A" w:rsidRDefault="00863D2A" w:rsidP="00863D2A">
      <w:pPr>
        <w:spacing w:line="480" w:lineRule="auto"/>
        <w:jc w:val="center"/>
        <w:rPr>
          <w:rFonts w:ascii="Times New Roman" w:eastAsia="Times New Roman" w:hAnsi="Times New Roman" w:cs="Times New Roman"/>
          <w:sz w:val="24"/>
          <w:szCs w:val="24"/>
        </w:rPr>
      </w:pPr>
      <w:r w:rsidRPr="00863D2A">
        <w:rPr>
          <w:rFonts w:ascii="Times New Roman" w:eastAsia="Times New Roman" w:hAnsi="Times New Roman" w:cs="Times New Roman"/>
          <w:sz w:val="24"/>
          <w:szCs w:val="24"/>
        </w:rPr>
        <w:t>UWTSD</w:t>
      </w:r>
    </w:p>
    <w:p w14:paraId="50E7CED6" w14:textId="7F33C340" w:rsidR="00863D2A" w:rsidRDefault="00863D2A" w:rsidP="00863D2A">
      <w:pPr>
        <w:spacing w:line="480" w:lineRule="auto"/>
        <w:jc w:val="center"/>
        <w:rPr>
          <w:rFonts w:ascii="Times New Roman" w:eastAsia="Times New Roman" w:hAnsi="Times New Roman" w:cs="Times New Roman"/>
          <w:sz w:val="24"/>
          <w:szCs w:val="24"/>
        </w:rPr>
      </w:pPr>
      <w:r w:rsidRPr="00863D2A">
        <w:rPr>
          <w:rFonts w:ascii="Times New Roman" w:eastAsia="Times New Roman" w:hAnsi="Times New Roman" w:cs="Times New Roman"/>
          <w:sz w:val="24"/>
          <w:szCs w:val="24"/>
        </w:rPr>
        <w:t xml:space="preserve">BA Business </w:t>
      </w:r>
      <w:r w:rsidR="00D52569" w:rsidRPr="00863D2A">
        <w:rPr>
          <w:rFonts w:ascii="Times New Roman" w:eastAsia="Times New Roman" w:hAnsi="Times New Roman" w:cs="Times New Roman"/>
          <w:sz w:val="24"/>
          <w:szCs w:val="24"/>
        </w:rPr>
        <w:t>Management</w:t>
      </w:r>
      <w:r w:rsidR="00D52569">
        <w:rPr>
          <w:rFonts w:ascii="Times New Roman" w:eastAsia="Times New Roman" w:hAnsi="Times New Roman" w:cs="Times New Roman"/>
          <w:sz w:val="24"/>
          <w:szCs w:val="24"/>
        </w:rPr>
        <w:t>, Level 6</w:t>
      </w:r>
    </w:p>
    <w:p w14:paraId="324F2F46" w14:textId="77777777" w:rsidR="007E4614" w:rsidRPr="00863D2A" w:rsidRDefault="007E4614" w:rsidP="00863D2A">
      <w:pPr>
        <w:spacing w:line="480" w:lineRule="auto"/>
        <w:jc w:val="center"/>
        <w:rPr>
          <w:rFonts w:ascii="Times New Roman" w:eastAsia="Times New Roman" w:hAnsi="Times New Roman" w:cs="Times New Roman"/>
          <w:sz w:val="24"/>
          <w:szCs w:val="24"/>
        </w:rPr>
      </w:pPr>
    </w:p>
    <w:p w14:paraId="67F6B969" w14:textId="77777777" w:rsidR="00863D2A" w:rsidRPr="00863D2A" w:rsidRDefault="00863D2A" w:rsidP="00863D2A">
      <w:pPr>
        <w:spacing w:line="480" w:lineRule="auto"/>
        <w:jc w:val="center"/>
        <w:rPr>
          <w:rFonts w:ascii="Times New Roman" w:eastAsia="Times New Roman" w:hAnsi="Times New Roman" w:cs="Times New Roman"/>
          <w:sz w:val="24"/>
          <w:szCs w:val="24"/>
        </w:rPr>
      </w:pPr>
      <w:r w:rsidRPr="00863D2A">
        <w:rPr>
          <w:rFonts w:ascii="Times New Roman" w:eastAsia="Times New Roman" w:hAnsi="Times New Roman" w:cs="Times New Roman"/>
          <w:sz w:val="24"/>
          <w:szCs w:val="24"/>
        </w:rPr>
        <w:t>International Financial Management (LCBB6002)</w:t>
      </w:r>
    </w:p>
    <w:p w14:paraId="7F33F0E5" w14:textId="77777777" w:rsidR="00863D2A" w:rsidRPr="00863D2A" w:rsidRDefault="00863D2A" w:rsidP="00863D2A">
      <w:pPr>
        <w:spacing w:line="480" w:lineRule="auto"/>
        <w:jc w:val="center"/>
        <w:rPr>
          <w:rFonts w:ascii="Times New Roman" w:eastAsia="Times New Roman" w:hAnsi="Times New Roman" w:cs="Times New Roman"/>
          <w:sz w:val="24"/>
          <w:szCs w:val="24"/>
        </w:rPr>
      </w:pPr>
      <w:r w:rsidRPr="00863D2A">
        <w:rPr>
          <w:rFonts w:ascii="Times New Roman" w:eastAsia="Times New Roman" w:hAnsi="Times New Roman" w:cs="Times New Roman"/>
          <w:sz w:val="24"/>
          <w:szCs w:val="24"/>
        </w:rPr>
        <w:t xml:space="preserve">Lecturer: Dr. Taye Timothy </w:t>
      </w:r>
      <w:proofErr w:type="spellStart"/>
      <w:r w:rsidRPr="00863D2A">
        <w:rPr>
          <w:rFonts w:ascii="Times New Roman" w:eastAsia="Times New Roman" w:hAnsi="Times New Roman" w:cs="Times New Roman"/>
          <w:sz w:val="24"/>
          <w:szCs w:val="24"/>
        </w:rPr>
        <w:t>Osadiya</w:t>
      </w:r>
      <w:proofErr w:type="spellEnd"/>
    </w:p>
    <w:p w14:paraId="618C30AB" w14:textId="3280B78B" w:rsidR="005B1486" w:rsidRDefault="00863D2A" w:rsidP="00863D2A">
      <w:pPr>
        <w:spacing w:line="480" w:lineRule="auto"/>
        <w:jc w:val="center"/>
        <w:rPr>
          <w:rFonts w:ascii="Times New Roman" w:eastAsia="Times New Roman" w:hAnsi="Times New Roman" w:cs="Times New Roman"/>
          <w:sz w:val="24"/>
          <w:szCs w:val="24"/>
        </w:rPr>
      </w:pPr>
      <w:r w:rsidRPr="00863D2A">
        <w:rPr>
          <w:rFonts w:ascii="Times New Roman" w:eastAsia="Times New Roman" w:hAnsi="Times New Roman" w:cs="Times New Roman"/>
          <w:sz w:val="24"/>
          <w:szCs w:val="24"/>
        </w:rPr>
        <w:t>Student: Tonka Nikolova (1914038), leve</w:t>
      </w:r>
      <w:r w:rsidR="002661A7">
        <w:rPr>
          <w:rFonts w:ascii="Times New Roman" w:eastAsia="Times New Roman" w:hAnsi="Times New Roman" w:cs="Times New Roman"/>
          <w:sz w:val="24"/>
          <w:szCs w:val="24"/>
        </w:rPr>
        <w:t xml:space="preserve">l </w:t>
      </w:r>
      <w:r w:rsidRPr="00863D2A">
        <w:rPr>
          <w:rFonts w:ascii="Times New Roman" w:eastAsia="Times New Roman" w:hAnsi="Times New Roman" w:cs="Times New Roman"/>
          <w:sz w:val="24"/>
          <w:szCs w:val="24"/>
        </w:rPr>
        <w:t>6, Group 1</w:t>
      </w:r>
    </w:p>
    <w:p w14:paraId="1AE1619C" w14:textId="11BDE781" w:rsidR="00A22B98" w:rsidRDefault="002661A7" w:rsidP="007E461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22B98" w:rsidRPr="00A22B98">
        <w:rPr>
          <w:rFonts w:ascii="Times New Roman" w:eastAsia="Times New Roman" w:hAnsi="Times New Roman" w:cs="Times New Roman"/>
          <w:sz w:val="24"/>
          <w:szCs w:val="24"/>
        </w:rPr>
        <w:t xml:space="preserve"> Assessment 1</w:t>
      </w:r>
    </w:p>
    <w:p w14:paraId="1494F4B0" w14:textId="3F4EFEAD" w:rsidR="005B1486" w:rsidRDefault="00A22B98">
      <w:pPr>
        <w:spacing w:line="480" w:lineRule="auto"/>
        <w:jc w:val="center"/>
        <w:rPr>
          <w:rFonts w:ascii="Times New Roman" w:eastAsia="Times New Roman" w:hAnsi="Times New Roman" w:cs="Times New Roman"/>
          <w:sz w:val="24"/>
          <w:szCs w:val="24"/>
          <w:u w:val="single"/>
        </w:rPr>
      </w:pPr>
      <w:r w:rsidRPr="00A22B98">
        <w:rPr>
          <w:rFonts w:ascii="Times New Roman" w:eastAsia="Times New Roman" w:hAnsi="Times New Roman" w:cs="Times New Roman"/>
          <w:sz w:val="24"/>
          <w:szCs w:val="24"/>
          <w:u w:val="single"/>
        </w:rPr>
        <w:t>International Financial Management (IFM) in Coca-Cola</w:t>
      </w:r>
    </w:p>
    <w:p w14:paraId="72894693" w14:textId="77777777" w:rsidR="002A4261" w:rsidRPr="00A22B98" w:rsidRDefault="002A4261">
      <w:pPr>
        <w:spacing w:line="480" w:lineRule="auto"/>
        <w:jc w:val="center"/>
        <w:rPr>
          <w:rFonts w:ascii="Times New Roman" w:eastAsia="Times New Roman" w:hAnsi="Times New Roman" w:cs="Times New Roman"/>
          <w:sz w:val="24"/>
          <w:szCs w:val="24"/>
          <w:u w:val="single"/>
        </w:rPr>
      </w:pPr>
    </w:p>
    <w:p w14:paraId="753D6C63" w14:textId="77777777" w:rsidR="005B1486" w:rsidRDefault="005B1486">
      <w:pPr>
        <w:spacing w:line="480" w:lineRule="auto"/>
        <w:jc w:val="center"/>
        <w:rPr>
          <w:rFonts w:ascii="Times New Roman" w:eastAsia="Times New Roman" w:hAnsi="Times New Roman" w:cs="Times New Roman"/>
          <w:sz w:val="24"/>
          <w:szCs w:val="24"/>
        </w:rPr>
      </w:pPr>
    </w:p>
    <w:p w14:paraId="1070E75E" w14:textId="77777777" w:rsidR="005B1486" w:rsidRDefault="005B1486">
      <w:pPr>
        <w:spacing w:line="480" w:lineRule="auto"/>
        <w:jc w:val="center"/>
        <w:rPr>
          <w:rFonts w:ascii="Times New Roman" w:eastAsia="Times New Roman" w:hAnsi="Times New Roman" w:cs="Times New Roman"/>
          <w:sz w:val="24"/>
          <w:szCs w:val="24"/>
        </w:rPr>
      </w:pPr>
    </w:p>
    <w:p w14:paraId="0BA3BBC1" w14:textId="77777777" w:rsidR="005B1486" w:rsidRDefault="005B1486">
      <w:pPr>
        <w:spacing w:line="480" w:lineRule="auto"/>
        <w:jc w:val="center"/>
        <w:rPr>
          <w:rFonts w:ascii="Times New Roman" w:eastAsia="Times New Roman" w:hAnsi="Times New Roman" w:cs="Times New Roman"/>
          <w:sz w:val="24"/>
          <w:szCs w:val="24"/>
        </w:rPr>
      </w:pPr>
    </w:p>
    <w:p w14:paraId="326A5228" w14:textId="77777777" w:rsidR="005B1486" w:rsidRDefault="005B1486">
      <w:pPr>
        <w:spacing w:line="480" w:lineRule="auto"/>
        <w:jc w:val="center"/>
        <w:rPr>
          <w:rFonts w:ascii="Times New Roman" w:eastAsia="Times New Roman" w:hAnsi="Times New Roman" w:cs="Times New Roman"/>
          <w:sz w:val="24"/>
          <w:szCs w:val="24"/>
        </w:rPr>
      </w:pPr>
    </w:p>
    <w:p w14:paraId="7B9B2FA0" w14:textId="77777777" w:rsidR="005B1486" w:rsidRDefault="005B1486">
      <w:pPr>
        <w:spacing w:line="480" w:lineRule="auto"/>
        <w:jc w:val="center"/>
        <w:rPr>
          <w:rFonts w:ascii="Times New Roman" w:eastAsia="Times New Roman" w:hAnsi="Times New Roman" w:cs="Times New Roman"/>
          <w:sz w:val="24"/>
          <w:szCs w:val="24"/>
        </w:rPr>
      </w:pPr>
    </w:p>
    <w:p w14:paraId="22C2119D" w14:textId="77777777" w:rsidR="005B1486" w:rsidRDefault="005B1486">
      <w:pPr>
        <w:spacing w:line="480" w:lineRule="auto"/>
        <w:jc w:val="center"/>
        <w:rPr>
          <w:rFonts w:ascii="Times New Roman" w:eastAsia="Times New Roman" w:hAnsi="Times New Roman" w:cs="Times New Roman"/>
          <w:sz w:val="24"/>
          <w:szCs w:val="24"/>
        </w:rPr>
      </w:pPr>
    </w:p>
    <w:p w14:paraId="1B72547E" w14:textId="77777777" w:rsidR="005B1486" w:rsidRDefault="005B1486">
      <w:pPr>
        <w:spacing w:line="480" w:lineRule="auto"/>
        <w:jc w:val="center"/>
        <w:rPr>
          <w:rFonts w:ascii="Times New Roman" w:eastAsia="Times New Roman" w:hAnsi="Times New Roman" w:cs="Times New Roman"/>
          <w:sz w:val="24"/>
          <w:szCs w:val="24"/>
        </w:rPr>
      </w:pPr>
    </w:p>
    <w:p w14:paraId="4821CAA7" w14:textId="77777777" w:rsidR="005B1486" w:rsidRDefault="005B1486">
      <w:pPr>
        <w:spacing w:line="480" w:lineRule="auto"/>
        <w:jc w:val="center"/>
        <w:rPr>
          <w:rFonts w:ascii="Times New Roman" w:eastAsia="Times New Roman" w:hAnsi="Times New Roman" w:cs="Times New Roman"/>
          <w:sz w:val="24"/>
          <w:szCs w:val="24"/>
        </w:rPr>
      </w:pPr>
    </w:p>
    <w:p w14:paraId="61B26810" w14:textId="77777777" w:rsidR="005B1486" w:rsidRDefault="005B1486">
      <w:pPr>
        <w:spacing w:line="480" w:lineRule="auto"/>
        <w:jc w:val="center"/>
        <w:rPr>
          <w:rFonts w:ascii="Times New Roman" w:eastAsia="Times New Roman" w:hAnsi="Times New Roman" w:cs="Times New Roman"/>
          <w:sz w:val="24"/>
          <w:szCs w:val="24"/>
        </w:rPr>
      </w:pPr>
    </w:p>
    <w:p w14:paraId="36A34651" w14:textId="77777777" w:rsidR="005B1486" w:rsidRDefault="005B1486">
      <w:pPr>
        <w:spacing w:line="480" w:lineRule="auto"/>
        <w:jc w:val="center"/>
        <w:rPr>
          <w:rFonts w:ascii="Times New Roman" w:eastAsia="Times New Roman" w:hAnsi="Times New Roman" w:cs="Times New Roman"/>
          <w:sz w:val="24"/>
          <w:szCs w:val="24"/>
        </w:rPr>
      </w:pPr>
    </w:p>
    <w:p w14:paraId="507CA533" w14:textId="77777777" w:rsidR="005B1486" w:rsidRDefault="005B1486">
      <w:pPr>
        <w:spacing w:line="480" w:lineRule="auto"/>
        <w:jc w:val="center"/>
        <w:rPr>
          <w:rFonts w:ascii="Times New Roman" w:eastAsia="Times New Roman" w:hAnsi="Times New Roman" w:cs="Times New Roman"/>
          <w:sz w:val="24"/>
          <w:szCs w:val="24"/>
        </w:rPr>
      </w:pPr>
    </w:p>
    <w:p w14:paraId="4D76ABC3" w14:textId="77777777" w:rsidR="005B1486" w:rsidRDefault="005B1486">
      <w:pPr>
        <w:spacing w:line="480" w:lineRule="auto"/>
        <w:jc w:val="center"/>
        <w:rPr>
          <w:rFonts w:ascii="Times New Roman" w:eastAsia="Times New Roman" w:hAnsi="Times New Roman" w:cs="Times New Roman"/>
          <w:sz w:val="24"/>
          <w:szCs w:val="24"/>
        </w:rPr>
      </w:pPr>
    </w:p>
    <w:p w14:paraId="3BDFCDE0" w14:textId="77777777" w:rsidR="005B1486" w:rsidRDefault="005B1486">
      <w:pPr>
        <w:spacing w:line="480" w:lineRule="auto"/>
        <w:jc w:val="center"/>
        <w:rPr>
          <w:rFonts w:ascii="Times New Roman" w:eastAsia="Times New Roman" w:hAnsi="Times New Roman" w:cs="Times New Roman"/>
          <w:sz w:val="24"/>
          <w:szCs w:val="24"/>
        </w:rPr>
      </w:pPr>
    </w:p>
    <w:p w14:paraId="0CEDDA4A" w14:textId="77777777" w:rsidR="005B1486" w:rsidRDefault="005B1486">
      <w:pPr>
        <w:spacing w:line="480" w:lineRule="auto"/>
        <w:jc w:val="center"/>
        <w:rPr>
          <w:rFonts w:ascii="Times New Roman" w:eastAsia="Times New Roman" w:hAnsi="Times New Roman" w:cs="Times New Roman"/>
          <w:sz w:val="24"/>
          <w:szCs w:val="24"/>
        </w:rPr>
      </w:pPr>
    </w:p>
    <w:p w14:paraId="6033D530" w14:textId="77777777" w:rsidR="005B1486" w:rsidRDefault="005B1486">
      <w:pPr>
        <w:spacing w:line="480" w:lineRule="auto"/>
        <w:jc w:val="center"/>
        <w:rPr>
          <w:rFonts w:ascii="Times New Roman" w:eastAsia="Times New Roman" w:hAnsi="Times New Roman" w:cs="Times New Roman"/>
          <w:sz w:val="24"/>
          <w:szCs w:val="24"/>
        </w:rPr>
      </w:pPr>
    </w:p>
    <w:p w14:paraId="26F6E34C" w14:textId="77777777" w:rsidR="005B1486" w:rsidRDefault="005B1486">
      <w:pPr>
        <w:spacing w:line="480" w:lineRule="auto"/>
        <w:jc w:val="center"/>
        <w:rPr>
          <w:rFonts w:ascii="Times New Roman" w:eastAsia="Times New Roman" w:hAnsi="Times New Roman" w:cs="Times New Roman"/>
          <w:sz w:val="24"/>
          <w:szCs w:val="24"/>
        </w:rPr>
      </w:pPr>
    </w:p>
    <w:p w14:paraId="4455A960" w14:textId="77777777" w:rsidR="005B1486" w:rsidRDefault="005B1486">
      <w:pPr>
        <w:spacing w:line="480" w:lineRule="auto"/>
        <w:jc w:val="center"/>
        <w:rPr>
          <w:rFonts w:ascii="Times New Roman" w:eastAsia="Times New Roman" w:hAnsi="Times New Roman" w:cs="Times New Roman"/>
          <w:sz w:val="24"/>
          <w:szCs w:val="24"/>
        </w:rPr>
      </w:pPr>
    </w:p>
    <w:p w14:paraId="7A2FA455" w14:textId="57FDEE76" w:rsidR="005B1486" w:rsidRDefault="00022EF4">
      <w:pPr>
        <w:spacing w:line="480" w:lineRule="auto"/>
        <w:jc w:val="center"/>
        <w:rPr>
          <w:rFonts w:ascii="Times New Roman" w:eastAsia="Times New Roman" w:hAnsi="Times New Roman" w:cs="Times New Roman"/>
          <w:sz w:val="24"/>
          <w:szCs w:val="24"/>
        </w:rPr>
      </w:pPr>
      <w:r w:rsidRPr="00022EF4">
        <w:rPr>
          <w:rFonts w:ascii="Times New Roman" w:eastAsia="Times New Roman" w:hAnsi="Times New Roman" w:cs="Times New Roman"/>
          <w:sz w:val="24"/>
          <w:szCs w:val="24"/>
        </w:rPr>
        <w:t>Table of Contents</w:t>
      </w:r>
    </w:p>
    <w:p w14:paraId="2028E48C" w14:textId="6F8AC698" w:rsidR="00022EF4" w:rsidRDefault="0089372F" w:rsidP="00C02BB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02BB7">
        <w:rPr>
          <w:rFonts w:ascii="Times New Roman" w:eastAsia="Times New Roman" w:hAnsi="Times New Roman" w:cs="Times New Roman"/>
          <w:sz w:val="24"/>
          <w:szCs w:val="24"/>
        </w:rPr>
        <w:t>I</w:t>
      </w:r>
      <w:r w:rsidR="009826B4">
        <w:rPr>
          <w:rFonts w:ascii="Times New Roman" w:eastAsia="Times New Roman" w:hAnsi="Times New Roman" w:cs="Times New Roman"/>
          <w:sz w:val="24"/>
          <w:szCs w:val="24"/>
        </w:rPr>
        <w:t>ntroduction</w:t>
      </w:r>
      <w:r w:rsidR="00C02BB7">
        <w:rPr>
          <w:rFonts w:ascii="Times New Roman" w:eastAsia="Times New Roman" w:hAnsi="Times New Roman" w:cs="Times New Roman"/>
          <w:sz w:val="24"/>
          <w:szCs w:val="24"/>
        </w:rPr>
        <w:t>……………………………………………………</w:t>
      </w:r>
      <w:r w:rsidR="00D8776E">
        <w:rPr>
          <w:rFonts w:ascii="Times New Roman" w:eastAsia="Times New Roman" w:hAnsi="Times New Roman" w:cs="Times New Roman"/>
          <w:sz w:val="24"/>
          <w:szCs w:val="24"/>
        </w:rPr>
        <w:t>…………………</w:t>
      </w:r>
      <w:proofErr w:type="gramStart"/>
      <w:r w:rsidR="00D8776E">
        <w:rPr>
          <w:rFonts w:ascii="Times New Roman" w:eastAsia="Times New Roman" w:hAnsi="Times New Roman" w:cs="Times New Roman"/>
          <w:sz w:val="24"/>
          <w:szCs w:val="24"/>
        </w:rPr>
        <w:t>….</w:t>
      </w:r>
      <w:r w:rsidR="00087AEC">
        <w:rPr>
          <w:rFonts w:ascii="Times New Roman" w:eastAsia="Times New Roman" w:hAnsi="Times New Roman" w:cs="Times New Roman"/>
          <w:sz w:val="24"/>
          <w:szCs w:val="24"/>
        </w:rPr>
        <w:t>.</w:t>
      </w:r>
      <w:proofErr w:type="gramEnd"/>
      <w:r w:rsidR="00C4487B">
        <w:rPr>
          <w:rFonts w:ascii="Times New Roman" w:eastAsia="Times New Roman" w:hAnsi="Times New Roman" w:cs="Times New Roman"/>
          <w:sz w:val="24"/>
          <w:szCs w:val="24"/>
        </w:rPr>
        <w:t>3</w:t>
      </w:r>
    </w:p>
    <w:p w14:paraId="2294B579" w14:textId="0B4A54D9" w:rsidR="00C02BB7" w:rsidRDefault="0089372F" w:rsidP="00C02BB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sidR="0054622D">
        <w:rPr>
          <w:rFonts w:ascii="Times New Roman" w:eastAsia="Times New Roman" w:hAnsi="Times New Roman" w:cs="Times New Roman"/>
          <w:sz w:val="24"/>
          <w:szCs w:val="24"/>
        </w:rPr>
        <w:t>Critical analysis</w:t>
      </w:r>
      <w:r w:rsidR="00B00FC8">
        <w:rPr>
          <w:rFonts w:ascii="Times New Roman" w:eastAsia="Times New Roman" w:hAnsi="Times New Roman" w:cs="Times New Roman"/>
          <w:sz w:val="24"/>
          <w:szCs w:val="24"/>
        </w:rPr>
        <w:t>………………………………………………</w:t>
      </w:r>
      <w:r w:rsidR="00D8776E">
        <w:rPr>
          <w:rFonts w:ascii="Times New Roman" w:eastAsia="Times New Roman" w:hAnsi="Times New Roman" w:cs="Times New Roman"/>
          <w:sz w:val="24"/>
          <w:szCs w:val="24"/>
        </w:rPr>
        <w:t>………………………</w:t>
      </w:r>
      <w:r w:rsidR="00C4487B">
        <w:rPr>
          <w:rFonts w:ascii="Times New Roman" w:eastAsia="Times New Roman" w:hAnsi="Times New Roman" w:cs="Times New Roman"/>
          <w:sz w:val="24"/>
          <w:szCs w:val="24"/>
        </w:rPr>
        <w:t>3</w:t>
      </w:r>
    </w:p>
    <w:p w14:paraId="5DBE0303" w14:textId="281D98E0" w:rsidR="00B00FC8" w:rsidRPr="00567878" w:rsidRDefault="00A84F0D" w:rsidP="00567878">
      <w:pPr>
        <w:pStyle w:val="ListParagraph"/>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F008DA">
        <w:rPr>
          <w:rFonts w:ascii="Times New Roman" w:eastAsia="Times New Roman" w:hAnsi="Times New Roman" w:cs="Times New Roman"/>
          <w:sz w:val="24"/>
          <w:szCs w:val="24"/>
        </w:rPr>
        <w:t xml:space="preserve"> </w:t>
      </w:r>
      <w:bookmarkStart w:id="0" w:name="_Hlk98875399"/>
      <w:r w:rsidR="00F008DA">
        <w:rPr>
          <w:rFonts w:ascii="Times New Roman" w:eastAsia="Times New Roman" w:hAnsi="Times New Roman" w:cs="Times New Roman"/>
          <w:sz w:val="24"/>
          <w:szCs w:val="24"/>
        </w:rPr>
        <w:t>Coca-</w:t>
      </w:r>
      <w:r w:rsidR="00C52682">
        <w:rPr>
          <w:rFonts w:ascii="Times New Roman" w:eastAsia="Times New Roman" w:hAnsi="Times New Roman" w:cs="Times New Roman"/>
          <w:sz w:val="24"/>
          <w:szCs w:val="24"/>
        </w:rPr>
        <w:t>Cola’s</w:t>
      </w:r>
      <w:r>
        <w:rPr>
          <w:rFonts w:ascii="Times New Roman" w:eastAsia="Times New Roman" w:hAnsi="Times New Roman" w:cs="Times New Roman"/>
          <w:sz w:val="24"/>
          <w:szCs w:val="24"/>
        </w:rPr>
        <w:t xml:space="preserve"> </w:t>
      </w:r>
      <w:r w:rsidR="00D45528" w:rsidRPr="00D45528">
        <w:rPr>
          <w:rFonts w:ascii="Times New Roman" w:eastAsia="Times New Roman" w:hAnsi="Times New Roman" w:cs="Times New Roman"/>
          <w:sz w:val="24"/>
          <w:szCs w:val="24"/>
        </w:rPr>
        <w:t>dividend distribution</w:t>
      </w:r>
      <w:r w:rsidR="00567878">
        <w:rPr>
          <w:rFonts w:ascii="Times New Roman" w:eastAsia="Times New Roman" w:hAnsi="Times New Roman" w:cs="Times New Roman"/>
          <w:sz w:val="24"/>
          <w:szCs w:val="24"/>
        </w:rPr>
        <w:t xml:space="preserve"> </w:t>
      </w:r>
      <w:r w:rsidR="00D45528" w:rsidRPr="00567878">
        <w:rPr>
          <w:rFonts w:ascii="Times New Roman" w:eastAsia="Times New Roman" w:hAnsi="Times New Roman" w:cs="Times New Roman"/>
          <w:sz w:val="24"/>
          <w:szCs w:val="24"/>
        </w:rPr>
        <w:t>policy</w:t>
      </w:r>
      <w:bookmarkEnd w:id="0"/>
      <w:r w:rsidR="00C52682" w:rsidRPr="00567878">
        <w:rPr>
          <w:rFonts w:ascii="Times New Roman" w:eastAsia="Times New Roman" w:hAnsi="Times New Roman" w:cs="Times New Roman"/>
          <w:sz w:val="24"/>
          <w:szCs w:val="24"/>
        </w:rPr>
        <w:t>…………………………………………………</w:t>
      </w:r>
      <w:r w:rsidR="00004BEB" w:rsidRPr="00567878">
        <w:rPr>
          <w:rFonts w:ascii="Times New Roman" w:eastAsia="Times New Roman" w:hAnsi="Times New Roman" w:cs="Times New Roman"/>
          <w:sz w:val="24"/>
          <w:szCs w:val="24"/>
        </w:rPr>
        <w:t>…………………………</w:t>
      </w:r>
      <w:r w:rsidR="00DD7210">
        <w:rPr>
          <w:rFonts w:ascii="Times New Roman" w:eastAsia="Times New Roman" w:hAnsi="Times New Roman" w:cs="Times New Roman"/>
          <w:sz w:val="24"/>
          <w:szCs w:val="24"/>
        </w:rPr>
        <w:t>3</w:t>
      </w:r>
    </w:p>
    <w:p w14:paraId="32378B35" w14:textId="261B340F" w:rsidR="00C52682" w:rsidRDefault="00C52682" w:rsidP="00D45528">
      <w:pPr>
        <w:pStyle w:val="ListParagraph"/>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bookmarkStart w:id="1" w:name="_Hlk98875550"/>
      <w:r w:rsidR="00004BEB">
        <w:rPr>
          <w:rFonts w:ascii="Times New Roman" w:eastAsia="Times New Roman" w:hAnsi="Times New Roman" w:cs="Times New Roman"/>
          <w:sz w:val="24"/>
          <w:szCs w:val="24"/>
        </w:rPr>
        <w:t>E</w:t>
      </w:r>
      <w:r w:rsidR="00A13145" w:rsidRPr="00A13145">
        <w:rPr>
          <w:rFonts w:ascii="Times New Roman" w:eastAsia="Times New Roman" w:hAnsi="Times New Roman" w:cs="Times New Roman"/>
          <w:sz w:val="24"/>
          <w:szCs w:val="24"/>
        </w:rPr>
        <w:t>fficient market hypothesis theory</w:t>
      </w:r>
      <w:r w:rsidR="0040268C">
        <w:rPr>
          <w:rFonts w:ascii="Times New Roman" w:eastAsia="Times New Roman" w:hAnsi="Times New Roman" w:cs="Times New Roman"/>
          <w:sz w:val="24"/>
          <w:szCs w:val="24"/>
        </w:rPr>
        <w:t xml:space="preserve"> in context of Coca-Cola</w:t>
      </w:r>
      <w:bookmarkEnd w:id="1"/>
      <w:r w:rsidR="00004BEB">
        <w:rPr>
          <w:rFonts w:ascii="Times New Roman" w:eastAsia="Times New Roman" w:hAnsi="Times New Roman" w:cs="Times New Roman"/>
          <w:sz w:val="24"/>
          <w:szCs w:val="24"/>
        </w:rPr>
        <w:t>………………</w:t>
      </w:r>
      <w:r w:rsidR="00087AEC">
        <w:rPr>
          <w:rFonts w:ascii="Times New Roman" w:eastAsia="Times New Roman" w:hAnsi="Times New Roman" w:cs="Times New Roman"/>
          <w:sz w:val="24"/>
          <w:szCs w:val="24"/>
        </w:rPr>
        <w:t>...</w:t>
      </w:r>
      <w:r w:rsidR="00DD7210">
        <w:rPr>
          <w:rFonts w:ascii="Times New Roman" w:eastAsia="Times New Roman" w:hAnsi="Times New Roman" w:cs="Times New Roman"/>
          <w:sz w:val="24"/>
          <w:szCs w:val="24"/>
        </w:rPr>
        <w:t>4</w:t>
      </w:r>
    </w:p>
    <w:p w14:paraId="0FA85B57" w14:textId="45E8A1D5" w:rsidR="00D8776E" w:rsidRDefault="00D8776E" w:rsidP="008F52BD">
      <w:pPr>
        <w:pStyle w:val="ListParagraph"/>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743DF6">
        <w:rPr>
          <w:rFonts w:ascii="Times New Roman" w:eastAsia="Times New Roman" w:hAnsi="Times New Roman" w:cs="Times New Roman"/>
          <w:sz w:val="24"/>
          <w:szCs w:val="24"/>
        </w:rPr>
        <w:t xml:space="preserve"> </w:t>
      </w:r>
      <w:bookmarkStart w:id="2" w:name="_Hlk98875755"/>
      <w:r w:rsidR="002D7D10">
        <w:rPr>
          <w:rFonts w:ascii="Times New Roman" w:eastAsia="Times New Roman" w:hAnsi="Times New Roman" w:cs="Times New Roman"/>
          <w:sz w:val="24"/>
          <w:szCs w:val="24"/>
        </w:rPr>
        <w:t>M</w:t>
      </w:r>
      <w:r w:rsidR="008F52BD" w:rsidRPr="008F52BD">
        <w:rPr>
          <w:rFonts w:ascii="Times New Roman" w:eastAsia="Times New Roman" w:hAnsi="Times New Roman" w:cs="Times New Roman"/>
          <w:sz w:val="24"/>
          <w:szCs w:val="24"/>
        </w:rPr>
        <w:t xml:space="preserve">ethods of appraising </w:t>
      </w:r>
      <w:r w:rsidR="00743DF6" w:rsidRPr="008F52BD">
        <w:rPr>
          <w:rFonts w:ascii="Times New Roman" w:eastAsia="Times New Roman" w:hAnsi="Times New Roman" w:cs="Times New Roman"/>
          <w:sz w:val="24"/>
          <w:szCs w:val="24"/>
        </w:rPr>
        <w:t>projects</w:t>
      </w:r>
      <w:r w:rsidR="00743DF6">
        <w:rPr>
          <w:rFonts w:ascii="Times New Roman" w:eastAsia="Times New Roman" w:hAnsi="Times New Roman" w:cs="Times New Roman"/>
          <w:sz w:val="24"/>
          <w:szCs w:val="24"/>
        </w:rPr>
        <w:t xml:space="preserve"> </w:t>
      </w:r>
      <w:r w:rsidR="00270C94">
        <w:rPr>
          <w:rFonts w:ascii="Times New Roman" w:eastAsia="Times New Roman" w:hAnsi="Times New Roman" w:cs="Times New Roman"/>
          <w:sz w:val="24"/>
          <w:szCs w:val="24"/>
        </w:rPr>
        <w:t>which</w:t>
      </w:r>
      <w:r w:rsidR="002D7D10">
        <w:rPr>
          <w:rFonts w:ascii="Times New Roman" w:eastAsia="Times New Roman" w:hAnsi="Times New Roman" w:cs="Times New Roman"/>
          <w:sz w:val="24"/>
          <w:szCs w:val="24"/>
        </w:rPr>
        <w:t xml:space="preserve"> Coca-Cola use</w:t>
      </w:r>
      <w:bookmarkEnd w:id="2"/>
      <w:r w:rsidR="002D7D10">
        <w:rPr>
          <w:rFonts w:ascii="Times New Roman" w:eastAsia="Times New Roman" w:hAnsi="Times New Roman" w:cs="Times New Roman"/>
          <w:sz w:val="24"/>
          <w:szCs w:val="24"/>
        </w:rPr>
        <w:t>…………………</w:t>
      </w:r>
      <w:r w:rsidR="00217113">
        <w:rPr>
          <w:rFonts w:ascii="Times New Roman" w:eastAsia="Times New Roman" w:hAnsi="Times New Roman" w:cs="Times New Roman"/>
          <w:sz w:val="24"/>
          <w:szCs w:val="24"/>
        </w:rPr>
        <w:t>…</w:t>
      </w:r>
      <w:r w:rsidR="00087AEC">
        <w:rPr>
          <w:rFonts w:ascii="Times New Roman" w:eastAsia="Times New Roman" w:hAnsi="Times New Roman" w:cs="Times New Roman"/>
          <w:sz w:val="24"/>
          <w:szCs w:val="24"/>
        </w:rPr>
        <w:t>….</w:t>
      </w:r>
      <w:r w:rsidR="00217113">
        <w:rPr>
          <w:rFonts w:ascii="Times New Roman" w:eastAsia="Times New Roman" w:hAnsi="Times New Roman" w:cs="Times New Roman"/>
          <w:sz w:val="24"/>
          <w:szCs w:val="24"/>
        </w:rPr>
        <w:t>6</w:t>
      </w:r>
    </w:p>
    <w:p w14:paraId="509D7969" w14:textId="71AC6A6D" w:rsidR="002D7D10" w:rsidRDefault="00296931" w:rsidP="002D7D1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3.Conclusion…………………………………………………………………………….</w:t>
      </w:r>
      <w:r w:rsidR="00C4487B">
        <w:rPr>
          <w:rFonts w:ascii="Times New Roman" w:eastAsia="Times New Roman" w:hAnsi="Times New Roman" w:cs="Times New Roman"/>
          <w:sz w:val="24"/>
          <w:szCs w:val="24"/>
        </w:rPr>
        <w:t>8</w:t>
      </w:r>
    </w:p>
    <w:p w14:paraId="2C6A91DA" w14:textId="7E7BB900" w:rsidR="00296931" w:rsidRPr="002D7D10" w:rsidRDefault="00296931" w:rsidP="002D7D1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4.Reference list………………………………………………………………………….</w:t>
      </w:r>
      <w:r w:rsidR="00C4487B">
        <w:rPr>
          <w:rFonts w:ascii="Times New Roman" w:eastAsia="Times New Roman" w:hAnsi="Times New Roman" w:cs="Times New Roman"/>
          <w:sz w:val="24"/>
          <w:szCs w:val="24"/>
        </w:rPr>
        <w:t>9</w:t>
      </w:r>
    </w:p>
    <w:p w14:paraId="3ABD1DEE" w14:textId="77777777" w:rsidR="005B1486" w:rsidRDefault="005B1486">
      <w:pPr>
        <w:spacing w:line="480" w:lineRule="auto"/>
        <w:jc w:val="center"/>
        <w:rPr>
          <w:rFonts w:ascii="Times New Roman" w:eastAsia="Times New Roman" w:hAnsi="Times New Roman" w:cs="Times New Roman"/>
          <w:sz w:val="24"/>
          <w:szCs w:val="24"/>
        </w:rPr>
      </w:pPr>
    </w:p>
    <w:p w14:paraId="0C6954DA" w14:textId="77777777" w:rsidR="005B1486" w:rsidRDefault="005B1486">
      <w:pPr>
        <w:spacing w:line="480" w:lineRule="auto"/>
        <w:jc w:val="center"/>
        <w:rPr>
          <w:rFonts w:ascii="Times New Roman" w:eastAsia="Times New Roman" w:hAnsi="Times New Roman" w:cs="Times New Roman"/>
          <w:sz w:val="24"/>
          <w:szCs w:val="24"/>
        </w:rPr>
      </w:pPr>
    </w:p>
    <w:p w14:paraId="62C8A39D" w14:textId="77777777" w:rsidR="005B1486" w:rsidRDefault="005B1486">
      <w:pPr>
        <w:spacing w:line="480" w:lineRule="auto"/>
        <w:jc w:val="center"/>
        <w:rPr>
          <w:rFonts w:ascii="Times New Roman" w:eastAsia="Times New Roman" w:hAnsi="Times New Roman" w:cs="Times New Roman"/>
          <w:sz w:val="24"/>
          <w:szCs w:val="24"/>
        </w:rPr>
      </w:pPr>
    </w:p>
    <w:p w14:paraId="2D55BD96" w14:textId="77777777" w:rsidR="005B1486" w:rsidRDefault="005B1486">
      <w:pPr>
        <w:spacing w:line="480" w:lineRule="auto"/>
        <w:jc w:val="center"/>
        <w:rPr>
          <w:rFonts w:ascii="Times New Roman" w:eastAsia="Times New Roman" w:hAnsi="Times New Roman" w:cs="Times New Roman"/>
          <w:sz w:val="24"/>
          <w:szCs w:val="24"/>
        </w:rPr>
      </w:pPr>
    </w:p>
    <w:p w14:paraId="1D66D5DF" w14:textId="77777777" w:rsidR="005B1486" w:rsidRDefault="005B1486">
      <w:pPr>
        <w:spacing w:line="480" w:lineRule="auto"/>
        <w:jc w:val="center"/>
        <w:rPr>
          <w:rFonts w:ascii="Times New Roman" w:eastAsia="Times New Roman" w:hAnsi="Times New Roman" w:cs="Times New Roman"/>
          <w:sz w:val="24"/>
          <w:szCs w:val="24"/>
        </w:rPr>
      </w:pPr>
    </w:p>
    <w:p w14:paraId="42B9A8E5" w14:textId="77777777" w:rsidR="005B1486" w:rsidRDefault="005B1486">
      <w:pPr>
        <w:spacing w:line="480" w:lineRule="auto"/>
        <w:jc w:val="center"/>
        <w:rPr>
          <w:rFonts w:ascii="Times New Roman" w:eastAsia="Times New Roman" w:hAnsi="Times New Roman" w:cs="Times New Roman"/>
          <w:sz w:val="24"/>
          <w:szCs w:val="24"/>
        </w:rPr>
      </w:pPr>
    </w:p>
    <w:p w14:paraId="4AE64E7B" w14:textId="77777777" w:rsidR="005B1486" w:rsidRDefault="005B1486">
      <w:pPr>
        <w:spacing w:line="480" w:lineRule="auto"/>
        <w:jc w:val="center"/>
        <w:rPr>
          <w:rFonts w:ascii="Times New Roman" w:eastAsia="Times New Roman" w:hAnsi="Times New Roman" w:cs="Times New Roman"/>
          <w:sz w:val="24"/>
          <w:szCs w:val="24"/>
        </w:rPr>
      </w:pPr>
    </w:p>
    <w:p w14:paraId="218BF862" w14:textId="77777777" w:rsidR="005B1486" w:rsidRDefault="005B1486">
      <w:pPr>
        <w:spacing w:line="480" w:lineRule="auto"/>
        <w:jc w:val="center"/>
        <w:rPr>
          <w:rFonts w:ascii="Times New Roman" w:eastAsia="Times New Roman" w:hAnsi="Times New Roman" w:cs="Times New Roman"/>
          <w:sz w:val="24"/>
          <w:szCs w:val="24"/>
        </w:rPr>
      </w:pPr>
    </w:p>
    <w:p w14:paraId="3992EFBF" w14:textId="77777777" w:rsidR="005B1486" w:rsidRDefault="005B1486">
      <w:pPr>
        <w:spacing w:line="480" w:lineRule="auto"/>
        <w:jc w:val="center"/>
        <w:rPr>
          <w:rFonts w:ascii="Times New Roman" w:eastAsia="Times New Roman" w:hAnsi="Times New Roman" w:cs="Times New Roman"/>
          <w:sz w:val="24"/>
          <w:szCs w:val="24"/>
        </w:rPr>
      </w:pPr>
    </w:p>
    <w:p w14:paraId="212F3BC5" w14:textId="77777777" w:rsidR="005B1486" w:rsidRDefault="005B1486">
      <w:pPr>
        <w:spacing w:line="480" w:lineRule="auto"/>
        <w:jc w:val="center"/>
        <w:rPr>
          <w:rFonts w:ascii="Times New Roman" w:eastAsia="Times New Roman" w:hAnsi="Times New Roman" w:cs="Times New Roman"/>
          <w:sz w:val="24"/>
          <w:szCs w:val="24"/>
        </w:rPr>
      </w:pPr>
    </w:p>
    <w:p w14:paraId="32793D66" w14:textId="77777777" w:rsidR="005B1486" w:rsidRDefault="005B1486">
      <w:pPr>
        <w:spacing w:line="480" w:lineRule="auto"/>
        <w:jc w:val="center"/>
        <w:rPr>
          <w:rFonts w:ascii="Times New Roman" w:eastAsia="Times New Roman" w:hAnsi="Times New Roman" w:cs="Times New Roman"/>
          <w:sz w:val="24"/>
          <w:szCs w:val="24"/>
        </w:rPr>
      </w:pPr>
    </w:p>
    <w:p w14:paraId="35689812" w14:textId="77777777" w:rsidR="00FA2230" w:rsidRDefault="00FA2230">
      <w:pPr>
        <w:spacing w:line="480" w:lineRule="auto"/>
        <w:ind w:firstLine="708"/>
        <w:rPr>
          <w:rFonts w:ascii="Times New Roman" w:eastAsia="Times New Roman" w:hAnsi="Times New Roman" w:cs="Times New Roman"/>
          <w:sz w:val="24"/>
          <w:szCs w:val="24"/>
        </w:rPr>
      </w:pPr>
    </w:p>
    <w:p w14:paraId="03236A83" w14:textId="77777777" w:rsidR="00FA2230" w:rsidRDefault="00FA2230">
      <w:pPr>
        <w:spacing w:line="480" w:lineRule="auto"/>
        <w:ind w:firstLine="708"/>
        <w:rPr>
          <w:rFonts w:ascii="Times New Roman" w:eastAsia="Times New Roman" w:hAnsi="Times New Roman" w:cs="Times New Roman"/>
          <w:sz w:val="24"/>
          <w:szCs w:val="24"/>
        </w:rPr>
      </w:pPr>
    </w:p>
    <w:p w14:paraId="528930B1" w14:textId="0CB93D63" w:rsidR="00FD228B" w:rsidRPr="0096319E" w:rsidRDefault="00FD228B" w:rsidP="0096319E">
      <w:pPr>
        <w:spacing w:line="480" w:lineRule="auto"/>
        <w:rPr>
          <w:rFonts w:ascii="Times New Roman" w:eastAsia="Times New Roman" w:hAnsi="Times New Roman" w:cs="Times New Roman"/>
          <w:sz w:val="24"/>
          <w:szCs w:val="24"/>
        </w:rPr>
      </w:pPr>
    </w:p>
    <w:p w14:paraId="41422D00" w14:textId="77777777" w:rsidR="0096319E" w:rsidRDefault="0096319E" w:rsidP="0096319E">
      <w:pPr>
        <w:spacing w:line="480" w:lineRule="auto"/>
        <w:rPr>
          <w:rFonts w:ascii="Times New Roman" w:eastAsia="Times New Roman" w:hAnsi="Times New Roman" w:cs="Times New Roman"/>
          <w:sz w:val="24"/>
          <w:szCs w:val="24"/>
        </w:rPr>
      </w:pPr>
    </w:p>
    <w:p w14:paraId="04305D47" w14:textId="71754502" w:rsidR="0096319E" w:rsidRDefault="0096319E" w:rsidP="0096319E">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1.Introduction</w:t>
      </w:r>
      <w:r w:rsidR="001A3B66">
        <w:rPr>
          <w:rFonts w:ascii="Times New Roman" w:eastAsia="Times New Roman" w:hAnsi="Times New Roman" w:cs="Times New Roman"/>
          <w:sz w:val="24"/>
          <w:szCs w:val="24"/>
        </w:rPr>
        <w:t>.</w:t>
      </w:r>
    </w:p>
    <w:p w14:paraId="3C96E736" w14:textId="4E772BA8" w:rsidR="001A19F8" w:rsidRDefault="0051727C" w:rsidP="0096319E">
      <w:pPr>
        <w:spacing w:line="480" w:lineRule="auto"/>
        <w:rPr>
          <w:rFonts w:ascii="Times New Roman" w:eastAsia="Times New Roman" w:hAnsi="Times New Roman" w:cs="Times New Roman"/>
          <w:sz w:val="24"/>
          <w:szCs w:val="24"/>
        </w:rPr>
      </w:pPr>
      <w:r w:rsidRPr="0096319E">
        <w:rPr>
          <w:rFonts w:ascii="Times New Roman" w:eastAsia="Times New Roman" w:hAnsi="Times New Roman" w:cs="Times New Roman"/>
          <w:sz w:val="24"/>
          <w:szCs w:val="24"/>
        </w:rPr>
        <w:t xml:space="preserve">The IFM is an integral part of any company that has positioned its operations on the global market. That is why Coca-Cola is interested in the concept of the IFM to manage international finances and maximize shareholder wealth. Furthermore, the idea is of value since it connects the company with international dealings in the form of business partners, customers, and suppliers. By and large, the dividend distribution policy, net profit value, and profitability index </w:t>
      </w:r>
      <w:proofErr w:type="gramStart"/>
      <w:r w:rsidRPr="0096319E">
        <w:rPr>
          <w:rFonts w:ascii="Times New Roman" w:eastAsia="Times New Roman" w:hAnsi="Times New Roman" w:cs="Times New Roman"/>
          <w:sz w:val="24"/>
          <w:szCs w:val="24"/>
        </w:rPr>
        <w:t>have to</w:t>
      </w:r>
      <w:proofErr w:type="gramEnd"/>
      <w:r w:rsidRPr="0096319E">
        <w:rPr>
          <w:rFonts w:ascii="Times New Roman" w:eastAsia="Times New Roman" w:hAnsi="Times New Roman" w:cs="Times New Roman"/>
          <w:sz w:val="24"/>
          <w:szCs w:val="24"/>
        </w:rPr>
        <w:t xml:space="preserve"> be efficient so</w:t>
      </w:r>
      <w:r w:rsidR="0096319E" w:rsidRPr="0096319E">
        <w:rPr>
          <w:rFonts w:ascii="Times New Roman" w:eastAsia="Times New Roman" w:hAnsi="Times New Roman" w:cs="Times New Roman"/>
          <w:sz w:val="24"/>
          <w:szCs w:val="24"/>
        </w:rPr>
        <w:t xml:space="preserve"> </w:t>
      </w:r>
      <w:r w:rsidRPr="0096319E">
        <w:rPr>
          <w:rFonts w:ascii="Times New Roman" w:eastAsia="Times New Roman" w:hAnsi="Times New Roman" w:cs="Times New Roman"/>
          <w:sz w:val="24"/>
          <w:szCs w:val="24"/>
        </w:rPr>
        <w:t>that Coca-Cola can thrive and compete in the global market.</w:t>
      </w:r>
    </w:p>
    <w:p w14:paraId="27FD0EDD" w14:textId="1286E7CB" w:rsidR="00472849" w:rsidRDefault="00472849" w:rsidP="0096319E">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2.Critical analysis</w:t>
      </w:r>
      <w:r w:rsidR="00A65380">
        <w:rPr>
          <w:rFonts w:ascii="Times New Roman" w:eastAsia="Times New Roman" w:hAnsi="Times New Roman" w:cs="Times New Roman"/>
          <w:sz w:val="24"/>
          <w:szCs w:val="24"/>
        </w:rPr>
        <w:t>:</w:t>
      </w:r>
    </w:p>
    <w:p w14:paraId="5EEC9193" w14:textId="164DAFD5" w:rsidR="00A65380" w:rsidRPr="0096319E" w:rsidRDefault="00A65380" w:rsidP="0096319E">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w:t>
      </w:r>
      <w:r w:rsidRPr="00A65380">
        <w:t xml:space="preserve"> </w:t>
      </w:r>
      <w:r w:rsidRPr="00A65380">
        <w:rPr>
          <w:rFonts w:ascii="Times New Roman" w:eastAsia="Times New Roman" w:hAnsi="Times New Roman" w:cs="Times New Roman"/>
          <w:sz w:val="24"/>
          <w:szCs w:val="24"/>
        </w:rPr>
        <w:t xml:space="preserve">Coca-Cola’s dividend distribution </w:t>
      </w:r>
      <w:r w:rsidR="008107C5" w:rsidRPr="00A65380">
        <w:rPr>
          <w:rFonts w:ascii="Times New Roman" w:eastAsia="Times New Roman" w:hAnsi="Times New Roman" w:cs="Times New Roman"/>
          <w:sz w:val="24"/>
          <w:szCs w:val="24"/>
        </w:rPr>
        <w:t>policy</w:t>
      </w:r>
      <w:r w:rsidR="008107C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3C96E737" w14:textId="3AB606FC" w:rsidR="001A19F8" w:rsidRDefault="00186BC7" w:rsidP="00BE14D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1727C">
        <w:rPr>
          <w:rFonts w:ascii="Times New Roman" w:eastAsia="Times New Roman" w:hAnsi="Times New Roman" w:cs="Times New Roman"/>
          <w:sz w:val="24"/>
          <w:szCs w:val="24"/>
        </w:rPr>
        <w:t>To begin with, Coca-Cola is in strong collaboration with its shareholders that own the company's shares and, therefore, receive revenue for their investments. As a result, the dividends are distributed between the shareholders as decided beforehand by the organization's board of directors. Naturally, with its dividend distribution policy, Coca-Cola has positioned itself in the market as a profitable company as it is able to pay dividends to its shareholders consistently. The fact that the brand can stay afloat and return the financial contributions to the company's growth, no matter the setbacks that may happen within the organization, shows Coca-Cola's imposing financial abilities. To elaborate, the company is mainly focused on increasing the stock price by balancing the future growth and current shares owned by the shareholders. By and large, the company's dividend policy is sustainable as it continues to rise annually because of the constantly increasing revenues of the company.</w:t>
      </w:r>
    </w:p>
    <w:p w14:paraId="3C96E738" w14:textId="77777777" w:rsidR="001A19F8" w:rsidRDefault="0051727C">
      <w:pPr>
        <w:spacing w:line="480" w:lineRule="auto"/>
        <w:ind w:firstLine="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stated, the company is consistent in paying dividends to its shareholders, which indicates the efficiency of Coca-Cola's strategy. Therefore, Coca-Cola claims that it </w:t>
      </w:r>
      <w:r>
        <w:rPr>
          <w:rFonts w:ascii="Times New Roman" w:eastAsia="Times New Roman" w:hAnsi="Times New Roman" w:cs="Times New Roman"/>
          <w:sz w:val="24"/>
          <w:szCs w:val="24"/>
        </w:rPr>
        <w:lastRenderedPageBreak/>
        <w:t xml:space="preserve">recompenses the dividends to the stock owners on a quarterly basis. Furthermore, it is visible that the price for the share has increased from 0.37$ to 0.42$ since 2017, meaning that it has increased by 13% over five years (The Coca-Cola Company, 2022; Macro Trends, 2022; CNBC, 2022). As a matter of fact, 44% of the company's ownership is in free float, owned by different people that invest in the company's success (Coca-Cola </w:t>
      </w:r>
      <w:proofErr w:type="spellStart"/>
      <w:r>
        <w:rPr>
          <w:rFonts w:ascii="Times New Roman" w:eastAsia="Times New Roman" w:hAnsi="Times New Roman" w:cs="Times New Roman"/>
          <w:sz w:val="24"/>
          <w:szCs w:val="24"/>
        </w:rPr>
        <w:t>Europacific</w:t>
      </w:r>
      <w:proofErr w:type="spellEnd"/>
      <w:r>
        <w:rPr>
          <w:rFonts w:ascii="Times New Roman" w:eastAsia="Times New Roman" w:hAnsi="Times New Roman" w:cs="Times New Roman"/>
          <w:sz w:val="24"/>
          <w:szCs w:val="24"/>
        </w:rPr>
        <w:t xml:space="preserve"> Partners, 2022). On the contrary, only 19.5% is owned by Coca-Cola itself, which means that the other 80% share people who do not directly relate to the company and its products (Coca-Cola </w:t>
      </w:r>
      <w:proofErr w:type="spellStart"/>
      <w:r>
        <w:rPr>
          <w:rFonts w:ascii="Times New Roman" w:eastAsia="Times New Roman" w:hAnsi="Times New Roman" w:cs="Times New Roman"/>
          <w:sz w:val="24"/>
          <w:szCs w:val="24"/>
        </w:rPr>
        <w:t>Europacific</w:t>
      </w:r>
      <w:proofErr w:type="spellEnd"/>
      <w:r>
        <w:rPr>
          <w:rFonts w:ascii="Times New Roman" w:eastAsia="Times New Roman" w:hAnsi="Times New Roman" w:cs="Times New Roman"/>
          <w:sz w:val="24"/>
          <w:szCs w:val="24"/>
        </w:rPr>
        <w:t xml:space="preserve"> Partners, 2022). All in all, the shareholders' shares, which accumulate approximately 80%, are investments that are then returned with additional monetary bonuses. </w:t>
      </w:r>
    </w:p>
    <w:p w14:paraId="440A698C" w14:textId="5679F5C3" w:rsidR="008C6214" w:rsidRDefault="00127F61">
      <w:pPr>
        <w:spacing w:line="480" w:lineRule="auto"/>
        <w:ind w:firstLine="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sidRPr="00127F61">
        <w:rPr>
          <w:rFonts w:ascii="Times New Roman" w:eastAsia="Times New Roman" w:hAnsi="Times New Roman" w:cs="Times New Roman"/>
          <w:sz w:val="24"/>
          <w:szCs w:val="24"/>
        </w:rPr>
        <w:t xml:space="preserve">Efficient market hypothesis theory in context of </w:t>
      </w:r>
      <w:r w:rsidR="008107C5" w:rsidRPr="00127F61">
        <w:rPr>
          <w:rFonts w:ascii="Times New Roman" w:eastAsia="Times New Roman" w:hAnsi="Times New Roman" w:cs="Times New Roman"/>
          <w:sz w:val="24"/>
          <w:szCs w:val="24"/>
        </w:rPr>
        <w:t>Coca-Cola</w:t>
      </w:r>
      <w:r w:rsidR="008107C5">
        <w:rPr>
          <w:rFonts w:ascii="Times New Roman" w:eastAsia="Times New Roman" w:hAnsi="Times New Roman" w:cs="Times New Roman"/>
          <w:sz w:val="24"/>
          <w:szCs w:val="24"/>
        </w:rPr>
        <w:t>.</w:t>
      </w:r>
    </w:p>
    <w:p w14:paraId="3C96E739" w14:textId="5113DBD9" w:rsidR="001A19F8" w:rsidRDefault="00186BC7" w:rsidP="008107C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1727C">
        <w:rPr>
          <w:rFonts w:ascii="Times New Roman" w:eastAsia="Times New Roman" w:hAnsi="Times New Roman" w:cs="Times New Roman"/>
          <w:sz w:val="24"/>
          <w:szCs w:val="24"/>
        </w:rPr>
        <w:t xml:space="preserve">Therefore, having analyzed Coca-Cola's dividend policy, it is safe to claim that it is efficient as it manages to sustain its revenues and even maximizes them using the IFM methods. Furthermore, the investments can be used to adjust the strategy to any situations that may unexpectedly happen in the company. The funds that flow into the company from the shareholders can also be used to expand the company's operations worldwide, open new branches, and deliver the items to the many countries in cities. In other words, considering that the company always has investments, it </w:t>
      </w:r>
      <w:proofErr w:type="gramStart"/>
      <w:r w:rsidR="0051727C">
        <w:rPr>
          <w:rFonts w:ascii="Times New Roman" w:eastAsia="Times New Roman" w:hAnsi="Times New Roman" w:cs="Times New Roman"/>
          <w:sz w:val="24"/>
          <w:szCs w:val="24"/>
        </w:rPr>
        <w:t>is able to</w:t>
      </w:r>
      <w:proofErr w:type="gramEnd"/>
      <w:r w:rsidR="0051727C">
        <w:rPr>
          <w:rFonts w:ascii="Times New Roman" w:eastAsia="Times New Roman" w:hAnsi="Times New Roman" w:cs="Times New Roman"/>
          <w:sz w:val="24"/>
          <w:szCs w:val="24"/>
        </w:rPr>
        <w:t xml:space="preserve"> maximize its revenues by adjusting its strategy and, as a result, paying dividends from the earnings. Overall, it means that the company can thrive with the financial help of the shareholders and simultaneously return their investments with additional bonuses for their contribution to the company's success.</w:t>
      </w:r>
    </w:p>
    <w:p w14:paraId="3C96E73A" w14:textId="04D6B27F" w:rsidR="001A19F8" w:rsidRDefault="0051727C">
      <w:pPr>
        <w:spacing w:line="480" w:lineRule="auto"/>
        <w:ind w:firstLine="708"/>
        <w:rPr>
          <w:rFonts w:ascii="Times New Roman" w:eastAsia="Times New Roman" w:hAnsi="Times New Roman" w:cs="Times New Roman"/>
          <w:sz w:val="24"/>
          <w:szCs w:val="24"/>
        </w:rPr>
      </w:pPr>
      <w:r>
        <w:rPr>
          <w:rFonts w:ascii="Times New Roman" w:eastAsia="Times New Roman" w:hAnsi="Times New Roman" w:cs="Times New Roman"/>
          <w:sz w:val="24"/>
          <w:szCs w:val="24"/>
        </w:rPr>
        <w:t>Coca-Cola's accomplishments in collaboration with the shareholders also may relatively undermine the efficient market hypothesis (EMH). However, to prove that this investment theory does not apply to Coca-Cola, it is vital to research the company's market (</w:t>
      </w:r>
      <w:proofErr w:type="spellStart"/>
      <w:r>
        <w:rPr>
          <w:rFonts w:ascii="Times New Roman" w:eastAsia="Times New Roman" w:hAnsi="Times New Roman" w:cs="Times New Roman"/>
          <w:sz w:val="24"/>
          <w:szCs w:val="24"/>
        </w:rPr>
        <w:t>Teall</w:t>
      </w:r>
      <w:proofErr w:type="spellEnd"/>
      <w:r>
        <w:rPr>
          <w:rFonts w:ascii="Times New Roman" w:eastAsia="Times New Roman" w:hAnsi="Times New Roman" w:cs="Times New Roman"/>
          <w:sz w:val="24"/>
          <w:szCs w:val="24"/>
        </w:rPr>
        <w:t>, 2018; Thune, 2021). To be more exact, the EMH primarily focuses on the impossibility of one corporation beating the whole market (</w:t>
      </w:r>
      <w:proofErr w:type="spellStart"/>
      <w:r>
        <w:rPr>
          <w:rFonts w:ascii="Times New Roman" w:eastAsia="Times New Roman" w:hAnsi="Times New Roman" w:cs="Times New Roman"/>
          <w:sz w:val="24"/>
          <w:szCs w:val="24"/>
        </w:rPr>
        <w:t>Teall</w:t>
      </w:r>
      <w:proofErr w:type="spellEnd"/>
      <w:r>
        <w:rPr>
          <w:rFonts w:ascii="Times New Roman" w:eastAsia="Times New Roman" w:hAnsi="Times New Roman" w:cs="Times New Roman"/>
          <w:sz w:val="24"/>
          <w:szCs w:val="24"/>
        </w:rPr>
        <w:t xml:space="preserve">, 2018). In other words, it </w:t>
      </w:r>
      <w:r>
        <w:rPr>
          <w:rFonts w:ascii="Times New Roman" w:eastAsia="Times New Roman" w:hAnsi="Times New Roman" w:cs="Times New Roman"/>
          <w:sz w:val="24"/>
          <w:szCs w:val="24"/>
        </w:rPr>
        <w:lastRenderedPageBreak/>
        <w:t xml:space="preserve">concludes that investment returns cannot outperform the average market rate (Thune, 2021). All in all, the theory is </w:t>
      </w:r>
      <w:r w:rsidR="001C53D8">
        <w:rPr>
          <w:rFonts w:ascii="Times New Roman" w:eastAsia="Times New Roman" w:hAnsi="Times New Roman" w:cs="Times New Roman"/>
          <w:sz w:val="24"/>
          <w:szCs w:val="24"/>
        </w:rPr>
        <w:t>since</w:t>
      </w:r>
      <w:r>
        <w:rPr>
          <w:rFonts w:ascii="Times New Roman" w:eastAsia="Times New Roman" w:hAnsi="Times New Roman" w:cs="Times New Roman"/>
          <w:sz w:val="24"/>
          <w:szCs w:val="24"/>
        </w:rPr>
        <w:t xml:space="preserve"> investors can only make substantial short-term profits </w:t>
      </w:r>
      <w:proofErr w:type="gramStart"/>
      <w:r>
        <w:rPr>
          <w:rFonts w:ascii="Times New Roman" w:eastAsia="Times New Roman" w:hAnsi="Times New Roman" w:cs="Times New Roman"/>
          <w:sz w:val="24"/>
          <w:szCs w:val="24"/>
        </w:rPr>
        <w:t>once in a while</w:t>
      </w:r>
      <w:proofErr w:type="gramEnd"/>
      <w:r>
        <w:rPr>
          <w:rFonts w:ascii="Times New Roman" w:eastAsia="Times New Roman" w:hAnsi="Times New Roman" w:cs="Times New Roman"/>
          <w:sz w:val="24"/>
          <w:szCs w:val="24"/>
        </w:rPr>
        <w:t xml:space="preserve">, but not expect to consistently earn more than the average market investment returns. </w:t>
      </w:r>
    </w:p>
    <w:p w14:paraId="3C96E73B" w14:textId="77777777" w:rsidR="001A19F8" w:rsidRDefault="0051727C">
      <w:pPr>
        <w:spacing w:line="480" w:lineRule="auto"/>
        <w:ind w:firstLine="708"/>
        <w:rPr>
          <w:rFonts w:ascii="Times New Roman" w:eastAsia="Times New Roman" w:hAnsi="Times New Roman" w:cs="Times New Roman"/>
          <w:sz w:val="24"/>
          <w:szCs w:val="24"/>
        </w:rPr>
      </w:pPr>
      <w:r>
        <w:rPr>
          <w:rFonts w:ascii="Times New Roman" w:eastAsia="Times New Roman" w:hAnsi="Times New Roman" w:cs="Times New Roman"/>
          <w:sz w:val="24"/>
          <w:szCs w:val="24"/>
        </w:rPr>
        <w:t>Naturally, to understand how Coca-Cola can either support or undermine the EMH, a thorough analysis of the market stock is essential. A perfect example of both Coca-Cola's outstanding accomplishments on the stock market and EMH's possible contradictions is the professional history of investor Warren Buffett. In fact, Buffett is a prominent opponent of the EMH and proved its unreasonableness both practically and theoretically with the help of Coca-Cola's case (</w:t>
      </w:r>
      <w:proofErr w:type="spellStart"/>
      <w:r>
        <w:rPr>
          <w:rFonts w:ascii="Times New Roman" w:eastAsia="Times New Roman" w:hAnsi="Times New Roman" w:cs="Times New Roman"/>
          <w:sz w:val="24"/>
          <w:szCs w:val="24"/>
        </w:rPr>
        <w:t>Reiff</w:t>
      </w:r>
      <w:proofErr w:type="spellEnd"/>
      <w:r>
        <w:rPr>
          <w:rFonts w:ascii="Times New Roman" w:eastAsia="Times New Roman" w:hAnsi="Times New Roman" w:cs="Times New Roman"/>
          <w:sz w:val="24"/>
          <w:szCs w:val="24"/>
        </w:rPr>
        <w:t>, 2018). His conclusions stem from the stock market crash that happened in 1987 when he bought more than $1 billion of stock in the Coca-Cola company (</w:t>
      </w:r>
      <w:proofErr w:type="spellStart"/>
      <w:r>
        <w:rPr>
          <w:rFonts w:ascii="Times New Roman" w:eastAsia="Times New Roman" w:hAnsi="Times New Roman" w:cs="Times New Roman"/>
          <w:sz w:val="24"/>
          <w:szCs w:val="24"/>
        </w:rPr>
        <w:t>Reiff</w:t>
      </w:r>
      <w:proofErr w:type="spellEnd"/>
      <w:r>
        <w:rPr>
          <w:rFonts w:ascii="Times New Roman" w:eastAsia="Times New Roman" w:hAnsi="Times New Roman" w:cs="Times New Roman"/>
          <w:sz w:val="24"/>
          <w:szCs w:val="24"/>
        </w:rPr>
        <w:t>, 2018). The prices during such problems with stock markets drop to a minimum, so many people opt for purchasing the stocks, but they do not always earn from such decisions.</w:t>
      </w:r>
    </w:p>
    <w:p w14:paraId="3C96E73C" w14:textId="4A34C981" w:rsidR="001A19F8" w:rsidRDefault="0051727C">
      <w:pPr>
        <w:spacing w:line="480" w:lineRule="auto"/>
        <w:ind w:firstLine="708"/>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 the risk that Buffett took could have turned out either exceptionally or dreadfully, and the fact that he, as a promising investor, decided to financially support Coca-Cola. Fortunately, such a decision granted huge revenues to Buffett, considering that Coca-Cola's shares increased in price almost by 20 times (</w:t>
      </w:r>
      <w:proofErr w:type="spellStart"/>
      <w:r>
        <w:rPr>
          <w:rFonts w:ascii="Times New Roman" w:eastAsia="Times New Roman" w:hAnsi="Times New Roman" w:cs="Times New Roman"/>
          <w:sz w:val="24"/>
          <w:szCs w:val="24"/>
        </w:rPr>
        <w:t>Reiff</w:t>
      </w:r>
      <w:proofErr w:type="spellEnd"/>
      <w:r>
        <w:rPr>
          <w:rFonts w:ascii="Times New Roman" w:eastAsia="Times New Roman" w:hAnsi="Times New Roman" w:cs="Times New Roman"/>
          <w:sz w:val="24"/>
          <w:szCs w:val="24"/>
        </w:rPr>
        <w:t>, 2018). As a matter of fact, a year after the stock market crash, one share of the company cost 2.45$, and in 30 years, it grew to be 42.7$ (</w:t>
      </w:r>
      <w:proofErr w:type="spellStart"/>
      <w:r>
        <w:rPr>
          <w:rFonts w:ascii="Times New Roman" w:eastAsia="Times New Roman" w:hAnsi="Times New Roman" w:cs="Times New Roman"/>
          <w:sz w:val="24"/>
          <w:szCs w:val="24"/>
        </w:rPr>
        <w:t>Reiff</w:t>
      </w:r>
      <w:proofErr w:type="spellEnd"/>
      <w:r>
        <w:rPr>
          <w:rFonts w:ascii="Times New Roman" w:eastAsia="Times New Roman" w:hAnsi="Times New Roman" w:cs="Times New Roman"/>
          <w:sz w:val="24"/>
          <w:szCs w:val="24"/>
        </w:rPr>
        <w:t>, 2018). Not only did Buffett earn a massive amount of money from his investments, but he also now holds more than 10% of all the shares of the company (</w:t>
      </w:r>
      <w:proofErr w:type="spellStart"/>
      <w:r>
        <w:rPr>
          <w:rFonts w:ascii="Times New Roman" w:eastAsia="Times New Roman" w:hAnsi="Times New Roman" w:cs="Times New Roman"/>
          <w:sz w:val="24"/>
          <w:szCs w:val="24"/>
        </w:rPr>
        <w:t>Reiff</w:t>
      </w:r>
      <w:proofErr w:type="spellEnd"/>
      <w:r>
        <w:rPr>
          <w:rFonts w:ascii="Times New Roman" w:eastAsia="Times New Roman" w:hAnsi="Times New Roman" w:cs="Times New Roman"/>
          <w:sz w:val="24"/>
          <w:szCs w:val="24"/>
        </w:rPr>
        <w:t xml:space="preserve">, 2018). Overall, it supports the fact that Coca-Cola could </w:t>
      </w:r>
      <w:r w:rsidR="001C53D8">
        <w:rPr>
          <w:rFonts w:ascii="Times New Roman" w:eastAsia="Times New Roman" w:hAnsi="Times New Roman" w:cs="Times New Roman"/>
          <w:sz w:val="24"/>
          <w:szCs w:val="24"/>
        </w:rPr>
        <w:t>beat</w:t>
      </w:r>
      <w:r>
        <w:rPr>
          <w:rFonts w:ascii="Times New Roman" w:eastAsia="Times New Roman" w:hAnsi="Times New Roman" w:cs="Times New Roman"/>
          <w:sz w:val="24"/>
          <w:szCs w:val="24"/>
        </w:rPr>
        <w:t xml:space="preserve"> the market, while sustaining its position after a massive stock market crash, leading investors to earn substantial money from their financial contributions to the corporation. </w:t>
      </w:r>
    </w:p>
    <w:p w14:paraId="3C96E73D" w14:textId="77777777" w:rsidR="001A19F8" w:rsidRDefault="0051727C">
      <w:pPr>
        <w:spacing w:line="480" w:lineRule="auto"/>
        <w:ind w:firstLine="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Coca-Cola appears to be a successful company as it not only financially benefits its shareholders but also approves the longevity of the investments. The so-called Berkshire's portfolio, which Buffett filled with his investments’ cases, included only two </w:t>
      </w:r>
      <w:r>
        <w:rPr>
          <w:rFonts w:ascii="Times New Roman" w:eastAsia="Times New Roman" w:hAnsi="Times New Roman" w:cs="Times New Roman"/>
          <w:sz w:val="24"/>
          <w:szCs w:val="24"/>
        </w:rPr>
        <w:lastRenderedPageBreak/>
        <w:t>longest-standing leading companies, one of which remained to be Coca-Cola (</w:t>
      </w:r>
      <w:proofErr w:type="spellStart"/>
      <w:r>
        <w:rPr>
          <w:rFonts w:ascii="Times New Roman" w:eastAsia="Times New Roman" w:hAnsi="Times New Roman" w:cs="Times New Roman"/>
          <w:sz w:val="24"/>
          <w:szCs w:val="24"/>
        </w:rPr>
        <w:t>Reiff</w:t>
      </w:r>
      <w:proofErr w:type="spellEnd"/>
      <w:r>
        <w:rPr>
          <w:rFonts w:ascii="Times New Roman" w:eastAsia="Times New Roman" w:hAnsi="Times New Roman" w:cs="Times New Roman"/>
          <w:sz w:val="24"/>
          <w:szCs w:val="24"/>
        </w:rPr>
        <w:t>, 2018). As mentioned earlier, Buffett was focused on proving EMH wrong, and the fact that he invested 1 billion dollars in Coca-Cola proves the corporation to be an outstanding option for investments. The negative repercussions of the stock market share in 1987 did not severely affect Coca-Cola but, on the contrary, helped it grow to be even more successful. The company's brand name is powerful nowadays as the company manages to support twenty different brands, "bringing in a total of over $1 billion in sales per year a piece" (</w:t>
      </w:r>
      <w:proofErr w:type="spellStart"/>
      <w:r>
        <w:rPr>
          <w:rFonts w:ascii="Times New Roman" w:eastAsia="Times New Roman" w:hAnsi="Times New Roman" w:cs="Times New Roman"/>
          <w:sz w:val="24"/>
          <w:szCs w:val="24"/>
        </w:rPr>
        <w:t>Reiff</w:t>
      </w:r>
      <w:proofErr w:type="spellEnd"/>
      <w:r>
        <w:rPr>
          <w:rFonts w:ascii="Times New Roman" w:eastAsia="Times New Roman" w:hAnsi="Times New Roman" w:cs="Times New Roman"/>
          <w:sz w:val="24"/>
          <w:szCs w:val="24"/>
        </w:rPr>
        <w:t xml:space="preserve">, 2018, para. 5). Furthermore, Coca-Cola’s shares continue to grow, accumulating approximately 60.1$ now, which is 7$ more compared to the last-year prices (Google Finances, 2022). By and large, Coca-Cola seems indeed a surefire investment as it partially opposes EMH, meaning it can increase shareholders' investments despite the theory. </w:t>
      </w:r>
    </w:p>
    <w:p w14:paraId="209D33D8" w14:textId="3E8C4988" w:rsidR="009464E4" w:rsidRDefault="00B35451">
      <w:pPr>
        <w:spacing w:line="480" w:lineRule="auto"/>
        <w:ind w:firstLine="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 </w:t>
      </w:r>
      <w:r w:rsidRPr="00B35451">
        <w:rPr>
          <w:rFonts w:ascii="Times New Roman" w:eastAsia="Times New Roman" w:hAnsi="Times New Roman" w:cs="Times New Roman"/>
          <w:sz w:val="24"/>
          <w:szCs w:val="24"/>
        </w:rPr>
        <w:t>Methods of appraising projects which Coca-Cola use</w:t>
      </w:r>
      <w:r w:rsidR="00D23868">
        <w:rPr>
          <w:rFonts w:ascii="Times New Roman" w:eastAsia="Times New Roman" w:hAnsi="Times New Roman" w:cs="Times New Roman"/>
          <w:sz w:val="24"/>
          <w:szCs w:val="24"/>
        </w:rPr>
        <w:t>.</w:t>
      </w:r>
    </w:p>
    <w:p w14:paraId="3C96E73E" w14:textId="77777777" w:rsidR="001A19F8" w:rsidRDefault="0051727C">
      <w:pPr>
        <w:spacing w:line="480" w:lineRule="auto"/>
        <w:ind w:firstLine="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Coca-Cola being on the worldwide market is open to investments into other promising brands and focuses on encouraging shareholders to own the stocks of their corporation. Naturally, both aspects require investment appraisal, which shows the profitability of financially contributing to any corporation. To be more exact, Coca-Cola primarily concentrates on collecting contractual cash flows and the sales of financial assets (Coca-Cola Consolidated, 2022; Coca-Cola Investments, 2022). Apart from analyzing the exchange rate fluctuations and the impairment, Coca-Cola also uses the internal rate of return (IRR) method of appraising projects (Coca-Cola HBC, 2022). The IRR is essential to calculating the profitability of the possible investment opportunities to increase the revenues of the company considerably (Schmidt, 2021; Coca-Cola HBC, 2022). Theoretically speaking, as the discount rate, the IRR value turns the net present value (NTP) into zero, which eventually concludes the expected annual rate of return on a project (Schmidt, 2021). Coca-Cola opts for this </w:t>
      </w:r>
      <w:r>
        <w:rPr>
          <w:rFonts w:ascii="Times New Roman" w:eastAsia="Times New Roman" w:hAnsi="Times New Roman" w:cs="Times New Roman"/>
          <w:sz w:val="24"/>
          <w:szCs w:val="24"/>
        </w:rPr>
        <w:lastRenderedPageBreak/>
        <w:t>method to calculate the financial benefits for their company after investing in specific projects or brands.</w:t>
      </w:r>
    </w:p>
    <w:p w14:paraId="3C96E73F" w14:textId="77777777" w:rsidR="001A19F8" w:rsidRDefault="0051727C">
      <w:pPr>
        <w:spacing w:line="480" w:lineRule="auto"/>
        <w:ind w:firstLine="708"/>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 the IRR method is helpful to investigate the scale of financial flows and their timing. In other words, Coca-Cola is more interested in evaluating the time value of money for investment opportunities (Coca-Cola FEMSA, 2021). In addition, the company focuses on the basic acceptance rule of the IRR, which relies on the cost of capital (Coca-Cola FEMSA, 2021). The cost of capital should bever be higher than IRR, otherwise, the company may suffer from financial losses (Coca-Cola FEMSA, 2021). By and large, the following of the rules and a thorough analysis of investment opportunities help Coca-Cola increase its revenues and sometimes build new bonds for future collaborations.</w:t>
      </w:r>
    </w:p>
    <w:p w14:paraId="3C96E740" w14:textId="77777777" w:rsidR="001A19F8" w:rsidRDefault="0051727C">
      <w:pPr>
        <w:spacing w:line="480" w:lineRule="auto"/>
        <w:ind w:firstLine="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Coca-Cola tends to use the IRR method because of its numerous advantages and the simplicity of the whole calculation process. The simple measurement techniques are probably one of the main reasons why Coca-Cola uses the IRR approach and not </w:t>
      </w:r>
      <w:proofErr w:type="gramStart"/>
      <w:r>
        <w:rPr>
          <w:rFonts w:ascii="Times New Roman" w:eastAsia="Times New Roman" w:hAnsi="Times New Roman" w:cs="Times New Roman"/>
          <w:sz w:val="24"/>
          <w:szCs w:val="24"/>
        </w:rPr>
        <w:t>others</w:t>
      </w:r>
      <w:proofErr w:type="gramEnd"/>
      <w:r>
        <w:rPr>
          <w:rFonts w:ascii="Times New Roman" w:eastAsia="Times New Roman" w:hAnsi="Times New Roman" w:cs="Times New Roman"/>
          <w:sz w:val="24"/>
          <w:szCs w:val="24"/>
        </w:rPr>
        <w:t xml:space="preserve"> methods of investment appraising (Coca-Cola FEMSA, 2021). Consequently, the corporation can easily convey a rank project to choose the investment opportunity that is the most profitable for Coca-Cola (Carmichael, 2021). In fact, as the measurement of the expected annual rate of return is beyond easy, Coca-Cola can analyze numerous projects in short periods of time (Carmichael, 2021). Another benefit for the company is that this approach measures the time value of money to evaluate the profitability of the project, which allows Coca-Cola to understand what revenue they can expect and after what time. </w:t>
      </w:r>
    </w:p>
    <w:p w14:paraId="0837769C" w14:textId="0E879E61" w:rsidR="00D23868" w:rsidRDefault="00D23868" w:rsidP="00D23868">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3.Con</w:t>
      </w:r>
      <w:r w:rsidR="00C4487B">
        <w:rPr>
          <w:rFonts w:ascii="Times New Roman" w:eastAsia="Times New Roman" w:hAnsi="Times New Roman" w:cs="Times New Roman"/>
          <w:sz w:val="24"/>
          <w:szCs w:val="24"/>
        </w:rPr>
        <w:t>clusion.</w:t>
      </w:r>
    </w:p>
    <w:p w14:paraId="3C96E741" w14:textId="5B5F514C" w:rsidR="001A19F8" w:rsidRDefault="0051727C" w:rsidP="00C4487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sum up, Coca-Cola appears to be a top-tier corporation on its market nowadays. The fact that the financial contributions of shareholders benefit not only the company itself, but them directly in the form of increased revenues says a lot about Coca-Cola as a company. Moreover, its outstanding stocks and market rates sometimes are higher than the average </w:t>
      </w:r>
      <w:r>
        <w:rPr>
          <w:rFonts w:ascii="Times New Roman" w:eastAsia="Times New Roman" w:hAnsi="Times New Roman" w:cs="Times New Roman"/>
          <w:sz w:val="24"/>
          <w:szCs w:val="24"/>
        </w:rPr>
        <w:lastRenderedPageBreak/>
        <w:t xml:space="preserve">between Coca-Cola’s competitors, which contradicts the efficient market hypothesis and once again proves the success of the brand. The company’s focus on investment projects deserves respect, as Coca-Cola is beyond careful about choosing the projects to support financially, which shows the company’s experience on the global market. Using the IRR approach, the corporation </w:t>
      </w:r>
      <w:r w:rsidR="001D6498">
        <w:rPr>
          <w:rFonts w:ascii="Times New Roman" w:eastAsia="Times New Roman" w:hAnsi="Times New Roman" w:cs="Times New Roman"/>
          <w:sz w:val="24"/>
          <w:szCs w:val="24"/>
        </w:rPr>
        <w:t>can</w:t>
      </w:r>
      <w:r>
        <w:rPr>
          <w:rFonts w:ascii="Times New Roman" w:eastAsia="Times New Roman" w:hAnsi="Times New Roman" w:cs="Times New Roman"/>
          <w:sz w:val="24"/>
          <w:szCs w:val="24"/>
        </w:rPr>
        <w:t xml:space="preserve"> analyze numerous companies simultaneously and then select one to pursue to increase its revenues for future projects or expansion on the market.</w:t>
      </w:r>
    </w:p>
    <w:p w14:paraId="6B6EDD1F" w14:textId="77777777" w:rsidR="00C4487B" w:rsidRDefault="00C4487B" w:rsidP="00C4487B">
      <w:pPr>
        <w:spacing w:line="480" w:lineRule="auto"/>
        <w:rPr>
          <w:rFonts w:ascii="Times New Roman" w:eastAsia="Times New Roman" w:hAnsi="Times New Roman" w:cs="Times New Roman"/>
          <w:sz w:val="24"/>
          <w:szCs w:val="24"/>
        </w:rPr>
      </w:pPr>
    </w:p>
    <w:p w14:paraId="2290DBB4" w14:textId="77777777" w:rsidR="00C4487B" w:rsidRDefault="00C4487B" w:rsidP="00C4487B">
      <w:pPr>
        <w:spacing w:line="480" w:lineRule="auto"/>
        <w:rPr>
          <w:rFonts w:ascii="Times New Roman" w:eastAsia="Times New Roman" w:hAnsi="Times New Roman" w:cs="Times New Roman"/>
          <w:sz w:val="24"/>
          <w:szCs w:val="24"/>
        </w:rPr>
      </w:pPr>
    </w:p>
    <w:p w14:paraId="5B336FA6" w14:textId="77777777" w:rsidR="00C4487B" w:rsidRDefault="00C4487B" w:rsidP="00C4487B">
      <w:pPr>
        <w:spacing w:line="480" w:lineRule="auto"/>
        <w:rPr>
          <w:rFonts w:ascii="Times New Roman" w:eastAsia="Times New Roman" w:hAnsi="Times New Roman" w:cs="Times New Roman"/>
          <w:sz w:val="24"/>
          <w:szCs w:val="24"/>
        </w:rPr>
      </w:pPr>
    </w:p>
    <w:p w14:paraId="7910DB15" w14:textId="77777777" w:rsidR="00C4487B" w:rsidRDefault="00C4487B" w:rsidP="00C4487B">
      <w:pPr>
        <w:spacing w:line="480" w:lineRule="auto"/>
        <w:rPr>
          <w:rFonts w:ascii="Times New Roman" w:eastAsia="Times New Roman" w:hAnsi="Times New Roman" w:cs="Times New Roman"/>
          <w:sz w:val="24"/>
          <w:szCs w:val="24"/>
        </w:rPr>
      </w:pPr>
    </w:p>
    <w:p w14:paraId="37C9DFDA" w14:textId="77777777" w:rsidR="00C4487B" w:rsidRDefault="00C4487B" w:rsidP="00C4487B">
      <w:pPr>
        <w:spacing w:line="480" w:lineRule="auto"/>
        <w:rPr>
          <w:rFonts w:ascii="Times New Roman" w:eastAsia="Times New Roman" w:hAnsi="Times New Roman" w:cs="Times New Roman"/>
          <w:sz w:val="24"/>
          <w:szCs w:val="24"/>
        </w:rPr>
      </w:pPr>
    </w:p>
    <w:p w14:paraId="7361BF7C" w14:textId="77777777" w:rsidR="00C4487B" w:rsidRDefault="00C4487B" w:rsidP="00C4487B">
      <w:pPr>
        <w:spacing w:line="480" w:lineRule="auto"/>
        <w:rPr>
          <w:rFonts w:ascii="Times New Roman" w:eastAsia="Times New Roman" w:hAnsi="Times New Roman" w:cs="Times New Roman"/>
          <w:sz w:val="24"/>
          <w:szCs w:val="24"/>
        </w:rPr>
      </w:pPr>
    </w:p>
    <w:p w14:paraId="6508881B" w14:textId="77777777" w:rsidR="00C4487B" w:rsidRDefault="00C4487B" w:rsidP="00C4487B">
      <w:pPr>
        <w:spacing w:line="480" w:lineRule="auto"/>
        <w:rPr>
          <w:rFonts w:ascii="Times New Roman" w:eastAsia="Times New Roman" w:hAnsi="Times New Roman" w:cs="Times New Roman"/>
          <w:sz w:val="24"/>
          <w:szCs w:val="24"/>
        </w:rPr>
      </w:pPr>
    </w:p>
    <w:p w14:paraId="0D78276A" w14:textId="77777777" w:rsidR="00C4487B" w:rsidRDefault="00C4487B" w:rsidP="00C4487B">
      <w:pPr>
        <w:spacing w:line="480" w:lineRule="auto"/>
        <w:rPr>
          <w:rFonts w:ascii="Times New Roman" w:eastAsia="Times New Roman" w:hAnsi="Times New Roman" w:cs="Times New Roman"/>
          <w:sz w:val="24"/>
          <w:szCs w:val="24"/>
        </w:rPr>
      </w:pPr>
    </w:p>
    <w:p w14:paraId="1666979B" w14:textId="77777777" w:rsidR="00C4487B" w:rsidRDefault="00C4487B" w:rsidP="00C4487B">
      <w:pPr>
        <w:spacing w:line="480" w:lineRule="auto"/>
        <w:rPr>
          <w:rFonts w:ascii="Times New Roman" w:eastAsia="Times New Roman" w:hAnsi="Times New Roman" w:cs="Times New Roman"/>
          <w:sz w:val="24"/>
          <w:szCs w:val="24"/>
        </w:rPr>
      </w:pPr>
    </w:p>
    <w:p w14:paraId="4BA99EF5" w14:textId="77777777" w:rsidR="00C4487B" w:rsidRDefault="00C4487B" w:rsidP="00C4487B">
      <w:pPr>
        <w:spacing w:line="480" w:lineRule="auto"/>
        <w:rPr>
          <w:rFonts w:ascii="Times New Roman" w:eastAsia="Times New Roman" w:hAnsi="Times New Roman" w:cs="Times New Roman"/>
          <w:sz w:val="24"/>
          <w:szCs w:val="24"/>
        </w:rPr>
      </w:pPr>
    </w:p>
    <w:p w14:paraId="592867BF" w14:textId="77777777" w:rsidR="00C4487B" w:rsidRDefault="00C4487B" w:rsidP="00C4487B">
      <w:pPr>
        <w:spacing w:line="480" w:lineRule="auto"/>
        <w:rPr>
          <w:rFonts w:ascii="Times New Roman" w:eastAsia="Times New Roman" w:hAnsi="Times New Roman" w:cs="Times New Roman"/>
          <w:sz w:val="24"/>
          <w:szCs w:val="24"/>
        </w:rPr>
      </w:pPr>
    </w:p>
    <w:p w14:paraId="505BC5AC" w14:textId="77777777" w:rsidR="00C4487B" w:rsidRDefault="00C4487B" w:rsidP="00C4487B">
      <w:pPr>
        <w:spacing w:line="480" w:lineRule="auto"/>
        <w:rPr>
          <w:rFonts w:ascii="Times New Roman" w:eastAsia="Times New Roman" w:hAnsi="Times New Roman" w:cs="Times New Roman"/>
          <w:sz w:val="24"/>
          <w:szCs w:val="24"/>
        </w:rPr>
      </w:pPr>
    </w:p>
    <w:p w14:paraId="064C1B3E" w14:textId="77777777" w:rsidR="00C4487B" w:rsidRDefault="00C4487B" w:rsidP="00C4487B">
      <w:pPr>
        <w:spacing w:line="480" w:lineRule="auto"/>
        <w:rPr>
          <w:rFonts w:ascii="Times New Roman" w:eastAsia="Times New Roman" w:hAnsi="Times New Roman" w:cs="Times New Roman"/>
          <w:sz w:val="24"/>
          <w:szCs w:val="24"/>
        </w:rPr>
      </w:pPr>
    </w:p>
    <w:p w14:paraId="7E2EB67E" w14:textId="77777777" w:rsidR="00C4487B" w:rsidRDefault="00C4487B" w:rsidP="00C4487B">
      <w:pPr>
        <w:spacing w:line="480" w:lineRule="auto"/>
        <w:rPr>
          <w:rFonts w:ascii="Times New Roman" w:eastAsia="Times New Roman" w:hAnsi="Times New Roman" w:cs="Times New Roman"/>
          <w:sz w:val="24"/>
          <w:szCs w:val="24"/>
        </w:rPr>
      </w:pPr>
    </w:p>
    <w:p w14:paraId="0B8B1C4F" w14:textId="77777777" w:rsidR="00C4487B" w:rsidRDefault="00C4487B" w:rsidP="00C4487B">
      <w:pPr>
        <w:spacing w:line="480" w:lineRule="auto"/>
        <w:rPr>
          <w:rFonts w:ascii="Times New Roman" w:eastAsia="Times New Roman" w:hAnsi="Times New Roman" w:cs="Times New Roman"/>
          <w:sz w:val="24"/>
          <w:szCs w:val="24"/>
        </w:rPr>
      </w:pPr>
    </w:p>
    <w:p w14:paraId="4235ED4D" w14:textId="77777777" w:rsidR="00C4487B" w:rsidRDefault="00C4487B" w:rsidP="00C4487B">
      <w:pPr>
        <w:spacing w:line="480" w:lineRule="auto"/>
        <w:rPr>
          <w:rFonts w:ascii="Times New Roman" w:eastAsia="Times New Roman" w:hAnsi="Times New Roman" w:cs="Times New Roman"/>
          <w:sz w:val="24"/>
          <w:szCs w:val="24"/>
        </w:rPr>
      </w:pPr>
    </w:p>
    <w:p w14:paraId="2FF615A7" w14:textId="77777777" w:rsidR="00C4487B" w:rsidRDefault="00C4487B" w:rsidP="00C4487B">
      <w:pPr>
        <w:spacing w:line="480" w:lineRule="auto"/>
        <w:rPr>
          <w:rFonts w:ascii="Times New Roman" w:eastAsia="Times New Roman" w:hAnsi="Times New Roman" w:cs="Times New Roman"/>
          <w:sz w:val="24"/>
          <w:szCs w:val="24"/>
        </w:rPr>
      </w:pPr>
    </w:p>
    <w:p w14:paraId="13D51833" w14:textId="77777777" w:rsidR="00C4487B" w:rsidRDefault="00C4487B" w:rsidP="00C4487B">
      <w:pPr>
        <w:spacing w:line="480" w:lineRule="auto"/>
        <w:rPr>
          <w:rFonts w:ascii="Times New Roman" w:eastAsia="Times New Roman" w:hAnsi="Times New Roman" w:cs="Times New Roman"/>
          <w:sz w:val="24"/>
          <w:szCs w:val="24"/>
        </w:rPr>
      </w:pPr>
    </w:p>
    <w:p w14:paraId="46182A8C" w14:textId="77777777" w:rsidR="00C4487B" w:rsidRDefault="00C4487B" w:rsidP="00C4487B">
      <w:pPr>
        <w:spacing w:line="480" w:lineRule="auto"/>
        <w:rPr>
          <w:rFonts w:ascii="Times New Roman" w:eastAsia="Times New Roman" w:hAnsi="Times New Roman" w:cs="Times New Roman"/>
          <w:sz w:val="24"/>
          <w:szCs w:val="24"/>
        </w:rPr>
      </w:pPr>
    </w:p>
    <w:p w14:paraId="34C48198" w14:textId="77777777" w:rsidR="00C4487B" w:rsidRDefault="00C4487B" w:rsidP="00C4487B">
      <w:pPr>
        <w:spacing w:line="480" w:lineRule="auto"/>
        <w:rPr>
          <w:rFonts w:ascii="Times New Roman" w:eastAsia="Times New Roman" w:hAnsi="Times New Roman" w:cs="Times New Roman"/>
          <w:sz w:val="24"/>
          <w:szCs w:val="24"/>
        </w:rPr>
      </w:pPr>
    </w:p>
    <w:p w14:paraId="3C96E742" w14:textId="77777777" w:rsidR="001A19F8" w:rsidRDefault="0051727C">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Reference List</w:t>
      </w:r>
    </w:p>
    <w:p w14:paraId="3C96E743" w14:textId="77777777" w:rsidR="001A19F8" w:rsidRDefault="0051727C">
      <w:pPr>
        <w:spacing w:line="480" w:lineRule="auto"/>
        <w:ind w:left="708" w:hanging="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Carmichael, C. (2021) </w:t>
      </w:r>
      <w:r>
        <w:rPr>
          <w:rFonts w:ascii="Times New Roman" w:eastAsia="Times New Roman" w:hAnsi="Times New Roman" w:cs="Times New Roman"/>
          <w:i/>
          <w:sz w:val="24"/>
          <w:szCs w:val="24"/>
        </w:rPr>
        <w:t>Understanding Coca-Cola’s capital structure (KO)</w:t>
      </w:r>
      <w:r>
        <w:rPr>
          <w:rFonts w:ascii="Times New Roman" w:eastAsia="Times New Roman" w:hAnsi="Times New Roman" w:cs="Times New Roman"/>
          <w:sz w:val="24"/>
          <w:szCs w:val="24"/>
        </w:rPr>
        <w:t xml:space="preserve">. [online] Investopedia. Available at: </w:t>
      </w:r>
      <w:hyperlink r:id="rId7">
        <w:r>
          <w:rPr>
            <w:rFonts w:ascii="Times New Roman" w:eastAsia="Times New Roman" w:hAnsi="Times New Roman" w:cs="Times New Roman"/>
            <w:sz w:val="24"/>
            <w:szCs w:val="24"/>
            <w:u w:val="single"/>
          </w:rPr>
          <w:t>https://www.investopedia.com/articles/financial-analysis/090216/understanding-cocacolas-capital-structure-ko.asp</w:t>
        </w:r>
      </w:hyperlink>
    </w:p>
    <w:p w14:paraId="3C96E744" w14:textId="77777777" w:rsidR="001A19F8" w:rsidRDefault="0051727C">
      <w:pPr>
        <w:spacing w:line="480" w:lineRule="auto"/>
        <w:ind w:left="708" w:hanging="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CNBC (2022) </w:t>
      </w:r>
      <w:r>
        <w:rPr>
          <w:rFonts w:ascii="Times New Roman" w:eastAsia="Times New Roman" w:hAnsi="Times New Roman" w:cs="Times New Roman"/>
          <w:i/>
          <w:sz w:val="24"/>
          <w:szCs w:val="24"/>
        </w:rPr>
        <w:t>Coca-Cola’s stock price (KO) in real time</w:t>
      </w:r>
      <w:r>
        <w:rPr>
          <w:rFonts w:ascii="Times New Roman" w:eastAsia="Times New Roman" w:hAnsi="Times New Roman" w:cs="Times New Roman"/>
          <w:sz w:val="24"/>
          <w:szCs w:val="24"/>
        </w:rPr>
        <w:t xml:space="preserve">. [online] CNBC. Available at: </w:t>
      </w:r>
      <w:hyperlink r:id="rId8">
        <w:r>
          <w:rPr>
            <w:rFonts w:ascii="Times New Roman" w:eastAsia="Times New Roman" w:hAnsi="Times New Roman" w:cs="Times New Roman"/>
            <w:sz w:val="24"/>
            <w:szCs w:val="24"/>
            <w:u w:val="single"/>
          </w:rPr>
          <w:t>https://www.cnbc.com/quotes/KO</w:t>
        </w:r>
      </w:hyperlink>
    </w:p>
    <w:p w14:paraId="3C96E745" w14:textId="77777777" w:rsidR="001A19F8" w:rsidRDefault="0051727C">
      <w:pPr>
        <w:spacing w:line="480" w:lineRule="auto"/>
        <w:ind w:left="708" w:hanging="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Coca-Cola Consolidated (2022) </w:t>
      </w:r>
      <w:r>
        <w:rPr>
          <w:rFonts w:ascii="Times New Roman" w:eastAsia="Times New Roman" w:hAnsi="Times New Roman" w:cs="Times New Roman"/>
          <w:i/>
          <w:sz w:val="24"/>
          <w:szCs w:val="24"/>
        </w:rPr>
        <w:t>Investor relations</w:t>
      </w:r>
      <w:r>
        <w:rPr>
          <w:rFonts w:ascii="Times New Roman" w:eastAsia="Times New Roman" w:hAnsi="Times New Roman" w:cs="Times New Roman"/>
          <w:sz w:val="24"/>
          <w:szCs w:val="24"/>
        </w:rPr>
        <w:t xml:space="preserve">. [online] investor.cokeconsolidated.com. Available at: </w:t>
      </w:r>
      <w:hyperlink r:id="rId9">
        <w:r>
          <w:rPr>
            <w:rFonts w:ascii="Times New Roman" w:eastAsia="Times New Roman" w:hAnsi="Times New Roman" w:cs="Times New Roman"/>
            <w:sz w:val="24"/>
            <w:szCs w:val="24"/>
            <w:u w:val="single"/>
          </w:rPr>
          <w:t>https://investor.cokeconsolidated.com/</w:t>
        </w:r>
      </w:hyperlink>
    </w:p>
    <w:p w14:paraId="3C96E746" w14:textId="77777777" w:rsidR="001A19F8" w:rsidRDefault="0051727C">
      <w:pPr>
        <w:spacing w:line="480" w:lineRule="auto"/>
        <w:ind w:left="708" w:hanging="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Coca-Cola </w:t>
      </w:r>
      <w:proofErr w:type="spellStart"/>
      <w:r>
        <w:rPr>
          <w:rFonts w:ascii="Times New Roman" w:eastAsia="Times New Roman" w:hAnsi="Times New Roman" w:cs="Times New Roman"/>
          <w:sz w:val="24"/>
          <w:szCs w:val="24"/>
        </w:rPr>
        <w:t>Europacific</w:t>
      </w:r>
      <w:proofErr w:type="spellEnd"/>
      <w:r>
        <w:rPr>
          <w:rFonts w:ascii="Times New Roman" w:eastAsia="Times New Roman" w:hAnsi="Times New Roman" w:cs="Times New Roman"/>
          <w:sz w:val="24"/>
          <w:szCs w:val="24"/>
        </w:rPr>
        <w:t xml:space="preserve"> Partners (2022) </w:t>
      </w:r>
      <w:r>
        <w:rPr>
          <w:rFonts w:ascii="Times New Roman" w:eastAsia="Times New Roman" w:hAnsi="Times New Roman" w:cs="Times New Roman"/>
          <w:i/>
          <w:sz w:val="24"/>
          <w:szCs w:val="24"/>
        </w:rPr>
        <w:t xml:space="preserve">Listing &amp; share information | Coca-Cola </w:t>
      </w:r>
      <w:proofErr w:type="spellStart"/>
      <w:r>
        <w:rPr>
          <w:rFonts w:ascii="Times New Roman" w:eastAsia="Times New Roman" w:hAnsi="Times New Roman" w:cs="Times New Roman"/>
          <w:i/>
          <w:sz w:val="24"/>
          <w:szCs w:val="24"/>
        </w:rPr>
        <w:t>Europacific</w:t>
      </w:r>
      <w:proofErr w:type="spellEnd"/>
      <w:r>
        <w:rPr>
          <w:rFonts w:ascii="Times New Roman" w:eastAsia="Times New Roman" w:hAnsi="Times New Roman" w:cs="Times New Roman"/>
          <w:i/>
          <w:sz w:val="24"/>
          <w:szCs w:val="24"/>
        </w:rPr>
        <w:t xml:space="preserve"> Partners</w:t>
      </w:r>
      <w:r>
        <w:rPr>
          <w:rFonts w:ascii="Times New Roman" w:eastAsia="Times New Roman" w:hAnsi="Times New Roman" w:cs="Times New Roman"/>
          <w:sz w:val="24"/>
          <w:szCs w:val="24"/>
        </w:rPr>
        <w:t xml:space="preserve">. [online] ir.cocacolaep.com. Available at: </w:t>
      </w:r>
      <w:hyperlink r:id="rId10">
        <w:r>
          <w:rPr>
            <w:rFonts w:ascii="Times New Roman" w:eastAsia="Times New Roman" w:hAnsi="Times New Roman" w:cs="Times New Roman"/>
            <w:sz w:val="24"/>
            <w:szCs w:val="24"/>
            <w:u w:val="single"/>
          </w:rPr>
          <w:t>https://ir.cocacolaep.com/shareholder-information-and-tools/listing-and-share-information</w:t>
        </w:r>
      </w:hyperlink>
    </w:p>
    <w:p w14:paraId="3C96E747" w14:textId="77777777" w:rsidR="001A19F8" w:rsidRDefault="0051727C">
      <w:pPr>
        <w:spacing w:line="480" w:lineRule="auto"/>
        <w:ind w:left="708" w:hanging="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Coca-Cola FEMSA (2021) </w:t>
      </w:r>
      <w:r>
        <w:rPr>
          <w:rFonts w:ascii="Times New Roman" w:eastAsia="Times New Roman" w:hAnsi="Times New Roman" w:cs="Times New Roman"/>
          <w:i/>
          <w:sz w:val="24"/>
          <w:szCs w:val="24"/>
        </w:rPr>
        <w:t>Financial statements</w:t>
      </w:r>
      <w:r>
        <w:rPr>
          <w:rFonts w:ascii="Times New Roman" w:eastAsia="Times New Roman" w:hAnsi="Times New Roman" w:cs="Times New Roman"/>
          <w:sz w:val="24"/>
          <w:szCs w:val="24"/>
        </w:rPr>
        <w:t xml:space="preserve">. [online] pp.1–115. Available at: </w:t>
      </w:r>
      <w:hyperlink r:id="rId11">
        <w:r>
          <w:rPr>
            <w:rFonts w:ascii="Times New Roman" w:eastAsia="Times New Roman" w:hAnsi="Times New Roman" w:cs="Times New Roman"/>
            <w:sz w:val="24"/>
            <w:szCs w:val="24"/>
            <w:u w:val="single"/>
          </w:rPr>
          <w:t>https://coca-colafemsa.com/KOF2020/pdf/KOF_Financial_Statements_2020_Final.pdf</w:t>
        </w:r>
      </w:hyperlink>
    </w:p>
    <w:p w14:paraId="3C96E748" w14:textId="77777777" w:rsidR="001A19F8" w:rsidRDefault="0051727C">
      <w:pPr>
        <w:spacing w:line="480" w:lineRule="auto"/>
        <w:ind w:left="708" w:hanging="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Coca-Cola HBC (2022) </w:t>
      </w:r>
      <w:r>
        <w:rPr>
          <w:rFonts w:ascii="Times New Roman" w:eastAsia="Times New Roman" w:hAnsi="Times New Roman" w:cs="Times New Roman"/>
          <w:i/>
          <w:sz w:val="24"/>
          <w:szCs w:val="24"/>
        </w:rPr>
        <w:t>Results, reports &amp; presentations</w:t>
      </w:r>
      <w:r>
        <w:rPr>
          <w:rFonts w:ascii="Times New Roman" w:eastAsia="Times New Roman" w:hAnsi="Times New Roman" w:cs="Times New Roman"/>
          <w:sz w:val="24"/>
          <w:szCs w:val="24"/>
        </w:rPr>
        <w:t xml:space="preserve">. [online] Coca-Cola HBC Group Website. Available at: </w:t>
      </w:r>
      <w:hyperlink r:id="rId12">
        <w:r>
          <w:rPr>
            <w:rFonts w:ascii="Times New Roman" w:eastAsia="Times New Roman" w:hAnsi="Times New Roman" w:cs="Times New Roman"/>
            <w:sz w:val="24"/>
            <w:szCs w:val="24"/>
            <w:u w:val="single"/>
          </w:rPr>
          <w:t>https://www.coca-colahellenic.com/en/investor-relations/results-reports-presentations</w:t>
        </w:r>
      </w:hyperlink>
    </w:p>
    <w:p w14:paraId="3C96E749" w14:textId="77777777" w:rsidR="001A19F8" w:rsidRDefault="0051727C">
      <w:pPr>
        <w:spacing w:line="480" w:lineRule="auto"/>
        <w:ind w:left="708" w:hanging="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Coca-Cola HBC (2022) </w:t>
      </w:r>
      <w:r>
        <w:rPr>
          <w:rFonts w:ascii="Times New Roman" w:eastAsia="Times New Roman" w:hAnsi="Times New Roman" w:cs="Times New Roman"/>
          <w:i/>
          <w:sz w:val="24"/>
          <w:szCs w:val="24"/>
        </w:rPr>
        <w:t>Why invest in Coca-Cola HBC?</w:t>
      </w:r>
      <w:r>
        <w:rPr>
          <w:rFonts w:ascii="Times New Roman" w:eastAsia="Times New Roman" w:hAnsi="Times New Roman" w:cs="Times New Roman"/>
          <w:sz w:val="24"/>
          <w:szCs w:val="24"/>
        </w:rPr>
        <w:t xml:space="preserve"> [online] Coca-Cola HBC Group Website. Available at: </w:t>
      </w:r>
      <w:hyperlink r:id="rId13">
        <w:r>
          <w:rPr>
            <w:rFonts w:ascii="Times New Roman" w:eastAsia="Times New Roman" w:hAnsi="Times New Roman" w:cs="Times New Roman"/>
            <w:sz w:val="24"/>
            <w:szCs w:val="24"/>
            <w:u w:val="single"/>
          </w:rPr>
          <w:t>https://www.coca-colahellenic.com/en/investor-relations/our-proposition/why-invest-in-cch</w:t>
        </w:r>
      </w:hyperlink>
    </w:p>
    <w:p w14:paraId="3C96E74A" w14:textId="77777777" w:rsidR="001A19F8" w:rsidRDefault="0051727C">
      <w:pPr>
        <w:spacing w:line="480" w:lineRule="auto"/>
        <w:ind w:left="708" w:hanging="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Coca-Cola Investments (2022) </w:t>
      </w:r>
      <w:r>
        <w:rPr>
          <w:rFonts w:ascii="Times New Roman" w:eastAsia="Times New Roman" w:hAnsi="Times New Roman" w:cs="Times New Roman"/>
          <w:i/>
          <w:sz w:val="24"/>
          <w:szCs w:val="24"/>
        </w:rPr>
        <w:t xml:space="preserve">Investor relations - Coca Cola </w:t>
      </w:r>
      <w:proofErr w:type="spellStart"/>
      <w:r>
        <w:rPr>
          <w:rFonts w:ascii="Times New Roman" w:eastAsia="Times New Roman" w:hAnsi="Times New Roman" w:cs="Times New Roman"/>
          <w:i/>
          <w:sz w:val="24"/>
          <w:szCs w:val="24"/>
        </w:rPr>
        <w:t>İçecek</w:t>
      </w:r>
      <w:proofErr w:type="spellEnd"/>
      <w:r>
        <w:rPr>
          <w:rFonts w:ascii="Times New Roman" w:eastAsia="Times New Roman" w:hAnsi="Times New Roman" w:cs="Times New Roman"/>
          <w:sz w:val="24"/>
          <w:szCs w:val="24"/>
        </w:rPr>
        <w:t xml:space="preserve">. [online] www.cci.com.tr. Available at: </w:t>
      </w:r>
      <w:hyperlink r:id="rId14">
        <w:r>
          <w:rPr>
            <w:rFonts w:ascii="Times New Roman" w:eastAsia="Times New Roman" w:hAnsi="Times New Roman" w:cs="Times New Roman"/>
            <w:sz w:val="24"/>
            <w:szCs w:val="24"/>
            <w:u w:val="single"/>
          </w:rPr>
          <w:t>https://www.cci.com.tr/en/investor-relations</w:t>
        </w:r>
      </w:hyperlink>
    </w:p>
    <w:p w14:paraId="3C96E74B" w14:textId="77777777" w:rsidR="001A19F8" w:rsidRDefault="0051727C">
      <w:pPr>
        <w:spacing w:line="480" w:lineRule="auto"/>
        <w:ind w:left="708" w:hanging="708"/>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Google Finances (2022) </w:t>
      </w:r>
      <w:r>
        <w:rPr>
          <w:rFonts w:ascii="Times New Roman" w:eastAsia="Times New Roman" w:hAnsi="Times New Roman" w:cs="Times New Roman"/>
          <w:i/>
          <w:sz w:val="24"/>
          <w:szCs w:val="24"/>
        </w:rPr>
        <w:t>Coca-Cola Co (KO) stock price &amp; news.</w:t>
      </w:r>
      <w:r>
        <w:rPr>
          <w:rFonts w:ascii="Times New Roman" w:eastAsia="Times New Roman" w:hAnsi="Times New Roman" w:cs="Times New Roman"/>
          <w:sz w:val="24"/>
          <w:szCs w:val="24"/>
        </w:rPr>
        <w:t xml:space="preserve"> Available at: </w:t>
      </w:r>
      <w:hyperlink r:id="rId15">
        <w:r>
          <w:rPr>
            <w:rFonts w:ascii="Times New Roman" w:eastAsia="Times New Roman" w:hAnsi="Times New Roman" w:cs="Times New Roman"/>
            <w:sz w:val="24"/>
            <w:szCs w:val="24"/>
            <w:u w:val="single"/>
          </w:rPr>
          <w:t>https://www.google.com/finance/quote/KO:NYSE?sa=X&amp;ved=2ahUKEwif-svZ3c32AhWKgf0HHaTpAwUQ3ecFegQIExAi&amp;window=5Y</w:t>
        </w:r>
      </w:hyperlink>
    </w:p>
    <w:p w14:paraId="3C96E74C" w14:textId="77777777" w:rsidR="001A19F8" w:rsidRDefault="0051727C">
      <w:pPr>
        <w:spacing w:line="480" w:lineRule="auto"/>
        <w:ind w:left="708" w:hanging="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Macro Trends (2022) </w:t>
      </w:r>
      <w:proofErr w:type="spellStart"/>
      <w:r>
        <w:rPr>
          <w:rFonts w:ascii="Times New Roman" w:eastAsia="Times New Roman" w:hAnsi="Times New Roman" w:cs="Times New Roman"/>
          <w:i/>
          <w:sz w:val="24"/>
          <w:szCs w:val="24"/>
        </w:rPr>
        <w:t>CocaCola</w:t>
      </w:r>
      <w:proofErr w:type="spellEnd"/>
      <w:r>
        <w:rPr>
          <w:rFonts w:ascii="Times New Roman" w:eastAsia="Times New Roman" w:hAnsi="Times New Roman" w:cs="Times New Roman"/>
          <w:i/>
          <w:sz w:val="24"/>
          <w:szCs w:val="24"/>
        </w:rPr>
        <w:t xml:space="preserve"> - </w:t>
      </w:r>
      <w:proofErr w:type="gramStart"/>
      <w:r>
        <w:rPr>
          <w:rFonts w:ascii="Times New Roman" w:eastAsia="Times New Roman" w:hAnsi="Times New Roman" w:cs="Times New Roman"/>
          <w:i/>
          <w:sz w:val="24"/>
          <w:szCs w:val="24"/>
        </w:rPr>
        <w:t>58 year</w:t>
      </w:r>
      <w:proofErr w:type="gramEnd"/>
      <w:r>
        <w:rPr>
          <w:rFonts w:ascii="Times New Roman" w:eastAsia="Times New Roman" w:hAnsi="Times New Roman" w:cs="Times New Roman"/>
          <w:i/>
          <w:sz w:val="24"/>
          <w:szCs w:val="24"/>
        </w:rPr>
        <w:t xml:space="preserve"> dividend history | KO</w:t>
      </w:r>
      <w:r>
        <w:rPr>
          <w:rFonts w:ascii="Times New Roman" w:eastAsia="Times New Roman" w:hAnsi="Times New Roman" w:cs="Times New Roman"/>
          <w:sz w:val="24"/>
          <w:szCs w:val="24"/>
        </w:rPr>
        <w:t xml:space="preserve">. [online] www.macrotrends.net. Available at: </w:t>
      </w:r>
      <w:hyperlink r:id="rId16" w:anchor=":~:text=Historical%20dividend%20payout%20and%20yield">
        <w:r>
          <w:rPr>
            <w:rFonts w:ascii="Times New Roman" w:eastAsia="Times New Roman" w:hAnsi="Times New Roman" w:cs="Times New Roman"/>
            <w:sz w:val="24"/>
            <w:szCs w:val="24"/>
            <w:u w:val="single"/>
          </w:rPr>
          <w:t>https://www.macrotrends.net/stocks/charts/KO/cocacola/dividend-yield-history#:~:text=Historical%20dividend%20payout%20and%20yield</w:t>
        </w:r>
      </w:hyperlink>
    </w:p>
    <w:p w14:paraId="3C96E74D" w14:textId="77777777" w:rsidR="001A19F8" w:rsidRDefault="0051727C">
      <w:pPr>
        <w:spacing w:line="480" w:lineRule="auto"/>
        <w:ind w:left="708" w:hanging="708"/>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Reiff</w:t>
      </w:r>
      <w:proofErr w:type="spellEnd"/>
      <w:r>
        <w:rPr>
          <w:rFonts w:ascii="Times New Roman" w:eastAsia="Times New Roman" w:hAnsi="Times New Roman" w:cs="Times New Roman"/>
          <w:sz w:val="24"/>
          <w:szCs w:val="24"/>
        </w:rPr>
        <w:t xml:space="preserve">, N. (2018) </w:t>
      </w:r>
      <w:r>
        <w:rPr>
          <w:rFonts w:ascii="Times New Roman" w:eastAsia="Times New Roman" w:hAnsi="Times New Roman" w:cs="Times New Roman"/>
          <w:i/>
          <w:sz w:val="24"/>
          <w:szCs w:val="24"/>
        </w:rPr>
        <w:t>How rich would you be if you followed Warren Buffett into Coca-Cola?</w:t>
      </w:r>
      <w:r>
        <w:rPr>
          <w:rFonts w:ascii="Times New Roman" w:eastAsia="Times New Roman" w:hAnsi="Times New Roman" w:cs="Times New Roman"/>
          <w:sz w:val="24"/>
          <w:szCs w:val="24"/>
        </w:rPr>
        <w:t xml:space="preserve"> [online] Investopedia. Available at: </w:t>
      </w:r>
      <w:hyperlink r:id="rId17">
        <w:r>
          <w:rPr>
            <w:rFonts w:ascii="Times New Roman" w:eastAsia="Times New Roman" w:hAnsi="Times New Roman" w:cs="Times New Roman"/>
            <w:sz w:val="24"/>
            <w:szCs w:val="24"/>
            <w:u w:val="single"/>
          </w:rPr>
          <w:t>https://www.investopedia.com/news/warren-buffett-coca-cola-ko/</w:t>
        </w:r>
      </w:hyperlink>
    </w:p>
    <w:p w14:paraId="3C96E74E" w14:textId="77777777" w:rsidR="001A19F8" w:rsidRDefault="0051727C">
      <w:pPr>
        <w:spacing w:line="480" w:lineRule="auto"/>
        <w:ind w:left="708" w:hanging="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Schmidt, R. (2017) </w:t>
      </w:r>
      <w:r>
        <w:rPr>
          <w:rFonts w:ascii="Times New Roman" w:eastAsia="Times New Roman" w:hAnsi="Times New Roman" w:cs="Times New Roman"/>
          <w:i/>
          <w:sz w:val="24"/>
          <w:szCs w:val="24"/>
        </w:rPr>
        <w:t>What is IRR and how does it work?</w:t>
      </w:r>
      <w:r>
        <w:rPr>
          <w:rFonts w:ascii="Times New Roman" w:eastAsia="Times New Roman" w:hAnsi="Times New Roman" w:cs="Times New Roman"/>
          <w:sz w:val="24"/>
          <w:szCs w:val="24"/>
        </w:rPr>
        <w:t xml:space="preserve"> [online] Propertymetrics.com. Available at: </w:t>
      </w:r>
      <w:hyperlink r:id="rId18">
        <w:r>
          <w:rPr>
            <w:rFonts w:ascii="Times New Roman" w:eastAsia="Times New Roman" w:hAnsi="Times New Roman" w:cs="Times New Roman"/>
            <w:sz w:val="24"/>
            <w:szCs w:val="24"/>
            <w:u w:val="single"/>
          </w:rPr>
          <w:t>https://propertymetrics.com/blog/what-is-irr/</w:t>
        </w:r>
      </w:hyperlink>
    </w:p>
    <w:p w14:paraId="3C96E74F" w14:textId="77777777" w:rsidR="001A19F8" w:rsidRDefault="0051727C">
      <w:pPr>
        <w:spacing w:line="480" w:lineRule="auto"/>
        <w:ind w:left="708" w:hanging="708"/>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Teall</w:t>
      </w:r>
      <w:proofErr w:type="spellEnd"/>
      <w:r>
        <w:rPr>
          <w:rFonts w:ascii="Times New Roman" w:eastAsia="Times New Roman" w:hAnsi="Times New Roman" w:cs="Times New Roman"/>
          <w:sz w:val="24"/>
          <w:szCs w:val="24"/>
        </w:rPr>
        <w:t xml:space="preserve">, J.L. (2018) Market efficiency. </w:t>
      </w:r>
      <w:r>
        <w:rPr>
          <w:rFonts w:ascii="Times New Roman" w:eastAsia="Times New Roman" w:hAnsi="Times New Roman" w:cs="Times New Roman"/>
          <w:i/>
          <w:sz w:val="24"/>
          <w:szCs w:val="24"/>
        </w:rPr>
        <w:t>Financial trading and investing</w:t>
      </w:r>
      <w:r>
        <w:rPr>
          <w:rFonts w:ascii="Times New Roman" w:eastAsia="Times New Roman" w:hAnsi="Times New Roman" w:cs="Times New Roman"/>
          <w:sz w:val="24"/>
          <w:szCs w:val="24"/>
        </w:rPr>
        <w:t xml:space="preserve">, pp.325–367. </w:t>
      </w:r>
      <w:hyperlink r:id="rId19">
        <w:r>
          <w:rPr>
            <w:rFonts w:ascii="Times New Roman" w:eastAsia="Times New Roman" w:hAnsi="Times New Roman" w:cs="Times New Roman"/>
            <w:sz w:val="24"/>
            <w:szCs w:val="24"/>
            <w:u w:val="single"/>
          </w:rPr>
          <w:t>https://doi.org/10.1016/B978-0-12-811116-1.00011-8</w:t>
        </w:r>
      </w:hyperlink>
    </w:p>
    <w:p w14:paraId="3C96E750" w14:textId="77777777" w:rsidR="001A19F8" w:rsidRDefault="0051727C">
      <w:pPr>
        <w:spacing w:after="240" w:line="480" w:lineRule="auto"/>
        <w:ind w:left="708" w:hanging="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Coca-Cola Company (2022) </w:t>
      </w:r>
      <w:r>
        <w:rPr>
          <w:rFonts w:ascii="Times New Roman" w:eastAsia="Times New Roman" w:hAnsi="Times New Roman" w:cs="Times New Roman"/>
          <w:i/>
          <w:sz w:val="24"/>
          <w:szCs w:val="24"/>
        </w:rPr>
        <w:t>Dividends</w:t>
      </w:r>
      <w:r>
        <w:rPr>
          <w:rFonts w:ascii="Times New Roman" w:eastAsia="Times New Roman" w:hAnsi="Times New Roman" w:cs="Times New Roman"/>
          <w:sz w:val="24"/>
          <w:szCs w:val="24"/>
        </w:rPr>
        <w:t xml:space="preserve">. [online] The Coca-Cola Company. Available at: </w:t>
      </w:r>
      <w:hyperlink r:id="rId20">
        <w:r>
          <w:rPr>
            <w:rFonts w:ascii="Times New Roman" w:eastAsia="Times New Roman" w:hAnsi="Times New Roman" w:cs="Times New Roman"/>
            <w:sz w:val="24"/>
            <w:szCs w:val="24"/>
            <w:u w:val="single"/>
          </w:rPr>
          <w:t>https://investors.coca-colacompany.com/stock-information/dividends</w:t>
        </w:r>
      </w:hyperlink>
    </w:p>
    <w:p w14:paraId="3C96E751" w14:textId="77777777" w:rsidR="001A19F8" w:rsidRDefault="0051727C">
      <w:pPr>
        <w:spacing w:after="240" w:line="480" w:lineRule="auto"/>
        <w:ind w:left="708" w:hanging="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Thune, K. (2012) </w:t>
      </w:r>
      <w:r>
        <w:rPr>
          <w:rFonts w:ascii="Times New Roman" w:eastAsia="Times New Roman" w:hAnsi="Times New Roman" w:cs="Times New Roman"/>
          <w:i/>
          <w:sz w:val="24"/>
          <w:szCs w:val="24"/>
        </w:rPr>
        <w:t>Efficient markets hypothesis (EMH)</w:t>
      </w:r>
      <w:r>
        <w:rPr>
          <w:rFonts w:ascii="Times New Roman" w:eastAsia="Times New Roman" w:hAnsi="Times New Roman" w:cs="Times New Roman"/>
          <w:sz w:val="24"/>
          <w:szCs w:val="24"/>
        </w:rPr>
        <w:t xml:space="preserve">. [online] The Balance. Available at: </w:t>
      </w:r>
      <w:hyperlink r:id="rId21">
        <w:r>
          <w:rPr>
            <w:rFonts w:ascii="Times New Roman" w:eastAsia="Times New Roman" w:hAnsi="Times New Roman" w:cs="Times New Roman"/>
            <w:sz w:val="24"/>
            <w:szCs w:val="24"/>
            <w:u w:val="single"/>
          </w:rPr>
          <w:t>https://www.thebalance.com/efficient-markets-hypothesis-emh-2466619</w:t>
        </w:r>
      </w:hyperlink>
    </w:p>
    <w:p w14:paraId="3C96E752" w14:textId="77777777" w:rsidR="001A19F8" w:rsidRDefault="001A19F8">
      <w:pPr>
        <w:spacing w:after="240" w:line="480" w:lineRule="auto"/>
        <w:ind w:left="708" w:hanging="708"/>
        <w:rPr>
          <w:rFonts w:ascii="Roboto" w:eastAsia="Roboto" w:hAnsi="Roboto" w:cs="Roboto"/>
          <w:color w:val="747F8B"/>
          <w:sz w:val="21"/>
          <w:szCs w:val="21"/>
          <w:shd w:val="clear" w:color="auto" w:fill="E3E8EE"/>
        </w:rPr>
      </w:pPr>
    </w:p>
    <w:p w14:paraId="3C96E753" w14:textId="77777777" w:rsidR="001A19F8" w:rsidRDefault="001A19F8">
      <w:pPr>
        <w:spacing w:line="480" w:lineRule="auto"/>
        <w:rPr>
          <w:rFonts w:ascii="Times New Roman" w:eastAsia="Times New Roman" w:hAnsi="Times New Roman" w:cs="Times New Roman"/>
          <w:sz w:val="24"/>
          <w:szCs w:val="24"/>
        </w:rPr>
      </w:pPr>
    </w:p>
    <w:sectPr w:rsidR="001A19F8">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A3C11" w14:textId="77777777" w:rsidR="004375A7" w:rsidRDefault="004375A7">
      <w:pPr>
        <w:spacing w:line="240" w:lineRule="auto"/>
      </w:pPr>
      <w:r>
        <w:separator/>
      </w:r>
    </w:p>
  </w:endnote>
  <w:endnote w:type="continuationSeparator" w:id="0">
    <w:p w14:paraId="1109836D" w14:textId="77777777" w:rsidR="004375A7" w:rsidRDefault="004375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9538974"/>
      <w:docPartObj>
        <w:docPartGallery w:val="Page Numbers (Bottom of Page)"/>
        <w:docPartUnique/>
      </w:docPartObj>
    </w:sdtPr>
    <w:sdtEndPr>
      <w:rPr>
        <w:noProof/>
      </w:rPr>
    </w:sdtEndPr>
    <w:sdtContent>
      <w:p w14:paraId="64174363" w14:textId="5483A9BE" w:rsidR="00900B48" w:rsidRDefault="00900B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96E75B" w14:textId="77777777" w:rsidR="00451A52" w:rsidRDefault="00451A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E4F9C" w14:textId="77777777" w:rsidR="004375A7" w:rsidRDefault="004375A7">
      <w:pPr>
        <w:spacing w:line="240" w:lineRule="auto"/>
      </w:pPr>
      <w:r>
        <w:separator/>
      </w:r>
    </w:p>
  </w:footnote>
  <w:footnote w:type="continuationSeparator" w:id="0">
    <w:p w14:paraId="002FB4BB" w14:textId="77777777" w:rsidR="004375A7" w:rsidRDefault="004375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6781C"/>
    <w:multiLevelType w:val="hybridMultilevel"/>
    <w:tmpl w:val="92C2AE3A"/>
    <w:lvl w:ilvl="0" w:tplc="1110F474">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 w15:restartNumberingAfterBreak="0">
    <w:nsid w:val="16DF2EE9"/>
    <w:multiLevelType w:val="hybridMultilevel"/>
    <w:tmpl w:val="B3042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4470981">
    <w:abstractNumId w:val="1"/>
  </w:num>
  <w:num w:numId="2" w16cid:durableId="811407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9F8"/>
    <w:rsid w:val="00004BEB"/>
    <w:rsid w:val="00022EF4"/>
    <w:rsid w:val="00087AEC"/>
    <w:rsid w:val="00127F61"/>
    <w:rsid w:val="00186BC7"/>
    <w:rsid w:val="001A19F8"/>
    <w:rsid w:val="001A3B66"/>
    <w:rsid w:val="001C53D8"/>
    <w:rsid w:val="001D6498"/>
    <w:rsid w:val="00217113"/>
    <w:rsid w:val="002661A7"/>
    <w:rsid w:val="00270C94"/>
    <w:rsid w:val="00296931"/>
    <w:rsid w:val="002A4261"/>
    <w:rsid w:val="002D7D10"/>
    <w:rsid w:val="0040268C"/>
    <w:rsid w:val="004375A7"/>
    <w:rsid w:val="00451A52"/>
    <w:rsid w:val="00472849"/>
    <w:rsid w:val="00496B69"/>
    <w:rsid w:val="004D60C8"/>
    <w:rsid w:val="0051727C"/>
    <w:rsid w:val="0054622D"/>
    <w:rsid w:val="00567878"/>
    <w:rsid w:val="005B1486"/>
    <w:rsid w:val="00721DE9"/>
    <w:rsid w:val="00743DF6"/>
    <w:rsid w:val="007E4614"/>
    <w:rsid w:val="008107C5"/>
    <w:rsid w:val="008635E8"/>
    <w:rsid w:val="00863D2A"/>
    <w:rsid w:val="0089372F"/>
    <w:rsid w:val="008C6214"/>
    <w:rsid w:val="008F52BD"/>
    <w:rsid w:val="00900B48"/>
    <w:rsid w:val="009464E4"/>
    <w:rsid w:val="0096319E"/>
    <w:rsid w:val="009826B4"/>
    <w:rsid w:val="00A13145"/>
    <w:rsid w:val="00A22B98"/>
    <w:rsid w:val="00A65380"/>
    <w:rsid w:val="00A84F0D"/>
    <w:rsid w:val="00B00FC8"/>
    <w:rsid w:val="00B35451"/>
    <w:rsid w:val="00BE14DF"/>
    <w:rsid w:val="00C02BB7"/>
    <w:rsid w:val="00C4487B"/>
    <w:rsid w:val="00C52682"/>
    <w:rsid w:val="00D23868"/>
    <w:rsid w:val="00D45528"/>
    <w:rsid w:val="00D52569"/>
    <w:rsid w:val="00D8776E"/>
    <w:rsid w:val="00DD7210"/>
    <w:rsid w:val="00F008DA"/>
    <w:rsid w:val="00F67129"/>
    <w:rsid w:val="00FA2230"/>
    <w:rsid w:val="00FB4041"/>
    <w:rsid w:val="00FD228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96E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ru-R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451A52"/>
    <w:pPr>
      <w:tabs>
        <w:tab w:val="center" w:pos="4677"/>
        <w:tab w:val="right" w:pos="9355"/>
      </w:tabs>
      <w:spacing w:line="240" w:lineRule="auto"/>
    </w:pPr>
  </w:style>
  <w:style w:type="character" w:customStyle="1" w:styleId="HeaderChar">
    <w:name w:val="Header Char"/>
    <w:basedOn w:val="DefaultParagraphFont"/>
    <w:link w:val="Header"/>
    <w:uiPriority w:val="99"/>
    <w:rsid w:val="00451A52"/>
  </w:style>
  <w:style w:type="paragraph" w:styleId="Footer">
    <w:name w:val="footer"/>
    <w:basedOn w:val="Normal"/>
    <w:link w:val="FooterChar"/>
    <w:uiPriority w:val="99"/>
    <w:unhideWhenUsed/>
    <w:rsid w:val="00451A52"/>
    <w:pPr>
      <w:tabs>
        <w:tab w:val="center" w:pos="4677"/>
        <w:tab w:val="right" w:pos="9355"/>
      </w:tabs>
      <w:spacing w:line="240" w:lineRule="auto"/>
    </w:pPr>
  </w:style>
  <w:style w:type="character" w:customStyle="1" w:styleId="FooterChar">
    <w:name w:val="Footer Char"/>
    <w:basedOn w:val="DefaultParagraphFont"/>
    <w:link w:val="Footer"/>
    <w:uiPriority w:val="99"/>
    <w:rsid w:val="00451A52"/>
  </w:style>
  <w:style w:type="paragraph" w:styleId="ListParagraph">
    <w:name w:val="List Paragraph"/>
    <w:basedOn w:val="Normal"/>
    <w:uiPriority w:val="34"/>
    <w:qFormat/>
    <w:rsid w:val="00B00F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nbc.com/quotes/KO" TargetMode="External"/><Relationship Id="rId13" Type="http://schemas.openxmlformats.org/officeDocument/2006/relationships/hyperlink" Target="https://www.coca-colahellenic.com/en/investor-relations/our-proposition/why-invest-in-cch" TargetMode="External"/><Relationship Id="rId18" Type="http://schemas.openxmlformats.org/officeDocument/2006/relationships/hyperlink" Target="https://propertymetrics.com/blog/what-is-irr/" TargetMode="External"/><Relationship Id="rId3" Type="http://schemas.openxmlformats.org/officeDocument/2006/relationships/settings" Target="settings.xml"/><Relationship Id="rId21" Type="http://schemas.openxmlformats.org/officeDocument/2006/relationships/hyperlink" Target="https://www.thebalance.com/efficient-markets-hypothesis-emh-2466619" TargetMode="External"/><Relationship Id="rId7" Type="http://schemas.openxmlformats.org/officeDocument/2006/relationships/hyperlink" Target="https://www.investopedia.com/articles/financial-analysis/090216/understanding-cocacolas-capital-structure-ko.asp" TargetMode="External"/><Relationship Id="rId12" Type="http://schemas.openxmlformats.org/officeDocument/2006/relationships/hyperlink" Target="https://www.coca-colahellenic.com/en/investor-relations/results-reports-presentations" TargetMode="External"/><Relationship Id="rId17" Type="http://schemas.openxmlformats.org/officeDocument/2006/relationships/hyperlink" Target="https://www.investopedia.com/news/warren-buffett-coca-cola-ko/" TargetMode="External"/><Relationship Id="rId2" Type="http://schemas.openxmlformats.org/officeDocument/2006/relationships/styles" Target="styles.xml"/><Relationship Id="rId16" Type="http://schemas.openxmlformats.org/officeDocument/2006/relationships/hyperlink" Target="https://www.macrotrends.net/stocks/charts/KO/cocacola/dividend-yield-history" TargetMode="External"/><Relationship Id="rId20" Type="http://schemas.openxmlformats.org/officeDocument/2006/relationships/hyperlink" Target="https://investors.coca-colacompany.com/stock-information/dividen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ca-colafemsa.com/KOF2020/pdf/KOF_Financial_Statements_2020_Final.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ogle.com/finance/quote/KO:NYSE?sa=X&amp;ved=2ahUKEwif-svZ3c32AhWKgf0HHaTpAwUQ3ecFegQIExAi&amp;window=5Y" TargetMode="External"/><Relationship Id="rId23" Type="http://schemas.openxmlformats.org/officeDocument/2006/relationships/fontTable" Target="fontTable.xml"/><Relationship Id="rId10" Type="http://schemas.openxmlformats.org/officeDocument/2006/relationships/hyperlink" Target="https://ir.cocacolaep.com/shareholder-information-and-tools/listing-and-share-information" TargetMode="External"/><Relationship Id="rId19" Type="http://schemas.openxmlformats.org/officeDocument/2006/relationships/hyperlink" Target="https://doi.org/10.1016/B978-0-12-811116-1.00011-8" TargetMode="External"/><Relationship Id="rId4" Type="http://schemas.openxmlformats.org/officeDocument/2006/relationships/webSettings" Target="webSettings.xml"/><Relationship Id="rId9" Type="http://schemas.openxmlformats.org/officeDocument/2006/relationships/hyperlink" Target="https://investor.cokeconsolidated.com/" TargetMode="External"/><Relationship Id="rId14" Type="http://schemas.openxmlformats.org/officeDocument/2006/relationships/hyperlink" Target="https://www.cci.com.tr/en/investor-relation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2342</Words>
  <Characters>13350</Characters>
  <Application>Microsoft Office Word</Application>
  <DocSecurity>0</DocSecurity>
  <Lines>111</Lines>
  <Paragraphs>31</Paragraphs>
  <ScaleCrop>false</ScaleCrop>
  <Company/>
  <LinksUpToDate>false</LinksUpToDate>
  <CharactersWithSpaces>15661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2022-03-22T18:24:00Z</dcterms:created>
  <dcterms:modified xsi:type="dcterms:W3CDTF">2022-04-13T04:47:00Z</dcterms:modified>
</cp:coreProperties>
</file>