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94613" w:rsidRPr="009D5900" w:rsidRDefault="00C3634C" w:rsidP="009D5900">
      <w:pPr>
        <w:jc w:val="center"/>
        <w:rPr>
          <w:b/>
          <w:sz w:val="40"/>
          <w:u w:val="single"/>
        </w:rPr>
      </w:pPr>
      <w:r w:rsidRPr="009D5900">
        <w:rPr>
          <w:b/>
          <w:sz w:val="40"/>
          <w:u w:val="single"/>
        </w:rPr>
        <w:t xml:space="preserve">Critically discuss how Philostratus’ representation of India in the </w:t>
      </w:r>
      <w:r w:rsidRPr="009D5900">
        <w:rPr>
          <w:b/>
          <w:i/>
          <w:sz w:val="40"/>
          <w:u w:val="single"/>
        </w:rPr>
        <w:t>Life of Apollonius of Tyana</w:t>
      </w:r>
      <w:r w:rsidR="003404BB">
        <w:rPr>
          <w:b/>
          <w:sz w:val="40"/>
          <w:u w:val="single"/>
        </w:rPr>
        <w:t xml:space="preserve"> suits the purposes of his work</w:t>
      </w:r>
    </w:p>
    <w:p w:rsidR="00C3634C" w:rsidRDefault="00C3634C"/>
    <w:p w:rsidR="002E05BE" w:rsidRPr="00945199" w:rsidRDefault="002E05BE">
      <w:pPr>
        <w:rPr>
          <w:sz w:val="24"/>
          <w:szCs w:val="24"/>
        </w:rPr>
      </w:pPr>
      <w:r w:rsidRPr="00945199">
        <w:rPr>
          <w:sz w:val="24"/>
          <w:szCs w:val="24"/>
        </w:rPr>
        <w:t>Through extensive research, I have been able to determine that the opinions of modern scholars are extremely varied as to the purpose of</w:t>
      </w:r>
      <w:r w:rsidR="00877FA5" w:rsidRPr="00945199">
        <w:rPr>
          <w:sz w:val="24"/>
          <w:szCs w:val="24"/>
        </w:rPr>
        <w:t xml:space="preserve"> </w:t>
      </w:r>
      <w:r w:rsidR="00877FA5" w:rsidRPr="00945199">
        <w:rPr>
          <w:i/>
          <w:sz w:val="24"/>
          <w:szCs w:val="24"/>
        </w:rPr>
        <w:t>The</w:t>
      </w:r>
      <w:r w:rsidR="00877FA5" w:rsidRPr="00945199">
        <w:rPr>
          <w:sz w:val="24"/>
          <w:szCs w:val="24"/>
        </w:rPr>
        <w:t xml:space="preserve"> </w:t>
      </w:r>
      <w:r w:rsidR="00877FA5" w:rsidRPr="00945199">
        <w:rPr>
          <w:i/>
          <w:sz w:val="24"/>
          <w:szCs w:val="24"/>
        </w:rPr>
        <w:t>Life of Apollonius of Tyana</w:t>
      </w:r>
      <w:r w:rsidR="00877FA5" w:rsidRPr="00945199">
        <w:rPr>
          <w:sz w:val="24"/>
          <w:szCs w:val="24"/>
        </w:rPr>
        <w:t xml:space="preserve"> (hereafter referred to as </w:t>
      </w:r>
      <w:r w:rsidR="00877FA5" w:rsidRPr="00945199">
        <w:rPr>
          <w:i/>
          <w:sz w:val="24"/>
          <w:szCs w:val="24"/>
        </w:rPr>
        <w:t>VA</w:t>
      </w:r>
      <w:r w:rsidR="00877FA5" w:rsidRPr="00945199">
        <w:rPr>
          <w:sz w:val="24"/>
          <w:szCs w:val="24"/>
        </w:rPr>
        <w:t>)</w:t>
      </w:r>
      <w:r w:rsidRPr="00945199">
        <w:rPr>
          <w:i/>
          <w:sz w:val="24"/>
          <w:szCs w:val="24"/>
        </w:rPr>
        <w:t xml:space="preserve">. </w:t>
      </w:r>
      <w:r w:rsidRPr="00945199">
        <w:rPr>
          <w:sz w:val="24"/>
          <w:szCs w:val="24"/>
        </w:rPr>
        <w:t>I feel that Kemezis best embodies these divisions:</w:t>
      </w:r>
    </w:p>
    <w:p w:rsidR="002E05BE" w:rsidRPr="00945199" w:rsidRDefault="002E05BE" w:rsidP="00141F5A">
      <w:pPr>
        <w:ind w:left="567" w:right="709"/>
        <w:rPr>
          <w:i/>
          <w:sz w:val="24"/>
          <w:szCs w:val="24"/>
        </w:rPr>
      </w:pPr>
      <w:r w:rsidRPr="00945199">
        <w:rPr>
          <w:i/>
          <w:sz w:val="24"/>
          <w:szCs w:val="24"/>
        </w:rPr>
        <w:t xml:space="preserve">“Is the </w:t>
      </w:r>
      <w:r w:rsidRPr="00945199">
        <w:rPr>
          <w:sz w:val="24"/>
          <w:szCs w:val="24"/>
        </w:rPr>
        <w:t>Apollonius</w:t>
      </w:r>
      <w:r w:rsidRPr="00945199">
        <w:rPr>
          <w:i/>
          <w:sz w:val="24"/>
          <w:szCs w:val="24"/>
        </w:rPr>
        <w:t xml:space="preserve"> a work of propaganda on behalf of a cult favoured by the imperial family? An evocation of a ‘holy man’ figure? An apologetic work designed to present traditional Hellenic culture in the form that could best correspond to, and thus refute the Christian Gospels? An ironic comment on the relationship of philosophical discourse to practice? A complex Pythagorean philosophical allegory? A combination of epideictic rhetoric and novelistic romance intended mainly for entertainment?”</w:t>
      </w:r>
      <w:r w:rsidRPr="00945199">
        <w:rPr>
          <w:rStyle w:val="FootnoteReference"/>
          <w:i/>
          <w:sz w:val="24"/>
          <w:szCs w:val="24"/>
        </w:rPr>
        <w:footnoteReference w:id="1"/>
      </w:r>
    </w:p>
    <w:p w:rsidR="00C3634C" w:rsidRDefault="002E05BE">
      <w:pPr>
        <w:rPr>
          <w:sz w:val="24"/>
          <w:szCs w:val="24"/>
        </w:rPr>
      </w:pPr>
      <w:r w:rsidRPr="00945199">
        <w:rPr>
          <w:sz w:val="24"/>
          <w:szCs w:val="24"/>
        </w:rPr>
        <w:t xml:space="preserve">Despite this, I feel that I have been able to isolate the </w:t>
      </w:r>
      <w:r w:rsidR="00C3634C" w:rsidRPr="00945199">
        <w:rPr>
          <w:sz w:val="24"/>
          <w:szCs w:val="24"/>
        </w:rPr>
        <w:t>two</w:t>
      </w:r>
      <w:r w:rsidRPr="00945199">
        <w:rPr>
          <w:sz w:val="24"/>
          <w:szCs w:val="24"/>
        </w:rPr>
        <w:t xml:space="preserve"> most</w:t>
      </w:r>
      <w:r w:rsidR="00C3634C" w:rsidRPr="00945199">
        <w:rPr>
          <w:sz w:val="24"/>
          <w:szCs w:val="24"/>
        </w:rPr>
        <w:t xml:space="preserve"> p</w:t>
      </w:r>
      <w:r w:rsidRPr="00945199">
        <w:rPr>
          <w:sz w:val="24"/>
          <w:szCs w:val="24"/>
        </w:rPr>
        <w:t>robabl</w:t>
      </w:r>
      <w:r w:rsidR="00877FA5" w:rsidRPr="00945199">
        <w:rPr>
          <w:sz w:val="24"/>
          <w:szCs w:val="24"/>
        </w:rPr>
        <w:t xml:space="preserve">e purposes for </w:t>
      </w:r>
      <w:r w:rsidR="00877FA5" w:rsidRPr="00945199">
        <w:rPr>
          <w:i/>
          <w:sz w:val="24"/>
          <w:szCs w:val="24"/>
        </w:rPr>
        <w:t>VA</w:t>
      </w:r>
      <w:r w:rsidR="00C3634C" w:rsidRPr="00945199">
        <w:rPr>
          <w:sz w:val="24"/>
          <w:szCs w:val="24"/>
        </w:rPr>
        <w:t xml:space="preserve">, which was written by the philosopher Philostratus. </w:t>
      </w:r>
      <w:r w:rsidR="00C3634C" w:rsidRPr="00B56EED">
        <w:rPr>
          <w:sz w:val="24"/>
          <w:szCs w:val="24"/>
        </w:rPr>
        <w:t>The first being to bring to the attention of the general public the story of the sage Apollonius, as requested by Philostratus’ patroness Julia Domna</w:t>
      </w:r>
      <w:r w:rsidR="00C3634C" w:rsidRPr="00B56EED">
        <w:rPr>
          <w:rStyle w:val="FootnoteReference"/>
          <w:sz w:val="24"/>
          <w:szCs w:val="24"/>
        </w:rPr>
        <w:footnoteReference w:id="2"/>
      </w:r>
      <w:r w:rsidR="00C3634C" w:rsidRPr="00B56EED">
        <w:rPr>
          <w:sz w:val="24"/>
          <w:szCs w:val="24"/>
        </w:rPr>
        <w:t>,</w:t>
      </w:r>
      <w:r w:rsidR="00C3634C" w:rsidRPr="00501130">
        <w:rPr>
          <w:sz w:val="24"/>
          <w:szCs w:val="24"/>
        </w:rPr>
        <w:t xml:space="preserve"> </w:t>
      </w:r>
      <w:r w:rsidR="00C3634C" w:rsidRPr="00945199">
        <w:rPr>
          <w:sz w:val="24"/>
          <w:szCs w:val="24"/>
        </w:rPr>
        <w:t>who was the wife of the Roman Emperor Septimius Severus, and a prominent member of the same literary circle as Philostratus himself</w:t>
      </w:r>
      <w:r w:rsidR="00C3634C" w:rsidRPr="00945199">
        <w:rPr>
          <w:rStyle w:val="FootnoteReference"/>
          <w:sz w:val="24"/>
          <w:szCs w:val="24"/>
        </w:rPr>
        <w:footnoteReference w:id="3"/>
      </w:r>
      <w:r w:rsidR="00C3634C" w:rsidRPr="00945199">
        <w:rPr>
          <w:sz w:val="24"/>
          <w:szCs w:val="24"/>
        </w:rPr>
        <w:t>.</w:t>
      </w:r>
      <w:r w:rsidR="00072565" w:rsidRPr="00945199">
        <w:rPr>
          <w:sz w:val="24"/>
          <w:szCs w:val="24"/>
        </w:rPr>
        <w:t xml:space="preserve"> Philostratus may well have taken advantage of his connection to the Imperial Family</w:t>
      </w:r>
      <w:r w:rsidR="00A144C1" w:rsidRPr="00945199">
        <w:rPr>
          <w:rStyle w:val="FootnoteReference"/>
          <w:sz w:val="24"/>
          <w:szCs w:val="24"/>
        </w:rPr>
        <w:footnoteReference w:id="4"/>
      </w:r>
      <w:r w:rsidR="00072565" w:rsidRPr="00945199">
        <w:rPr>
          <w:sz w:val="24"/>
          <w:szCs w:val="24"/>
        </w:rPr>
        <w:t xml:space="preserve"> to add to his own fame, and whether by intention or not, the fame of </w:t>
      </w:r>
      <w:r w:rsidR="00072565" w:rsidRPr="00945199">
        <w:rPr>
          <w:i/>
          <w:sz w:val="24"/>
          <w:szCs w:val="24"/>
        </w:rPr>
        <w:t>VA.</w:t>
      </w:r>
      <w:r w:rsidR="00A144C1" w:rsidRPr="00945199">
        <w:rPr>
          <w:rStyle w:val="FootnoteReference"/>
          <w:sz w:val="24"/>
          <w:szCs w:val="24"/>
        </w:rPr>
        <w:footnoteReference w:id="5"/>
      </w:r>
      <w:r w:rsidR="00A144C1" w:rsidRPr="00945199">
        <w:rPr>
          <w:sz w:val="24"/>
          <w:szCs w:val="24"/>
        </w:rPr>
        <w:t xml:space="preserve"> </w:t>
      </w:r>
      <w:r w:rsidR="00237ED7" w:rsidRPr="00817C6C">
        <w:rPr>
          <w:sz w:val="24"/>
          <w:szCs w:val="24"/>
        </w:rPr>
        <w:t xml:space="preserve">The second </w:t>
      </w:r>
      <w:r w:rsidR="002B01E6" w:rsidRPr="00817C6C">
        <w:rPr>
          <w:sz w:val="24"/>
          <w:szCs w:val="24"/>
        </w:rPr>
        <w:t xml:space="preserve">possible </w:t>
      </w:r>
      <w:r w:rsidR="00237ED7" w:rsidRPr="00817C6C">
        <w:rPr>
          <w:sz w:val="24"/>
          <w:szCs w:val="24"/>
        </w:rPr>
        <w:t>purpose for this work is to bring to the fore</w:t>
      </w:r>
      <w:r w:rsidR="001639A5">
        <w:rPr>
          <w:sz w:val="24"/>
          <w:szCs w:val="24"/>
        </w:rPr>
        <w:t xml:space="preserve"> the</w:t>
      </w:r>
      <w:r w:rsidR="00237ED7" w:rsidRPr="00817C6C">
        <w:rPr>
          <w:sz w:val="24"/>
          <w:szCs w:val="24"/>
        </w:rPr>
        <w:t xml:space="preserve"> views held by Philostratus, and to further his own ideas</w:t>
      </w:r>
      <w:r w:rsidR="001639A5">
        <w:rPr>
          <w:sz w:val="24"/>
          <w:szCs w:val="24"/>
        </w:rPr>
        <w:t xml:space="preserve"> of the superiority of India to the Hellenic culture</w:t>
      </w:r>
      <w:r w:rsidR="00237ED7" w:rsidRPr="00817C6C">
        <w:rPr>
          <w:sz w:val="24"/>
          <w:szCs w:val="24"/>
        </w:rPr>
        <w:t xml:space="preserve"> through the fictional creation of</w:t>
      </w:r>
      <w:r w:rsidR="005F3484" w:rsidRPr="00817C6C">
        <w:rPr>
          <w:sz w:val="24"/>
          <w:szCs w:val="24"/>
        </w:rPr>
        <w:t xml:space="preserve"> Damis, and by extension</w:t>
      </w:r>
      <w:r w:rsidR="00237ED7" w:rsidRPr="00817C6C">
        <w:rPr>
          <w:sz w:val="24"/>
          <w:szCs w:val="24"/>
        </w:rPr>
        <w:t xml:space="preserve"> the sage Apollonius.</w:t>
      </w:r>
      <w:r w:rsidR="005F3484" w:rsidRPr="00817C6C">
        <w:rPr>
          <w:rStyle w:val="FootnoteReference"/>
          <w:sz w:val="24"/>
          <w:szCs w:val="24"/>
        </w:rPr>
        <w:footnoteReference w:id="6"/>
      </w:r>
      <w:r w:rsidRPr="00817C6C">
        <w:rPr>
          <w:sz w:val="24"/>
          <w:szCs w:val="24"/>
        </w:rPr>
        <w:t xml:space="preserve"> </w:t>
      </w:r>
      <w:r w:rsidR="00072565" w:rsidRPr="00817C6C">
        <w:rPr>
          <w:sz w:val="24"/>
          <w:szCs w:val="24"/>
        </w:rPr>
        <w:t xml:space="preserve">I will be presenting evidence from books II and III of </w:t>
      </w:r>
      <w:r w:rsidR="00072565" w:rsidRPr="00817C6C">
        <w:rPr>
          <w:i/>
          <w:sz w:val="24"/>
          <w:szCs w:val="24"/>
        </w:rPr>
        <w:t>VA</w:t>
      </w:r>
      <w:r w:rsidR="00072565" w:rsidRPr="00817C6C">
        <w:rPr>
          <w:sz w:val="24"/>
          <w:szCs w:val="24"/>
        </w:rPr>
        <w:t xml:space="preserve"> in order to discuss how the representation of India suits the purposes put forward in these two theories, along wi</w:t>
      </w:r>
      <w:r w:rsidR="001639A5">
        <w:rPr>
          <w:sz w:val="24"/>
          <w:szCs w:val="24"/>
        </w:rPr>
        <w:t>th a brief discussion of two</w:t>
      </w:r>
      <w:r w:rsidR="00072565" w:rsidRPr="00817C6C">
        <w:rPr>
          <w:sz w:val="24"/>
          <w:szCs w:val="24"/>
        </w:rPr>
        <w:t xml:space="preserve"> other relevant aspects of </w:t>
      </w:r>
      <w:r w:rsidR="00072565" w:rsidRPr="00817C6C">
        <w:rPr>
          <w:i/>
          <w:sz w:val="24"/>
          <w:szCs w:val="24"/>
        </w:rPr>
        <w:t>VA</w:t>
      </w:r>
      <w:r w:rsidR="001639A5">
        <w:rPr>
          <w:sz w:val="24"/>
          <w:szCs w:val="24"/>
        </w:rPr>
        <w:t>:</w:t>
      </w:r>
      <w:r w:rsidR="00072565" w:rsidRPr="00817C6C">
        <w:rPr>
          <w:sz w:val="24"/>
          <w:szCs w:val="24"/>
        </w:rPr>
        <w:t xml:space="preserve"> the existence of Damis</w:t>
      </w:r>
      <w:r w:rsidR="001639A5">
        <w:rPr>
          <w:sz w:val="24"/>
          <w:szCs w:val="24"/>
        </w:rPr>
        <w:t>, and</w:t>
      </w:r>
      <w:r w:rsidR="00072565" w:rsidRPr="00817C6C">
        <w:rPr>
          <w:sz w:val="24"/>
          <w:szCs w:val="24"/>
        </w:rPr>
        <w:t xml:space="preserve"> the </w:t>
      </w:r>
      <w:r w:rsidR="00A144C1" w:rsidRPr="00817C6C">
        <w:rPr>
          <w:sz w:val="24"/>
          <w:szCs w:val="24"/>
        </w:rPr>
        <w:t>lite</w:t>
      </w:r>
      <w:r w:rsidR="007F276B" w:rsidRPr="00817C6C">
        <w:rPr>
          <w:sz w:val="24"/>
          <w:szCs w:val="24"/>
        </w:rPr>
        <w:t>rary devices used by Philostratus to achieve his</w:t>
      </w:r>
      <w:r w:rsidR="00A144C1" w:rsidRPr="00817C6C">
        <w:rPr>
          <w:sz w:val="24"/>
          <w:szCs w:val="24"/>
        </w:rPr>
        <w:t xml:space="preserve"> aims.</w:t>
      </w:r>
    </w:p>
    <w:p w:rsidR="00F77A64" w:rsidRPr="00945199" w:rsidRDefault="00F77A64">
      <w:pPr>
        <w:rPr>
          <w:sz w:val="24"/>
          <w:szCs w:val="24"/>
        </w:rPr>
      </w:pPr>
    </w:p>
    <w:p w:rsidR="00CD37CF" w:rsidRPr="00F77A64" w:rsidRDefault="00F77A64" w:rsidP="00F77A64">
      <w:pPr>
        <w:rPr>
          <w:b/>
          <w:color w:val="7F7F7F" w:themeColor="text1" w:themeTint="80"/>
          <w:sz w:val="28"/>
          <w:u w:val="single"/>
        </w:rPr>
      </w:pPr>
      <w:r w:rsidRPr="00F77A64">
        <w:rPr>
          <w:b/>
          <w:color w:val="7F7F7F" w:themeColor="text1" w:themeTint="80"/>
          <w:sz w:val="28"/>
          <w:u w:val="single"/>
        </w:rPr>
        <w:t>First Theory</w:t>
      </w:r>
    </w:p>
    <w:p w:rsidR="00B11059" w:rsidRDefault="00572B67" w:rsidP="00B11059">
      <w:pPr>
        <w:rPr>
          <w:sz w:val="24"/>
        </w:rPr>
      </w:pPr>
      <w:r>
        <w:rPr>
          <w:sz w:val="24"/>
        </w:rPr>
        <w:t>Whitmarsh states that “t</w:t>
      </w:r>
      <w:r w:rsidR="00B11059" w:rsidRPr="00572B67">
        <w:rPr>
          <w:sz w:val="24"/>
        </w:rPr>
        <w:t>he narrator presents himself as distilling the most “memorable</w:t>
      </w:r>
      <w:r w:rsidR="003404BB">
        <w:rPr>
          <w:sz w:val="24"/>
        </w:rPr>
        <w:t>’</w:t>
      </w:r>
      <w:r w:rsidR="00B11059" w:rsidRPr="00572B67">
        <w:rPr>
          <w:sz w:val="24"/>
        </w:rPr>
        <w:t>, “worthy of telling” or “important” sayings or episodes from a larger stock</w:t>
      </w:r>
      <w:r>
        <w:rPr>
          <w:sz w:val="24"/>
        </w:rPr>
        <w:t>”</w:t>
      </w:r>
      <w:r w:rsidR="00B11059" w:rsidRPr="00572B67">
        <w:rPr>
          <w:rStyle w:val="FootnoteReference"/>
          <w:sz w:val="24"/>
        </w:rPr>
        <w:footnoteReference w:id="7"/>
      </w:r>
      <w:r w:rsidR="00B11059" w:rsidRPr="00572B67">
        <w:rPr>
          <w:sz w:val="24"/>
        </w:rPr>
        <w:t>.</w:t>
      </w:r>
      <w:r w:rsidR="00B11059">
        <w:rPr>
          <w:sz w:val="24"/>
        </w:rPr>
        <w:t xml:space="preserve"> If this is indeed the case, what does it suggest about the stories that were included? Who was it that chose which stories made the final cut? </w:t>
      </w:r>
      <w:r w:rsidR="00263880">
        <w:rPr>
          <w:sz w:val="24"/>
        </w:rPr>
        <w:t>As Philostratus claims his work is a rewrite of Damis’ memoirs, this can raise some interesting issues in terms of narration</w:t>
      </w:r>
      <w:r w:rsidR="00263880">
        <w:rPr>
          <w:rStyle w:val="FootnoteReference"/>
          <w:sz w:val="24"/>
        </w:rPr>
        <w:footnoteReference w:id="8"/>
      </w:r>
      <w:r w:rsidR="00263880">
        <w:rPr>
          <w:sz w:val="24"/>
        </w:rPr>
        <w:t xml:space="preserve">. How can we analyse and determine which aspects of the text are faithfully accurate to </w:t>
      </w:r>
      <w:r w:rsidR="00263880">
        <w:rPr>
          <w:sz w:val="24"/>
        </w:rPr>
        <w:lastRenderedPageBreak/>
        <w:t>Damis’ memoirs, and how much are additions or embellishments made by Philostratus?</w:t>
      </w:r>
      <w:r w:rsidR="00263880">
        <w:rPr>
          <w:rStyle w:val="FootnoteReference"/>
          <w:sz w:val="24"/>
        </w:rPr>
        <w:footnoteReference w:id="9"/>
      </w:r>
      <w:r w:rsidR="00263880">
        <w:rPr>
          <w:sz w:val="24"/>
        </w:rPr>
        <w:t xml:space="preserve"> </w:t>
      </w:r>
      <w:r w:rsidR="00B11059">
        <w:rPr>
          <w:sz w:val="24"/>
        </w:rPr>
        <w:t>Platt tells us that:</w:t>
      </w:r>
    </w:p>
    <w:p w:rsidR="00B11059" w:rsidRPr="00B11059" w:rsidRDefault="00B11059" w:rsidP="00141F5A">
      <w:pPr>
        <w:ind w:left="567" w:right="709"/>
        <w:rPr>
          <w:i/>
          <w:sz w:val="24"/>
        </w:rPr>
      </w:pPr>
      <w:r>
        <w:rPr>
          <w:i/>
          <w:sz w:val="24"/>
        </w:rPr>
        <w:t xml:space="preserve">The </w:t>
      </w:r>
      <w:r>
        <w:rPr>
          <w:sz w:val="24"/>
        </w:rPr>
        <w:t>Life</w:t>
      </w:r>
      <w:r w:rsidRPr="00B11059">
        <w:rPr>
          <w:i/>
          <w:sz w:val="24"/>
        </w:rPr>
        <w:t xml:space="preserve"> appropriates and reformulates virtually every aspect of the intellectual culture of its time, all to further Philostratus’ promotion of Apollonius as the Hellene extraordinaire, demonstrating his all-encompassing wisdom, his ability to embrace and master the familiar and the foreign, the practical and the intellectual, the human and the divine</w:t>
      </w:r>
      <w:r w:rsidRPr="00B11059">
        <w:rPr>
          <w:rStyle w:val="FootnoteReference"/>
          <w:i/>
          <w:sz w:val="24"/>
        </w:rPr>
        <w:footnoteReference w:id="10"/>
      </w:r>
    </w:p>
    <w:p w:rsidR="002C5629" w:rsidRDefault="002C5629" w:rsidP="00B11059">
      <w:pPr>
        <w:rPr>
          <w:sz w:val="24"/>
        </w:rPr>
      </w:pPr>
      <w:r>
        <w:rPr>
          <w:sz w:val="24"/>
        </w:rPr>
        <w:t>If Philostratus has adapted facets of his own culture to accommodate his purpose, why then is it not plausible that he has done the same for the tablets he had inherited from his patroness?</w:t>
      </w:r>
      <w:r>
        <w:rPr>
          <w:rStyle w:val="FootnoteReference"/>
          <w:sz w:val="24"/>
        </w:rPr>
        <w:footnoteReference w:id="11"/>
      </w:r>
      <w:r>
        <w:rPr>
          <w:sz w:val="24"/>
        </w:rPr>
        <w:t xml:space="preserve"> Indeed, her instructions were that he “recast them in more appropriate literary style”</w:t>
      </w:r>
      <w:r>
        <w:rPr>
          <w:rStyle w:val="FootnoteReference"/>
          <w:sz w:val="24"/>
        </w:rPr>
        <w:footnoteReference w:id="12"/>
      </w:r>
      <w:r>
        <w:rPr>
          <w:sz w:val="24"/>
        </w:rPr>
        <w:t xml:space="preserve">, and even Philostratus himself admits that </w:t>
      </w:r>
      <w:r>
        <w:rPr>
          <w:i/>
          <w:sz w:val="24"/>
        </w:rPr>
        <w:t>VA</w:t>
      </w:r>
      <w:r>
        <w:rPr>
          <w:sz w:val="24"/>
        </w:rPr>
        <w:t xml:space="preserve"> is “a rewrite of the transmitted sources”</w:t>
      </w:r>
      <w:r>
        <w:rPr>
          <w:rStyle w:val="FootnoteReference"/>
          <w:sz w:val="24"/>
        </w:rPr>
        <w:footnoteReference w:id="13"/>
      </w:r>
      <w:r>
        <w:rPr>
          <w:sz w:val="24"/>
        </w:rPr>
        <w:t xml:space="preserve">. This surely indicates that there has been some degree of adaptation of the original source to suit Philostratus’ own purpose. Anderson even goes as far as to suggest that some of the </w:t>
      </w:r>
      <w:r w:rsidR="00984CFD">
        <w:rPr>
          <w:sz w:val="24"/>
        </w:rPr>
        <w:t xml:space="preserve">omissions or </w:t>
      </w:r>
      <w:r>
        <w:rPr>
          <w:sz w:val="24"/>
        </w:rPr>
        <w:t>embellishments made to the work may have been at the suggestion of Julia Domna herself.</w:t>
      </w:r>
      <w:r>
        <w:rPr>
          <w:rStyle w:val="FootnoteReference"/>
          <w:sz w:val="24"/>
        </w:rPr>
        <w:footnoteReference w:id="14"/>
      </w:r>
      <w:r w:rsidR="00FE7B53">
        <w:rPr>
          <w:sz w:val="24"/>
        </w:rPr>
        <w:t xml:space="preserve"> </w:t>
      </w:r>
      <w:r w:rsidR="00FD23B0">
        <w:rPr>
          <w:sz w:val="24"/>
        </w:rPr>
        <w:t>Anderson does admit that Philostratus had “no interest in the technicalities of Pythagorean harmonics, or mathematics”</w:t>
      </w:r>
      <w:r w:rsidR="00FD23B0">
        <w:rPr>
          <w:rStyle w:val="FootnoteReference"/>
          <w:sz w:val="24"/>
        </w:rPr>
        <w:footnoteReference w:id="15"/>
      </w:r>
      <w:r w:rsidR="00FD23B0">
        <w:rPr>
          <w:sz w:val="24"/>
        </w:rPr>
        <w:t>, and so there is potential for a few omissions to have been orchestrated by Philostratus, as they “had little or no potential for rhetorical development”.</w:t>
      </w:r>
      <w:r w:rsidR="00FD23B0">
        <w:rPr>
          <w:rStyle w:val="FootnoteReference"/>
          <w:sz w:val="24"/>
        </w:rPr>
        <w:footnoteReference w:id="16"/>
      </w:r>
      <w:r w:rsidR="006703F5" w:rsidRPr="006703F5">
        <w:rPr>
          <w:sz w:val="24"/>
        </w:rPr>
        <w:t xml:space="preserve"> </w:t>
      </w:r>
      <w:r w:rsidR="006703F5">
        <w:rPr>
          <w:sz w:val="24"/>
        </w:rPr>
        <w:t>However, Kemezis disagrees, and suggests that “Philostratus’ single aim is to magnify Apollonius, and that he is using the figure of Julia to further it”</w:t>
      </w:r>
      <w:r w:rsidR="006703F5">
        <w:rPr>
          <w:rStyle w:val="FootnoteReference"/>
          <w:sz w:val="24"/>
        </w:rPr>
        <w:footnoteReference w:id="17"/>
      </w:r>
      <w:r w:rsidR="006703F5">
        <w:rPr>
          <w:sz w:val="24"/>
        </w:rPr>
        <w:t>, meaning that any changes are due to Philostratus alone.</w:t>
      </w:r>
    </w:p>
    <w:p w:rsidR="00572B67" w:rsidRDefault="00572B67" w:rsidP="00B11059">
      <w:pPr>
        <w:rPr>
          <w:sz w:val="24"/>
        </w:rPr>
      </w:pPr>
      <w:r>
        <w:rPr>
          <w:sz w:val="24"/>
        </w:rPr>
        <w:t>If, however, we consider that the selection of which stories to include was made by Damis, then the responsibility is taken completely out of the hands of Philostratus, and he is simply repeating what information he has from the tablets given to him by his patroness</w:t>
      </w:r>
      <w:r>
        <w:rPr>
          <w:rStyle w:val="FootnoteReference"/>
          <w:sz w:val="24"/>
        </w:rPr>
        <w:footnoteReference w:id="18"/>
      </w:r>
      <w:r>
        <w:rPr>
          <w:sz w:val="24"/>
        </w:rPr>
        <w:t>. Francis believes that this is indeed the case, and proposes that “on those occasions where [Philostratus] is clearly in error, he merely lost control of his sources”</w:t>
      </w:r>
      <w:r>
        <w:rPr>
          <w:rStyle w:val="FootnoteReference"/>
          <w:sz w:val="24"/>
        </w:rPr>
        <w:footnoteReference w:id="19"/>
      </w:r>
      <w:r>
        <w:rPr>
          <w:sz w:val="24"/>
        </w:rPr>
        <w:t>, but that the intention was to write “real history”</w:t>
      </w:r>
      <w:r>
        <w:rPr>
          <w:rStyle w:val="FootnoteReference"/>
          <w:sz w:val="24"/>
        </w:rPr>
        <w:footnoteReference w:id="20"/>
      </w:r>
      <w:r>
        <w:rPr>
          <w:sz w:val="24"/>
        </w:rPr>
        <w:t xml:space="preserve">. </w:t>
      </w:r>
    </w:p>
    <w:p w:rsidR="00FD23B0" w:rsidRDefault="00FD23B0" w:rsidP="007A6A2C">
      <w:pPr>
        <w:rPr>
          <w:sz w:val="24"/>
        </w:rPr>
      </w:pPr>
      <w:r>
        <w:rPr>
          <w:sz w:val="24"/>
        </w:rPr>
        <w:t>Returning to the original theory, that the stories were chosen by Philostratus to highlight the greatness of his subject, there is plenty of evidence to support this.</w:t>
      </w:r>
      <w:r w:rsidR="000A5EFD">
        <w:rPr>
          <w:sz w:val="24"/>
        </w:rPr>
        <w:t xml:space="preserve"> Anderson tells us that “there are more miracle-stories in India”</w:t>
      </w:r>
      <w:r w:rsidR="000A5EFD">
        <w:rPr>
          <w:rStyle w:val="FootnoteReference"/>
          <w:sz w:val="24"/>
        </w:rPr>
        <w:footnoteReference w:id="21"/>
      </w:r>
      <w:r w:rsidR="000A5EFD">
        <w:rPr>
          <w:sz w:val="24"/>
        </w:rPr>
        <w:t>, and there are several instances of Apollonius’ skills and wisdom being emphasised and exhibited throughout books II and III.</w:t>
      </w:r>
      <w:r w:rsidR="008D71D5">
        <w:rPr>
          <w:sz w:val="24"/>
        </w:rPr>
        <w:t xml:space="preserve"> Apollonius repeatedly solved riddles</w:t>
      </w:r>
      <w:r w:rsidR="00D90319">
        <w:rPr>
          <w:sz w:val="24"/>
        </w:rPr>
        <w:t xml:space="preserve"> and problems</w:t>
      </w:r>
      <w:r w:rsidR="008D71D5">
        <w:rPr>
          <w:sz w:val="24"/>
        </w:rPr>
        <w:t xml:space="preserve"> put to him by his companions</w:t>
      </w:r>
      <w:r w:rsidR="00D90319">
        <w:rPr>
          <w:sz w:val="24"/>
        </w:rPr>
        <w:t xml:space="preserve">, such as when he aids King </w:t>
      </w:r>
      <w:r w:rsidR="00E40BF6">
        <w:rPr>
          <w:sz w:val="24"/>
        </w:rPr>
        <w:t xml:space="preserve">Phraotes </w:t>
      </w:r>
      <w:r w:rsidR="00D90319">
        <w:rPr>
          <w:sz w:val="24"/>
        </w:rPr>
        <w:t>of Taxila in settling a dispute over gold found on a parcel of land that had recently been sold.</w:t>
      </w:r>
      <w:r w:rsidR="00D90319">
        <w:rPr>
          <w:rStyle w:val="FootnoteReference"/>
          <w:sz w:val="24"/>
        </w:rPr>
        <w:footnoteReference w:id="22"/>
      </w:r>
      <w:r w:rsidR="00C87D02">
        <w:rPr>
          <w:sz w:val="24"/>
        </w:rPr>
        <w:t xml:space="preserve"> Whitmarsh is of the opinion that Apollonius’ wisdom is greatest </w:t>
      </w:r>
      <w:r w:rsidR="00C87D02">
        <w:rPr>
          <w:sz w:val="24"/>
        </w:rPr>
        <w:lastRenderedPageBreak/>
        <w:t>shown in his power of prophecy</w:t>
      </w:r>
      <w:r w:rsidR="00C87D02">
        <w:rPr>
          <w:rStyle w:val="FootnoteReference"/>
          <w:sz w:val="24"/>
        </w:rPr>
        <w:footnoteReference w:id="23"/>
      </w:r>
      <w:r w:rsidR="00C87D02">
        <w:rPr>
          <w:sz w:val="24"/>
        </w:rPr>
        <w:t>, saying that “[Prophecy]</w:t>
      </w:r>
      <w:r w:rsidR="00C87D02">
        <w:rPr>
          <w:sz w:val="24"/>
        </w:rPr>
        <w:t xml:space="preserve"> was a quality enhanced by his time with the Indian Brahmans… and he discussed it at length with them… It is the master discipline from which others flow</w:t>
      </w:r>
      <w:r w:rsidR="00C87D02">
        <w:rPr>
          <w:sz w:val="24"/>
        </w:rPr>
        <w:t>”</w:t>
      </w:r>
      <w:r w:rsidR="00C87D02">
        <w:rPr>
          <w:rStyle w:val="FootnoteReference"/>
          <w:sz w:val="24"/>
        </w:rPr>
        <w:footnoteReference w:id="24"/>
      </w:r>
      <w:r w:rsidR="00C87D02">
        <w:rPr>
          <w:sz w:val="24"/>
        </w:rPr>
        <w:t>.</w:t>
      </w:r>
      <w:r w:rsidR="007A6A2C">
        <w:rPr>
          <w:sz w:val="24"/>
        </w:rPr>
        <w:t xml:space="preserve"> Another skill of the Brahmans that Apollonius seems to assimilate is the</w:t>
      </w:r>
      <w:r w:rsidR="008D71D5">
        <w:rPr>
          <w:sz w:val="24"/>
        </w:rPr>
        <w:t xml:space="preserve"> ability to recall previous existences</w:t>
      </w:r>
      <w:r w:rsidR="008D71D5">
        <w:rPr>
          <w:rStyle w:val="FootnoteReference"/>
          <w:sz w:val="24"/>
        </w:rPr>
        <w:footnoteReference w:id="25"/>
      </w:r>
      <w:r w:rsidR="007A6A2C">
        <w:rPr>
          <w:sz w:val="24"/>
        </w:rPr>
        <w:t>.</w:t>
      </w:r>
      <w:r w:rsidR="00E35317">
        <w:rPr>
          <w:sz w:val="24"/>
        </w:rPr>
        <w:t xml:space="preserve"> After discussion </w:t>
      </w:r>
      <w:r w:rsidR="00DF3AF3">
        <w:rPr>
          <w:sz w:val="24"/>
        </w:rPr>
        <w:t>with the Brahmans</w:t>
      </w:r>
      <w:r w:rsidR="00E35317">
        <w:rPr>
          <w:sz w:val="24"/>
        </w:rPr>
        <w:t>, Apollonius recalls his past life as a “pilot of an Egyptian vessel”</w:t>
      </w:r>
      <w:r w:rsidR="00E35317">
        <w:rPr>
          <w:rStyle w:val="FootnoteReference"/>
          <w:sz w:val="24"/>
        </w:rPr>
        <w:footnoteReference w:id="26"/>
      </w:r>
      <w:r w:rsidR="00E35317">
        <w:rPr>
          <w:sz w:val="24"/>
        </w:rPr>
        <w:t>.</w:t>
      </w:r>
      <w:r w:rsidR="00CA2C26">
        <w:rPr>
          <w:sz w:val="24"/>
        </w:rPr>
        <w:t xml:space="preserve"> These references to past lives contribute nothing significant to the plot, they seem only to serve as characterisations of the amazing feats of both Apollonius and the Brahmans</w:t>
      </w:r>
      <w:r w:rsidR="00CA2C26">
        <w:rPr>
          <w:rStyle w:val="FootnoteReference"/>
          <w:sz w:val="24"/>
        </w:rPr>
        <w:footnoteReference w:id="27"/>
      </w:r>
      <w:r w:rsidR="00CA2C26">
        <w:rPr>
          <w:sz w:val="24"/>
        </w:rPr>
        <w:t>.</w:t>
      </w:r>
    </w:p>
    <w:p w:rsidR="00020C54" w:rsidRDefault="00020C54" w:rsidP="00020C54">
      <w:pPr>
        <w:rPr>
          <w:sz w:val="24"/>
        </w:rPr>
      </w:pPr>
      <w:r>
        <w:rPr>
          <w:sz w:val="24"/>
        </w:rPr>
        <w:t xml:space="preserve">Kemezis sums up Apollonius’ purpose in India in a rather pleasing manner: </w:t>
      </w:r>
    </w:p>
    <w:p w:rsidR="00020C54" w:rsidRPr="00020C54" w:rsidRDefault="00020C54" w:rsidP="00141F5A">
      <w:pPr>
        <w:ind w:left="567" w:right="709"/>
        <w:rPr>
          <w:i/>
          <w:sz w:val="24"/>
        </w:rPr>
      </w:pPr>
      <w:r w:rsidRPr="00020C54">
        <w:rPr>
          <w:i/>
          <w:sz w:val="24"/>
        </w:rPr>
        <w:t>Apollonius… is not a missionary spreading Greek culture where it has never before existed. Rather, he is a catalyst who allowed for the emergence of latent Hellenic tendencies that had never previously been able to gain expression</w:t>
      </w:r>
      <w:r w:rsidRPr="00020C54">
        <w:rPr>
          <w:rStyle w:val="FootnoteReference"/>
          <w:i/>
          <w:sz w:val="24"/>
        </w:rPr>
        <w:footnoteReference w:id="28"/>
      </w:r>
      <w:r w:rsidRPr="00020C54">
        <w:rPr>
          <w:i/>
          <w:sz w:val="24"/>
        </w:rPr>
        <w:t>.</w:t>
      </w:r>
    </w:p>
    <w:p w:rsidR="0088031F" w:rsidRDefault="00020C54" w:rsidP="00CD37CF">
      <w:pPr>
        <w:rPr>
          <w:sz w:val="24"/>
        </w:rPr>
      </w:pPr>
      <w:r>
        <w:rPr>
          <w:sz w:val="24"/>
        </w:rPr>
        <w:t>This is clearly demonstrated in books II and III, as Apollonius and Damis encounter many Greek-speaking Indians</w:t>
      </w:r>
      <w:r>
        <w:rPr>
          <w:rStyle w:val="FootnoteReference"/>
          <w:sz w:val="24"/>
        </w:rPr>
        <w:footnoteReference w:id="29"/>
      </w:r>
      <w:r>
        <w:rPr>
          <w:sz w:val="24"/>
        </w:rPr>
        <w:t>, which surely would have been impossible had there not been some previous contact with Greek-speaking men, or some Hellenic aspect to their heritage or culture.</w:t>
      </w:r>
      <w:r w:rsidR="00A05FE0">
        <w:rPr>
          <w:sz w:val="24"/>
        </w:rPr>
        <w:t xml:space="preserve"> Indeed, Apollonius is not the first Hellene to travel to India, he was preceded by Alexander, Pythagoras and Septimius Severus among others</w:t>
      </w:r>
      <w:r w:rsidR="00A05FE0">
        <w:rPr>
          <w:rStyle w:val="FootnoteReference"/>
          <w:sz w:val="24"/>
        </w:rPr>
        <w:footnoteReference w:id="30"/>
      </w:r>
      <w:r w:rsidR="00A05FE0">
        <w:rPr>
          <w:sz w:val="24"/>
        </w:rPr>
        <w:t>, though he outdoes all of them by traversing further into India than any of them, as Apollonius himself confirms</w:t>
      </w:r>
      <w:r w:rsidR="00A05FE0">
        <w:rPr>
          <w:rStyle w:val="FootnoteReference"/>
          <w:sz w:val="24"/>
        </w:rPr>
        <w:footnoteReference w:id="31"/>
      </w:r>
      <w:r w:rsidR="00974FD6">
        <w:rPr>
          <w:sz w:val="24"/>
        </w:rPr>
        <w:t>. By emphasising this, Philostratus fulfils his purpose of making Apollonius greater than all of these great men. Anderson does however, acknowledge that “</w:t>
      </w:r>
      <w:r w:rsidR="0088031F">
        <w:rPr>
          <w:sz w:val="24"/>
        </w:rPr>
        <w:t xml:space="preserve">It is tempting to claim that Philostratus wished Apollonius to India, because Pythagoras </w:t>
      </w:r>
      <w:r w:rsidR="00974FD6">
        <w:rPr>
          <w:sz w:val="24"/>
        </w:rPr>
        <w:t>had only gone as far as Babylon”</w:t>
      </w:r>
      <w:r w:rsidR="00974FD6">
        <w:rPr>
          <w:rStyle w:val="FootnoteReference"/>
          <w:sz w:val="24"/>
        </w:rPr>
        <w:footnoteReference w:id="32"/>
      </w:r>
      <w:r w:rsidR="00974FD6">
        <w:rPr>
          <w:sz w:val="24"/>
        </w:rPr>
        <w:t>. Anderson then suggests a contradiction to this idea, as “</w:t>
      </w:r>
      <w:r w:rsidR="0088031F">
        <w:rPr>
          <w:sz w:val="24"/>
        </w:rPr>
        <w:t>such an incentive might just as easily have presented itself to Apollonius himself</w:t>
      </w:r>
      <w:r w:rsidR="0088031F">
        <w:rPr>
          <w:rStyle w:val="FootnoteReference"/>
          <w:sz w:val="24"/>
        </w:rPr>
        <w:footnoteReference w:id="33"/>
      </w:r>
      <w:r w:rsidR="00974FD6">
        <w:rPr>
          <w:sz w:val="24"/>
        </w:rPr>
        <w:t xml:space="preserve">”. </w:t>
      </w:r>
    </w:p>
    <w:p w:rsidR="00F77A64" w:rsidRDefault="00F77A64" w:rsidP="00CD37CF">
      <w:pPr>
        <w:rPr>
          <w:sz w:val="24"/>
        </w:rPr>
      </w:pPr>
    </w:p>
    <w:p w:rsidR="00B11059" w:rsidRPr="00F77A64" w:rsidRDefault="00F77A64" w:rsidP="00F77A64">
      <w:pPr>
        <w:rPr>
          <w:b/>
          <w:color w:val="7F7F7F" w:themeColor="text1" w:themeTint="80"/>
          <w:sz w:val="32"/>
          <w:u w:val="single"/>
        </w:rPr>
      </w:pPr>
      <w:r w:rsidRPr="00F77A64">
        <w:rPr>
          <w:b/>
          <w:color w:val="7F7F7F" w:themeColor="text1" w:themeTint="80"/>
          <w:sz w:val="32"/>
          <w:u w:val="single"/>
        </w:rPr>
        <w:t>Second Theory</w:t>
      </w:r>
    </w:p>
    <w:p w:rsidR="006F4C5B" w:rsidRDefault="006F4C5B" w:rsidP="00B11059">
      <w:pPr>
        <w:rPr>
          <w:sz w:val="24"/>
        </w:rPr>
      </w:pPr>
      <w:r>
        <w:rPr>
          <w:sz w:val="24"/>
        </w:rPr>
        <w:t xml:space="preserve">Francis opens up the discussion into the validity of </w:t>
      </w:r>
      <w:r>
        <w:rPr>
          <w:i/>
          <w:sz w:val="24"/>
        </w:rPr>
        <w:t xml:space="preserve">VA </w:t>
      </w:r>
      <w:r>
        <w:rPr>
          <w:sz w:val="24"/>
        </w:rPr>
        <w:t>as historically accurate by bringing to mind Bowie’s argument:</w:t>
      </w:r>
    </w:p>
    <w:p w:rsidR="00B11059" w:rsidRPr="006F4C5B" w:rsidRDefault="00B11059" w:rsidP="00141F5A">
      <w:pPr>
        <w:ind w:left="567" w:right="709"/>
        <w:rPr>
          <w:i/>
          <w:sz w:val="24"/>
        </w:rPr>
      </w:pPr>
      <w:r w:rsidRPr="006F4C5B">
        <w:rPr>
          <w:i/>
          <w:sz w:val="24"/>
        </w:rPr>
        <w:t>Bowie presents VA as “novelistic” or “fictional” and thereby concludes that Philostratus intended this work to be merely an entertaining piece of sophistic literature, not meant to be taken seriously and certainly not to be taken as history</w:t>
      </w:r>
      <w:r w:rsidRPr="006F4C5B">
        <w:rPr>
          <w:rStyle w:val="FootnoteReference"/>
          <w:i/>
          <w:sz w:val="24"/>
        </w:rPr>
        <w:footnoteReference w:id="34"/>
      </w:r>
      <w:r w:rsidR="006F4C5B">
        <w:rPr>
          <w:i/>
          <w:sz w:val="24"/>
        </w:rPr>
        <w:t>.</w:t>
      </w:r>
    </w:p>
    <w:p w:rsidR="00B11059" w:rsidRDefault="006F4C5B" w:rsidP="00B11059">
      <w:pPr>
        <w:rPr>
          <w:sz w:val="24"/>
        </w:rPr>
      </w:pPr>
      <w:r>
        <w:rPr>
          <w:sz w:val="24"/>
        </w:rPr>
        <w:t>This</w:t>
      </w:r>
      <w:r w:rsidR="0012041B">
        <w:rPr>
          <w:sz w:val="24"/>
        </w:rPr>
        <w:t xml:space="preserve"> contradicts the previous theory for the purpose of </w:t>
      </w:r>
      <w:r w:rsidR="0012041B">
        <w:rPr>
          <w:i/>
          <w:sz w:val="24"/>
        </w:rPr>
        <w:t>VA,</w:t>
      </w:r>
      <w:r w:rsidR="0012041B">
        <w:rPr>
          <w:sz w:val="24"/>
        </w:rPr>
        <w:t xml:space="preserve"> and I find this to also be a compelling argument. Whitmarsh also claims that “</w:t>
      </w:r>
      <w:r w:rsidR="00B11059">
        <w:rPr>
          <w:sz w:val="24"/>
        </w:rPr>
        <w:t xml:space="preserve">Philostratus’ primary concern does not lie in accurate historical </w:t>
      </w:r>
      <w:r w:rsidR="00B11059">
        <w:rPr>
          <w:sz w:val="24"/>
        </w:rPr>
        <w:lastRenderedPageBreak/>
        <w:t>record. Indeed he seems actively to play with the boundaries between truth and fiction</w:t>
      </w:r>
      <w:r w:rsidR="00B11059">
        <w:rPr>
          <w:rStyle w:val="FootnoteReference"/>
          <w:sz w:val="24"/>
        </w:rPr>
        <w:footnoteReference w:id="35"/>
      </w:r>
      <w:r w:rsidR="0012041B">
        <w:rPr>
          <w:sz w:val="24"/>
        </w:rPr>
        <w:t>”.</w:t>
      </w:r>
      <w:r w:rsidR="00F9500C">
        <w:rPr>
          <w:sz w:val="24"/>
        </w:rPr>
        <w:t xml:space="preserve"> If this is indeed the case, then what is the true purpose of </w:t>
      </w:r>
      <w:r w:rsidR="00F9500C">
        <w:rPr>
          <w:i/>
          <w:sz w:val="24"/>
        </w:rPr>
        <w:t>VA</w:t>
      </w:r>
      <w:r w:rsidR="00F9500C">
        <w:rPr>
          <w:sz w:val="24"/>
        </w:rPr>
        <w:t>, and how is this supported by books II and III?</w:t>
      </w:r>
    </w:p>
    <w:p w:rsidR="00F9500C" w:rsidRDefault="00F9500C" w:rsidP="00B11059">
      <w:pPr>
        <w:rPr>
          <w:sz w:val="24"/>
        </w:rPr>
      </w:pPr>
      <w:r>
        <w:rPr>
          <w:sz w:val="24"/>
        </w:rPr>
        <w:t>An intriguing suggestion by Kemezis may well hint at what Philostratus’ purpose was:</w:t>
      </w:r>
    </w:p>
    <w:p w:rsidR="00B11059" w:rsidRDefault="00F9500C" w:rsidP="00141F5A">
      <w:pPr>
        <w:ind w:left="567" w:right="709"/>
        <w:rPr>
          <w:i/>
          <w:sz w:val="24"/>
        </w:rPr>
      </w:pPr>
      <w:r w:rsidRPr="00F9500C">
        <w:rPr>
          <w:i/>
          <w:sz w:val="24"/>
        </w:rPr>
        <w:t>“</w:t>
      </w:r>
      <w:r w:rsidR="00B11059" w:rsidRPr="00F9500C">
        <w:rPr>
          <w:i/>
          <w:sz w:val="24"/>
        </w:rPr>
        <w:t>Philostratus the author is not trying to convince readers that cultural authority and political power really do function as they do in his writings, or even that they should. Rather he is asking them to relate his fictional worlds to their own, and to consider what the implications are for the role of Greek identity and the past on which it is constructed</w:t>
      </w:r>
      <w:r w:rsidR="00B11059" w:rsidRPr="00F9500C">
        <w:rPr>
          <w:rStyle w:val="FootnoteReference"/>
          <w:i/>
          <w:sz w:val="24"/>
        </w:rPr>
        <w:footnoteReference w:id="36"/>
      </w:r>
      <w:r w:rsidRPr="00F9500C">
        <w:rPr>
          <w:i/>
          <w:sz w:val="24"/>
        </w:rPr>
        <w:t>”</w:t>
      </w:r>
    </w:p>
    <w:p w:rsidR="00DB6FA2" w:rsidRDefault="00DB6FA2" w:rsidP="00DB6FA2">
      <w:pPr>
        <w:rPr>
          <w:sz w:val="24"/>
        </w:rPr>
      </w:pPr>
      <w:r>
        <w:rPr>
          <w:sz w:val="24"/>
        </w:rPr>
        <w:t xml:space="preserve">This is interesting on a number of levels, as it suggests that </w:t>
      </w:r>
      <w:r>
        <w:rPr>
          <w:i/>
          <w:sz w:val="24"/>
        </w:rPr>
        <w:t>VA</w:t>
      </w:r>
      <w:r>
        <w:rPr>
          <w:sz w:val="24"/>
        </w:rPr>
        <w:t xml:space="preserve"> is merely intended to be a thought-provoking exercise, guiding the readers towards a greater understanding of what it means to be Greek.</w:t>
      </w:r>
      <w:r w:rsidR="00C93157">
        <w:rPr>
          <w:sz w:val="24"/>
        </w:rPr>
        <w:t xml:space="preserve"> This position is greatly advocated by Whitmarsh, who proposes the following as the intentions of Philostratus:</w:t>
      </w:r>
    </w:p>
    <w:p w:rsidR="00C93157" w:rsidRDefault="00C93157" w:rsidP="00141F5A">
      <w:pPr>
        <w:ind w:left="567" w:right="709"/>
        <w:rPr>
          <w:i/>
          <w:sz w:val="24"/>
        </w:rPr>
      </w:pPr>
      <w:r w:rsidRPr="0099403E">
        <w:rPr>
          <w:i/>
          <w:sz w:val="24"/>
        </w:rPr>
        <w:t>“Overall, the narrator presents himself as an enlightened, educator of young acolytes”</w:t>
      </w:r>
      <w:r w:rsidRPr="0099403E">
        <w:rPr>
          <w:rStyle w:val="FootnoteReference"/>
          <w:i/>
          <w:sz w:val="24"/>
        </w:rPr>
        <w:footnoteReference w:id="37"/>
      </w:r>
    </w:p>
    <w:p w:rsidR="0099403E" w:rsidRDefault="0099403E" w:rsidP="00141F5A">
      <w:pPr>
        <w:ind w:left="567" w:right="709"/>
        <w:rPr>
          <w:i/>
          <w:sz w:val="24"/>
        </w:rPr>
      </w:pPr>
      <w:r>
        <w:rPr>
          <w:i/>
          <w:sz w:val="24"/>
        </w:rPr>
        <w:t>“At a number of points he guides interpretable with subjunctives in first person plural ‘let us’ (</w:t>
      </w:r>
      <w:r>
        <w:rPr>
          <w:sz w:val="24"/>
        </w:rPr>
        <w:t>VA</w:t>
      </w:r>
      <w:r>
        <w:rPr>
          <w:i/>
          <w:sz w:val="24"/>
        </w:rPr>
        <w:t xml:space="preserve"> II.2)”</w:t>
      </w:r>
      <w:r>
        <w:rPr>
          <w:rStyle w:val="FootnoteReference"/>
          <w:i/>
          <w:sz w:val="24"/>
        </w:rPr>
        <w:footnoteReference w:id="38"/>
      </w:r>
    </w:p>
    <w:p w:rsidR="0099403E" w:rsidRDefault="0099403E" w:rsidP="00141F5A">
      <w:pPr>
        <w:ind w:left="567" w:right="709"/>
        <w:rPr>
          <w:i/>
          <w:sz w:val="24"/>
        </w:rPr>
      </w:pPr>
      <w:r>
        <w:rPr>
          <w:i/>
          <w:sz w:val="24"/>
        </w:rPr>
        <w:t>“Elsewhere he adopts a more imperative tone ‘and must think that’ (</w:t>
      </w:r>
      <w:r>
        <w:rPr>
          <w:sz w:val="24"/>
        </w:rPr>
        <w:t>VA</w:t>
      </w:r>
      <w:r>
        <w:rPr>
          <w:i/>
          <w:sz w:val="24"/>
        </w:rPr>
        <w:t xml:space="preserve"> III.1)”</w:t>
      </w:r>
      <w:r>
        <w:rPr>
          <w:rStyle w:val="FootnoteReference"/>
          <w:i/>
          <w:sz w:val="24"/>
        </w:rPr>
        <w:footnoteReference w:id="39"/>
      </w:r>
    </w:p>
    <w:p w:rsidR="0099403E" w:rsidRDefault="0099403E" w:rsidP="00141F5A">
      <w:pPr>
        <w:ind w:left="567" w:right="709"/>
        <w:rPr>
          <w:i/>
          <w:sz w:val="24"/>
        </w:rPr>
      </w:pPr>
      <w:r>
        <w:rPr>
          <w:i/>
          <w:sz w:val="24"/>
        </w:rPr>
        <w:t xml:space="preserve">“The narrative targets those with no experience of Apollonius… but serves primarily to cast the narrator in the role of informed empiricist, as man with </w:t>
      </w:r>
      <w:r>
        <w:rPr>
          <w:sz w:val="24"/>
        </w:rPr>
        <w:t>peira</w:t>
      </w:r>
      <w:r>
        <w:rPr>
          <w:i/>
          <w:sz w:val="24"/>
        </w:rPr>
        <w:t xml:space="preserve"> (Experience) he wishes to impart to students”</w:t>
      </w:r>
      <w:r>
        <w:rPr>
          <w:rStyle w:val="FootnoteReference"/>
          <w:i/>
          <w:sz w:val="24"/>
        </w:rPr>
        <w:footnoteReference w:id="40"/>
      </w:r>
    </w:p>
    <w:p w:rsidR="00141F5A" w:rsidRDefault="00141F5A" w:rsidP="0099403E">
      <w:pPr>
        <w:ind w:left="284" w:right="567"/>
        <w:rPr>
          <w:i/>
          <w:sz w:val="24"/>
        </w:rPr>
      </w:pPr>
    </w:p>
    <w:p w:rsidR="008F043B" w:rsidRDefault="00F1121F" w:rsidP="00A824BA">
      <w:pPr>
        <w:rPr>
          <w:sz w:val="24"/>
        </w:rPr>
      </w:pPr>
      <w:r>
        <w:rPr>
          <w:sz w:val="24"/>
        </w:rPr>
        <w:t xml:space="preserve">At this point I must return again to the discussion of the existence of Damis. </w:t>
      </w:r>
      <w:r w:rsidR="008F043B">
        <w:rPr>
          <w:sz w:val="24"/>
        </w:rPr>
        <w:t>It is possible that Damis is simply a literary device used to add credence to Philostratus story. As Francis puts it:</w:t>
      </w:r>
    </w:p>
    <w:p w:rsidR="008F043B" w:rsidRDefault="008F043B" w:rsidP="008F043B">
      <w:pPr>
        <w:ind w:left="567" w:right="709"/>
        <w:rPr>
          <w:sz w:val="24"/>
        </w:rPr>
      </w:pPr>
      <w:r>
        <w:rPr>
          <w:sz w:val="24"/>
        </w:rPr>
        <w:t>“</w:t>
      </w:r>
      <w:r w:rsidRPr="008F043B">
        <w:rPr>
          <w:i/>
          <w:sz w:val="24"/>
        </w:rPr>
        <w:t>Philostratus becomes more authoritative in having Damis as a source, while Damis becomes more authoritative by being accepted by Philostratus</w:t>
      </w:r>
      <w:r>
        <w:rPr>
          <w:sz w:val="24"/>
        </w:rPr>
        <w:t>”</w:t>
      </w:r>
      <w:r>
        <w:rPr>
          <w:rStyle w:val="FootnoteReference"/>
          <w:sz w:val="24"/>
        </w:rPr>
        <w:footnoteReference w:id="41"/>
      </w:r>
      <w:r>
        <w:rPr>
          <w:sz w:val="24"/>
        </w:rPr>
        <w:t>.</w:t>
      </w:r>
    </w:p>
    <w:p w:rsidR="00A824BA" w:rsidRDefault="00F1121F" w:rsidP="00A824BA">
      <w:pPr>
        <w:rPr>
          <w:sz w:val="24"/>
        </w:rPr>
      </w:pPr>
      <w:r>
        <w:rPr>
          <w:sz w:val="24"/>
        </w:rPr>
        <w:t>Bowie presents points from both sides of this argument:</w:t>
      </w:r>
    </w:p>
    <w:p w:rsidR="00F1121F" w:rsidRDefault="00F1121F" w:rsidP="00141F5A">
      <w:pPr>
        <w:ind w:left="567" w:right="709"/>
        <w:rPr>
          <w:i/>
          <w:sz w:val="24"/>
        </w:rPr>
      </w:pPr>
      <w:r w:rsidRPr="00141F5A">
        <w:rPr>
          <w:i/>
          <w:sz w:val="24"/>
        </w:rPr>
        <w:t>“Philostratus… could not have abused the name of his patron, so he must in truth have received a book from her purporting to be a memoir of Damis”</w:t>
      </w:r>
      <w:r w:rsidRPr="00141F5A">
        <w:rPr>
          <w:rStyle w:val="FootnoteReference"/>
          <w:i/>
          <w:sz w:val="24"/>
        </w:rPr>
        <w:footnoteReference w:id="42"/>
      </w:r>
    </w:p>
    <w:p w:rsidR="00D54A85" w:rsidRPr="00141F5A" w:rsidRDefault="00D54A85" w:rsidP="00141F5A">
      <w:pPr>
        <w:ind w:left="567" w:right="709"/>
        <w:rPr>
          <w:i/>
          <w:sz w:val="24"/>
        </w:rPr>
      </w:pPr>
      <w:r>
        <w:rPr>
          <w:i/>
          <w:sz w:val="24"/>
        </w:rPr>
        <w:t>“Much credited by Philostratus to Damis smacks of his own sophistic tastes”</w:t>
      </w:r>
      <w:r>
        <w:rPr>
          <w:rStyle w:val="FootnoteReference"/>
          <w:i/>
          <w:sz w:val="24"/>
        </w:rPr>
        <w:footnoteReference w:id="43"/>
      </w:r>
    </w:p>
    <w:p w:rsidR="00F1121F" w:rsidRDefault="00F1121F" w:rsidP="00141F5A">
      <w:pPr>
        <w:ind w:left="567" w:right="709"/>
        <w:rPr>
          <w:i/>
          <w:sz w:val="24"/>
        </w:rPr>
      </w:pPr>
      <w:r w:rsidRPr="00141F5A">
        <w:rPr>
          <w:i/>
          <w:sz w:val="24"/>
        </w:rPr>
        <w:t>“I</w:t>
      </w:r>
      <w:r w:rsidR="00141F5A" w:rsidRPr="00141F5A">
        <w:rPr>
          <w:i/>
          <w:sz w:val="24"/>
        </w:rPr>
        <w:t>f</w:t>
      </w:r>
      <w:r w:rsidRPr="00141F5A">
        <w:rPr>
          <w:i/>
          <w:sz w:val="24"/>
        </w:rPr>
        <w:t xml:space="preserve"> Philostratus is entirely </w:t>
      </w:r>
      <w:r w:rsidR="00141F5A" w:rsidRPr="00141F5A">
        <w:rPr>
          <w:i/>
          <w:sz w:val="24"/>
        </w:rPr>
        <w:t>responsible</w:t>
      </w:r>
      <w:r w:rsidRPr="00141F5A">
        <w:rPr>
          <w:i/>
          <w:sz w:val="24"/>
        </w:rPr>
        <w:t xml:space="preserve"> </w:t>
      </w:r>
      <w:r w:rsidR="00141F5A" w:rsidRPr="00141F5A">
        <w:rPr>
          <w:i/>
          <w:sz w:val="24"/>
        </w:rPr>
        <w:t>[</w:t>
      </w:r>
      <w:r w:rsidRPr="00141F5A">
        <w:rPr>
          <w:i/>
          <w:sz w:val="24"/>
        </w:rPr>
        <w:t>for the invention of Damis</w:t>
      </w:r>
      <w:r w:rsidR="00141F5A" w:rsidRPr="00141F5A">
        <w:rPr>
          <w:i/>
          <w:sz w:val="24"/>
        </w:rPr>
        <w:t>]</w:t>
      </w:r>
      <w:r w:rsidRPr="00141F5A">
        <w:rPr>
          <w:i/>
          <w:sz w:val="24"/>
        </w:rPr>
        <w:t xml:space="preserve">, then his aim was most plausibly that of a professional write, to produce a well-rounded and entertaining piece of </w:t>
      </w:r>
      <w:r w:rsidRPr="00141F5A">
        <w:rPr>
          <w:i/>
          <w:sz w:val="24"/>
        </w:rPr>
        <w:lastRenderedPageBreak/>
        <w:t>literature, rather than to further a propagandist interpretation of Apollonius by a Pythagorean sage”</w:t>
      </w:r>
      <w:r w:rsidR="00141F5A" w:rsidRPr="00141F5A">
        <w:rPr>
          <w:rStyle w:val="FootnoteReference"/>
          <w:i/>
          <w:sz w:val="24"/>
        </w:rPr>
        <w:footnoteReference w:id="44"/>
      </w:r>
      <w:r w:rsidR="00141F5A" w:rsidRPr="00141F5A">
        <w:rPr>
          <w:i/>
          <w:sz w:val="24"/>
        </w:rPr>
        <w:t>.</w:t>
      </w:r>
    </w:p>
    <w:p w:rsidR="00141F5A" w:rsidRDefault="00141F5A" w:rsidP="00141F5A">
      <w:pPr>
        <w:rPr>
          <w:sz w:val="24"/>
        </w:rPr>
      </w:pPr>
      <w:r>
        <w:rPr>
          <w:sz w:val="24"/>
        </w:rPr>
        <w:t>Anderson also weighs in with his own analysis of this discussion:</w:t>
      </w:r>
    </w:p>
    <w:p w:rsidR="00141F5A" w:rsidRPr="00D507BD" w:rsidRDefault="00141F5A" w:rsidP="00D507BD">
      <w:pPr>
        <w:ind w:left="567" w:right="709"/>
        <w:rPr>
          <w:i/>
          <w:sz w:val="24"/>
        </w:rPr>
      </w:pPr>
      <w:r w:rsidRPr="00D507BD">
        <w:rPr>
          <w:i/>
          <w:sz w:val="24"/>
        </w:rPr>
        <w:t>“It has long been an accepted assumption among classical scholars that “Damis” is either a fiction of the biographer himself, or at least a forged intermediate source rather than a genuine disciple of the sage”</w:t>
      </w:r>
      <w:r w:rsidRPr="00D507BD">
        <w:rPr>
          <w:rStyle w:val="FootnoteReference"/>
          <w:i/>
          <w:sz w:val="24"/>
        </w:rPr>
        <w:footnoteReference w:id="45"/>
      </w:r>
    </w:p>
    <w:p w:rsidR="00141F5A" w:rsidRPr="00D507BD" w:rsidRDefault="00141F5A" w:rsidP="00D507BD">
      <w:pPr>
        <w:ind w:left="567" w:right="709"/>
        <w:rPr>
          <w:i/>
          <w:sz w:val="24"/>
        </w:rPr>
      </w:pPr>
      <w:r w:rsidRPr="00D507BD">
        <w:rPr>
          <w:i/>
          <w:sz w:val="24"/>
        </w:rPr>
        <w:t>“Edouard Meyer developed the sweeping allegation that “Damis” is a vehicle for the flagrantly incredible and “sophistic” additions of Philostratus”</w:t>
      </w:r>
      <w:r w:rsidRPr="00D507BD">
        <w:rPr>
          <w:rStyle w:val="FootnoteReference"/>
          <w:i/>
          <w:sz w:val="24"/>
        </w:rPr>
        <w:footnoteReference w:id="46"/>
      </w:r>
    </w:p>
    <w:p w:rsidR="00141F5A" w:rsidRDefault="00141F5A" w:rsidP="00D507BD">
      <w:pPr>
        <w:ind w:left="567" w:right="709"/>
        <w:rPr>
          <w:i/>
          <w:sz w:val="24"/>
        </w:rPr>
      </w:pPr>
      <w:r w:rsidRPr="00D507BD">
        <w:rPr>
          <w:i/>
          <w:sz w:val="24"/>
        </w:rPr>
        <w:t>“There is however a strong counter-argument</w:t>
      </w:r>
      <w:r w:rsidR="00D507BD" w:rsidRPr="00D507BD">
        <w:rPr>
          <w:i/>
          <w:sz w:val="24"/>
        </w:rPr>
        <w:t>:</w:t>
      </w:r>
      <w:r w:rsidRPr="00D507BD">
        <w:rPr>
          <w:i/>
          <w:sz w:val="24"/>
        </w:rPr>
        <w:t xml:space="preserve"> with so much material available to Philostratus, why should he have had any need for a fictitious Damis?”</w:t>
      </w:r>
      <w:r w:rsidR="00D507BD" w:rsidRPr="00D507BD">
        <w:rPr>
          <w:rStyle w:val="FootnoteReference"/>
          <w:i/>
          <w:sz w:val="24"/>
        </w:rPr>
        <w:footnoteReference w:id="47"/>
      </w:r>
    </w:p>
    <w:p w:rsidR="00D54A85" w:rsidRPr="00D54A85" w:rsidRDefault="00D54A85" w:rsidP="00D507BD">
      <w:pPr>
        <w:ind w:left="567" w:right="709"/>
        <w:rPr>
          <w:i/>
          <w:sz w:val="24"/>
        </w:rPr>
      </w:pPr>
      <w:r>
        <w:rPr>
          <w:sz w:val="24"/>
        </w:rPr>
        <w:t xml:space="preserve">(In regards to inaccuracies about the Brahmans in book III) </w:t>
      </w:r>
      <w:r>
        <w:rPr>
          <w:i/>
          <w:sz w:val="24"/>
        </w:rPr>
        <w:t>“Where has Philostratus gone wrong, and do his mistakes point to deliberate fantasy or conscientious reconstruction?”</w:t>
      </w:r>
      <w:r>
        <w:rPr>
          <w:rStyle w:val="FootnoteReference"/>
          <w:i/>
          <w:sz w:val="24"/>
        </w:rPr>
        <w:footnoteReference w:id="48"/>
      </w:r>
    </w:p>
    <w:p w:rsidR="00045EAB" w:rsidRDefault="00045EAB" w:rsidP="00045EAB">
      <w:pPr>
        <w:rPr>
          <w:sz w:val="24"/>
        </w:rPr>
      </w:pPr>
      <w:r>
        <w:rPr>
          <w:sz w:val="24"/>
        </w:rPr>
        <w:t xml:space="preserve">Proving the existence of Damis is crucial to determining Philostratus’ true purpose in writing </w:t>
      </w:r>
      <w:r>
        <w:rPr>
          <w:i/>
          <w:sz w:val="24"/>
        </w:rPr>
        <w:t>VA</w:t>
      </w:r>
      <w:r>
        <w:rPr>
          <w:sz w:val="24"/>
        </w:rPr>
        <w:t xml:space="preserve">. </w:t>
      </w:r>
      <w:r w:rsidR="00864DFA">
        <w:rPr>
          <w:sz w:val="24"/>
        </w:rPr>
        <w:t xml:space="preserve">If it is the case that Damis did not exist, then the entire work of </w:t>
      </w:r>
      <w:r w:rsidR="00864DFA">
        <w:rPr>
          <w:i/>
          <w:sz w:val="24"/>
        </w:rPr>
        <w:t>VA</w:t>
      </w:r>
      <w:r w:rsidR="00864DFA">
        <w:rPr>
          <w:sz w:val="24"/>
        </w:rPr>
        <w:t xml:space="preserve"> is designed to put forward Philostratus’ ideas and political views. Assuming this to be true, then it is interesting to note that throughout book III, the Brahmans are presented as superior to Apollonius, and therefore by extension, to the Hellenic culture. This is especially highlighted during Apollonius’ conversations with the Brahmans, where they respond “contrary to [his] anticipation”</w:t>
      </w:r>
      <w:r w:rsidR="00864DFA">
        <w:rPr>
          <w:rStyle w:val="FootnoteReference"/>
          <w:sz w:val="24"/>
        </w:rPr>
        <w:footnoteReference w:id="49"/>
      </w:r>
      <w:r w:rsidR="00864DFA">
        <w:rPr>
          <w:sz w:val="24"/>
        </w:rPr>
        <w:t>. Whitm</w:t>
      </w:r>
      <w:r w:rsidR="00CB26A5">
        <w:rPr>
          <w:sz w:val="24"/>
        </w:rPr>
        <w:t>arsh notes that this serves to highlight a</w:t>
      </w:r>
      <w:r w:rsidR="00864DFA">
        <w:rPr>
          <w:sz w:val="24"/>
        </w:rPr>
        <w:t xml:space="preserve"> hierarchy between Indian and Apollonian (Hellenic) wisdom</w:t>
      </w:r>
      <w:r w:rsidR="00864DFA">
        <w:rPr>
          <w:rStyle w:val="FootnoteReference"/>
          <w:sz w:val="24"/>
        </w:rPr>
        <w:footnoteReference w:id="50"/>
      </w:r>
      <w:r w:rsidR="00864DFA">
        <w:rPr>
          <w:sz w:val="24"/>
        </w:rPr>
        <w:t>.</w:t>
      </w:r>
      <w:r w:rsidR="00CB26A5">
        <w:rPr>
          <w:sz w:val="24"/>
        </w:rPr>
        <w:t xml:space="preserve"> This is further reinforced by the inclusion of many miracle-stories, including the levitation of the Brahman sages</w:t>
      </w:r>
      <w:r w:rsidR="00CB26A5">
        <w:rPr>
          <w:rStyle w:val="FootnoteReference"/>
          <w:sz w:val="24"/>
        </w:rPr>
        <w:footnoteReference w:id="51"/>
      </w:r>
      <w:r w:rsidR="00CB26A5">
        <w:rPr>
          <w:sz w:val="24"/>
        </w:rPr>
        <w:t>, and the idea that they can “render themselves visible or invisible at will”</w:t>
      </w:r>
      <w:r w:rsidR="00CB26A5">
        <w:rPr>
          <w:rStyle w:val="FootnoteReference"/>
          <w:sz w:val="24"/>
        </w:rPr>
        <w:footnoteReference w:id="52"/>
      </w:r>
      <w:r w:rsidR="00CB26A5">
        <w:rPr>
          <w:sz w:val="24"/>
        </w:rPr>
        <w:t>. This could su</w:t>
      </w:r>
      <w:r w:rsidR="00F40A1C">
        <w:rPr>
          <w:sz w:val="24"/>
        </w:rPr>
        <w:t>pport</w:t>
      </w:r>
      <w:r w:rsidR="00CB26A5">
        <w:rPr>
          <w:sz w:val="24"/>
        </w:rPr>
        <w:t xml:space="preserve"> Philostratus</w:t>
      </w:r>
      <w:r w:rsidR="00F40A1C">
        <w:rPr>
          <w:sz w:val="24"/>
        </w:rPr>
        <w:t>’ aim to portray I</w:t>
      </w:r>
      <w:r w:rsidR="00CB26A5">
        <w:rPr>
          <w:sz w:val="24"/>
        </w:rPr>
        <w:t xml:space="preserve">ndia </w:t>
      </w:r>
      <w:r w:rsidR="00F40A1C">
        <w:rPr>
          <w:sz w:val="24"/>
        </w:rPr>
        <w:t>as</w:t>
      </w:r>
      <w:r w:rsidR="00CB26A5">
        <w:rPr>
          <w:sz w:val="24"/>
        </w:rPr>
        <w:t xml:space="preserve"> greater and more important</w:t>
      </w:r>
      <w:r w:rsidR="00CB26A5">
        <w:rPr>
          <w:rStyle w:val="FootnoteReference"/>
          <w:sz w:val="24"/>
        </w:rPr>
        <w:footnoteReference w:id="53"/>
      </w:r>
      <w:r w:rsidR="00CB26A5">
        <w:rPr>
          <w:sz w:val="24"/>
        </w:rPr>
        <w:t>.</w:t>
      </w:r>
    </w:p>
    <w:p w:rsidR="00C545CF" w:rsidRDefault="00C545CF" w:rsidP="00045EAB">
      <w:pPr>
        <w:rPr>
          <w:b/>
          <w:color w:val="7F7F7F" w:themeColor="text1" w:themeTint="80"/>
          <w:sz w:val="32"/>
          <w:u w:val="single"/>
        </w:rPr>
      </w:pPr>
      <w:r w:rsidRPr="00C545CF">
        <w:rPr>
          <w:b/>
          <w:color w:val="7F7F7F" w:themeColor="text1" w:themeTint="80"/>
          <w:sz w:val="32"/>
          <w:u w:val="single"/>
        </w:rPr>
        <w:t>Fantastical Elements of India</w:t>
      </w:r>
    </w:p>
    <w:p w:rsidR="00C545CF" w:rsidRDefault="00C545CF" w:rsidP="00045EAB">
      <w:pPr>
        <w:rPr>
          <w:sz w:val="24"/>
        </w:rPr>
      </w:pPr>
      <w:r>
        <w:rPr>
          <w:sz w:val="24"/>
        </w:rPr>
        <w:t>Anderson tells us that there are many opportunities presented by India for “an educated writer [to employ] artistic mixtures of truth and falsehood”</w:t>
      </w:r>
      <w:r>
        <w:rPr>
          <w:rStyle w:val="FootnoteReference"/>
          <w:sz w:val="24"/>
        </w:rPr>
        <w:footnoteReference w:id="54"/>
      </w:r>
      <w:r>
        <w:rPr>
          <w:sz w:val="24"/>
        </w:rPr>
        <w:t xml:space="preserve">. The </w:t>
      </w:r>
      <w:r w:rsidR="00AE4410">
        <w:rPr>
          <w:sz w:val="24"/>
        </w:rPr>
        <w:t>literary history of classical contact with India presents a variety of inaccuracies, as they are often “out of date… [and] prone to misunderstanding or falsehood”</w:t>
      </w:r>
      <w:r w:rsidR="00AE4410">
        <w:rPr>
          <w:rStyle w:val="FootnoteReference"/>
          <w:sz w:val="24"/>
        </w:rPr>
        <w:footnoteReference w:id="55"/>
      </w:r>
      <w:r w:rsidR="00AE4410">
        <w:rPr>
          <w:sz w:val="24"/>
        </w:rPr>
        <w:t>.</w:t>
      </w:r>
      <w:r w:rsidR="00BE3499">
        <w:rPr>
          <w:sz w:val="24"/>
        </w:rPr>
        <w:t xml:space="preserve"> Anderson explicitly states that “the temptation to take advantage of distance to add falsehood to falsehood was always there”</w:t>
      </w:r>
      <w:r w:rsidR="00BE3499">
        <w:rPr>
          <w:rStyle w:val="FootnoteReference"/>
          <w:sz w:val="24"/>
        </w:rPr>
        <w:footnoteReference w:id="56"/>
      </w:r>
      <w:r w:rsidR="00BE3499">
        <w:rPr>
          <w:sz w:val="24"/>
        </w:rPr>
        <w:t>.</w:t>
      </w:r>
      <w:r w:rsidR="002578FC">
        <w:rPr>
          <w:sz w:val="24"/>
        </w:rPr>
        <w:t xml:space="preserve"> It seems, however, that Philostratus managed largely to </w:t>
      </w:r>
      <w:r w:rsidR="002578FC">
        <w:rPr>
          <w:sz w:val="24"/>
        </w:rPr>
        <w:lastRenderedPageBreak/>
        <w:t>avoid this pitfall. Apparently, despite any other misleading statements and errors, “even Philostratus draws the line at the Indians’ discussion on their native wonders”</w:t>
      </w:r>
      <w:r w:rsidR="002578FC">
        <w:rPr>
          <w:rStyle w:val="FootnoteReference"/>
          <w:sz w:val="24"/>
        </w:rPr>
        <w:footnoteReference w:id="57"/>
      </w:r>
      <w:r w:rsidR="002578FC">
        <w:rPr>
          <w:sz w:val="24"/>
        </w:rPr>
        <w:t>.</w:t>
      </w:r>
      <w:r w:rsidR="00FF7191">
        <w:rPr>
          <w:sz w:val="24"/>
        </w:rPr>
        <w:t xml:space="preserve"> This at first grants Philostratus’ work a measure of credibility, as he has not needed to rely on fantastical elements.</w:t>
      </w:r>
      <w:r w:rsidR="00FF7191">
        <w:rPr>
          <w:rStyle w:val="FootnoteReference"/>
          <w:sz w:val="24"/>
        </w:rPr>
        <w:footnoteReference w:id="58"/>
      </w:r>
      <w:r w:rsidR="00FF7191">
        <w:rPr>
          <w:sz w:val="24"/>
        </w:rPr>
        <w:t xml:space="preserve"> However, later this credibility is undermined by confirming the existence of both griffons</w:t>
      </w:r>
      <w:r w:rsidR="00FF7191">
        <w:rPr>
          <w:rStyle w:val="FootnoteReference"/>
          <w:sz w:val="24"/>
        </w:rPr>
        <w:footnoteReference w:id="59"/>
      </w:r>
      <w:r w:rsidR="00FF7191">
        <w:rPr>
          <w:sz w:val="24"/>
        </w:rPr>
        <w:t xml:space="preserve"> and the phoenix</w:t>
      </w:r>
      <w:r w:rsidR="00FF7191">
        <w:rPr>
          <w:rStyle w:val="FootnoteReference"/>
          <w:sz w:val="24"/>
        </w:rPr>
        <w:footnoteReference w:id="60"/>
      </w:r>
      <w:r w:rsidR="00FF7191">
        <w:rPr>
          <w:sz w:val="24"/>
        </w:rPr>
        <w:t>. Anderson suggests that their inclusion is not due to Philostratus believing in their existence, but in the fact they these two particularly are firmly entrenched in the “traditional picture of India”</w:t>
      </w:r>
      <w:r w:rsidR="00FF7191">
        <w:rPr>
          <w:rStyle w:val="FootnoteReference"/>
          <w:sz w:val="24"/>
        </w:rPr>
        <w:footnoteReference w:id="61"/>
      </w:r>
      <w:r w:rsidR="00FF7191">
        <w:rPr>
          <w:sz w:val="24"/>
        </w:rPr>
        <w:t xml:space="preserve"> and cannot be dislodged.</w:t>
      </w:r>
      <w:r w:rsidR="00030673">
        <w:rPr>
          <w:sz w:val="24"/>
        </w:rPr>
        <w:t xml:space="preserve"> This could be intended to appeal to Philostratus’ readers, as they are expecting to read about fantastical beasts such as these, and are more likely to discount any account that claims they are invented.</w:t>
      </w:r>
    </w:p>
    <w:p w:rsidR="00640FB2" w:rsidRDefault="00640FB2" w:rsidP="00045EAB">
      <w:pPr>
        <w:rPr>
          <w:sz w:val="24"/>
        </w:rPr>
      </w:pPr>
    </w:p>
    <w:p w:rsidR="006C6A42" w:rsidRDefault="008965D6" w:rsidP="00045EAB">
      <w:pPr>
        <w:rPr>
          <w:sz w:val="24"/>
        </w:rPr>
      </w:pPr>
      <w:r>
        <w:rPr>
          <w:sz w:val="24"/>
        </w:rPr>
        <w:t xml:space="preserve">In summary, whether you believe that Philostratus intended </w:t>
      </w:r>
      <w:r>
        <w:rPr>
          <w:i/>
          <w:sz w:val="24"/>
        </w:rPr>
        <w:t>VA</w:t>
      </w:r>
      <w:r>
        <w:rPr>
          <w:sz w:val="24"/>
        </w:rPr>
        <w:t xml:space="preserve"> to be historically accurate or a work of fiction, there are many examples to be found in books II and III to support either view. Apollonius’ encounters with the King of </w:t>
      </w:r>
      <w:r w:rsidR="006927C7">
        <w:rPr>
          <w:sz w:val="24"/>
        </w:rPr>
        <w:t>Taxila</w:t>
      </w:r>
      <w:r>
        <w:rPr>
          <w:sz w:val="24"/>
        </w:rPr>
        <w:t xml:space="preserve"> and the Brahman sages portray India as a civilised and just land, where great wisdom can be found that even Apollonius, the greatest of the Hellenic philosophers learns from them. Philostratus’ underlying message that India is superior seems to appear clearly in many different places, and shows that the Hellenes still have much that they can learn.</w:t>
      </w:r>
    </w:p>
    <w:p w:rsidR="006C6A42" w:rsidRDefault="006C6A42">
      <w:pPr>
        <w:rPr>
          <w:sz w:val="24"/>
        </w:rPr>
      </w:pPr>
      <w:r>
        <w:rPr>
          <w:sz w:val="24"/>
        </w:rPr>
        <w:br w:type="page"/>
      </w:r>
    </w:p>
    <w:p w:rsidR="00640FB2" w:rsidRDefault="006C6A42" w:rsidP="006C6A42">
      <w:pPr>
        <w:jc w:val="center"/>
        <w:rPr>
          <w:b/>
          <w:sz w:val="40"/>
          <w:u w:val="single"/>
        </w:rPr>
      </w:pPr>
      <w:r>
        <w:rPr>
          <w:b/>
          <w:sz w:val="40"/>
          <w:u w:val="single"/>
        </w:rPr>
        <w:lastRenderedPageBreak/>
        <w:t>Bibliography</w:t>
      </w:r>
    </w:p>
    <w:p w:rsidR="005F7754" w:rsidRDefault="005F7754" w:rsidP="005F7754">
      <w:pPr>
        <w:rPr>
          <w:sz w:val="32"/>
        </w:rPr>
      </w:pPr>
      <w:r>
        <w:rPr>
          <w:sz w:val="32"/>
        </w:rPr>
        <w:t>•Anderson, G. 1986.</w:t>
      </w:r>
      <w:r>
        <w:rPr>
          <w:i/>
          <w:sz w:val="32"/>
        </w:rPr>
        <w:t xml:space="preserve"> Philostratus.</w:t>
      </w:r>
      <w:r>
        <w:rPr>
          <w:sz w:val="32"/>
        </w:rPr>
        <w:t xml:space="preserve"> Kent: Croom Helm Ltd.</w:t>
      </w:r>
    </w:p>
    <w:p w:rsidR="005F7754" w:rsidRDefault="005F7754" w:rsidP="005F7754">
      <w:pPr>
        <w:rPr>
          <w:sz w:val="32"/>
        </w:rPr>
      </w:pPr>
      <w:r>
        <w:rPr>
          <w:sz w:val="32"/>
        </w:rPr>
        <w:t xml:space="preserve">•Bowie, E.L. 1978. ‘Apollonius of Tyana: Tradition and Reality’, </w:t>
      </w:r>
      <w:r>
        <w:rPr>
          <w:i/>
          <w:sz w:val="32"/>
        </w:rPr>
        <w:t>ANRW</w:t>
      </w:r>
      <w:r>
        <w:rPr>
          <w:sz w:val="32"/>
        </w:rPr>
        <w:t xml:space="preserve"> II 16.2, 1652-1699.</w:t>
      </w:r>
    </w:p>
    <w:p w:rsidR="005F7754" w:rsidRDefault="005F7754" w:rsidP="005F7754">
      <w:pPr>
        <w:rPr>
          <w:sz w:val="32"/>
        </w:rPr>
      </w:pPr>
      <w:r>
        <w:rPr>
          <w:sz w:val="32"/>
        </w:rPr>
        <w:t xml:space="preserve">•Francis, J.A. 1998. ‘Truthful Fiction: New Questions to Old Answers on Philostratus’ Life of Apollonius, </w:t>
      </w:r>
      <w:r>
        <w:rPr>
          <w:i/>
          <w:sz w:val="32"/>
        </w:rPr>
        <w:t>American Journal of Philology</w:t>
      </w:r>
      <w:r>
        <w:rPr>
          <w:sz w:val="32"/>
        </w:rPr>
        <w:t xml:space="preserve"> 119, 419-441.</w:t>
      </w:r>
    </w:p>
    <w:p w:rsidR="005F7754" w:rsidRDefault="005F7754" w:rsidP="005F7754">
      <w:pPr>
        <w:rPr>
          <w:sz w:val="32"/>
        </w:rPr>
      </w:pPr>
      <w:r>
        <w:rPr>
          <w:sz w:val="32"/>
        </w:rPr>
        <w:t xml:space="preserve">•Kemezis, A.M. 2014. </w:t>
      </w:r>
      <w:r>
        <w:rPr>
          <w:i/>
          <w:sz w:val="32"/>
        </w:rPr>
        <w:t xml:space="preserve">Greek Narratives of the Roman Empire </w:t>
      </w:r>
      <w:proofErr w:type="gramStart"/>
      <w:r>
        <w:rPr>
          <w:i/>
          <w:sz w:val="32"/>
        </w:rPr>
        <w:t>Under</w:t>
      </w:r>
      <w:proofErr w:type="gramEnd"/>
      <w:r>
        <w:rPr>
          <w:i/>
          <w:sz w:val="32"/>
        </w:rPr>
        <w:t xml:space="preserve"> the Severans: Cassius Dio, Philostratus and Herodian. </w:t>
      </w:r>
      <w:r>
        <w:rPr>
          <w:sz w:val="32"/>
        </w:rPr>
        <w:t>Cambridge: Cambridge University Press.</w:t>
      </w:r>
    </w:p>
    <w:p w:rsidR="005F7754" w:rsidRDefault="005F7754" w:rsidP="005F7754">
      <w:pPr>
        <w:rPr>
          <w:sz w:val="32"/>
        </w:rPr>
      </w:pPr>
      <w:r>
        <w:rPr>
          <w:sz w:val="32"/>
        </w:rPr>
        <w:t xml:space="preserve">•Penella, R.J. 1979. ‘Philostratus’ Letter to Julia Domna’, </w:t>
      </w:r>
      <w:r>
        <w:rPr>
          <w:i/>
          <w:sz w:val="32"/>
        </w:rPr>
        <w:t>Hermes</w:t>
      </w:r>
      <w:r>
        <w:rPr>
          <w:sz w:val="32"/>
        </w:rPr>
        <w:t xml:space="preserve"> 107, 161-168.</w:t>
      </w:r>
    </w:p>
    <w:p w:rsidR="006C6A42" w:rsidRDefault="006C6A42" w:rsidP="006C6A42">
      <w:pPr>
        <w:rPr>
          <w:sz w:val="32"/>
        </w:rPr>
      </w:pPr>
      <w:r>
        <w:rPr>
          <w:sz w:val="32"/>
        </w:rPr>
        <w:t>•</w:t>
      </w:r>
      <w:r w:rsidR="00D96D05">
        <w:rPr>
          <w:sz w:val="32"/>
        </w:rPr>
        <w:t xml:space="preserve">Philostratus, </w:t>
      </w:r>
      <w:r w:rsidR="00D96D05">
        <w:rPr>
          <w:i/>
          <w:sz w:val="32"/>
        </w:rPr>
        <w:t>Life of Apollonius of Tyana</w:t>
      </w:r>
      <w:r w:rsidR="00D96D05">
        <w:rPr>
          <w:sz w:val="32"/>
        </w:rPr>
        <w:t>. F.C. Conybeare (</w:t>
      </w:r>
      <w:r w:rsidR="00DD2AE8">
        <w:rPr>
          <w:sz w:val="32"/>
        </w:rPr>
        <w:t>Trans</w:t>
      </w:r>
      <w:r w:rsidR="00D96D05">
        <w:rPr>
          <w:sz w:val="32"/>
        </w:rPr>
        <w:t>.). 1912</w:t>
      </w:r>
      <w:r w:rsidR="00DD2AE8">
        <w:rPr>
          <w:sz w:val="32"/>
        </w:rPr>
        <w:t>. Massachusetts: Harvard University Press.</w:t>
      </w:r>
    </w:p>
    <w:p w:rsidR="005F7754" w:rsidRDefault="005F7754" w:rsidP="005F7754">
      <w:pPr>
        <w:rPr>
          <w:sz w:val="32"/>
        </w:rPr>
      </w:pPr>
      <w:r>
        <w:rPr>
          <w:sz w:val="32"/>
        </w:rPr>
        <w:t xml:space="preserve">•Platt, V. 2012. </w:t>
      </w:r>
      <w:r>
        <w:rPr>
          <w:i/>
          <w:sz w:val="32"/>
        </w:rPr>
        <w:t>Facing the Gods: Epiphany and Representation in Graeco-Roman Art, Literature and Religion.</w:t>
      </w:r>
      <w:r>
        <w:rPr>
          <w:sz w:val="32"/>
        </w:rPr>
        <w:t xml:space="preserve"> Cambridge: Cambridge University Press.</w:t>
      </w:r>
    </w:p>
    <w:p w:rsidR="00DD2AE8" w:rsidRDefault="00DD2AE8" w:rsidP="006C6A42">
      <w:pPr>
        <w:rPr>
          <w:sz w:val="32"/>
        </w:rPr>
      </w:pPr>
      <w:r>
        <w:rPr>
          <w:sz w:val="32"/>
        </w:rPr>
        <w:t xml:space="preserve">•Whitmarsh, T. 2004a. </w:t>
      </w:r>
      <w:r>
        <w:rPr>
          <w:i/>
          <w:sz w:val="32"/>
        </w:rPr>
        <w:t>Greek Literature and the Roman Empire: The Politics of Imitation.</w:t>
      </w:r>
      <w:r>
        <w:rPr>
          <w:sz w:val="32"/>
        </w:rPr>
        <w:t xml:space="preserve"> Oxford: Oxford University Press.</w:t>
      </w:r>
    </w:p>
    <w:p w:rsidR="005F7754" w:rsidRPr="00492B76" w:rsidRDefault="005F7754" w:rsidP="005F7754">
      <w:pPr>
        <w:rPr>
          <w:sz w:val="32"/>
        </w:rPr>
      </w:pPr>
      <w:r>
        <w:rPr>
          <w:sz w:val="32"/>
        </w:rPr>
        <w:t xml:space="preserve">•Whitmarsh, T.J.G. 2004b.’Philostratus’, in I.J.F. Jong and R. Nünlist (eds.), </w:t>
      </w:r>
      <w:r>
        <w:rPr>
          <w:i/>
          <w:sz w:val="32"/>
        </w:rPr>
        <w:t xml:space="preserve">Narrators, </w:t>
      </w:r>
      <w:proofErr w:type="spellStart"/>
      <w:r>
        <w:rPr>
          <w:i/>
          <w:sz w:val="32"/>
        </w:rPr>
        <w:t>Narratees</w:t>
      </w:r>
      <w:proofErr w:type="spellEnd"/>
      <w:r>
        <w:rPr>
          <w:i/>
          <w:sz w:val="32"/>
        </w:rPr>
        <w:t xml:space="preserve">, and Narratives in Ancient Greek Literature. </w:t>
      </w:r>
      <w:r>
        <w:rPr>
          <w:sz w:val="32"/>
        </w:rPr>
        <w:t>Leiden: Brill, 423-440.</w:t>
      </w:r>
    </w:p>
    <w:p w:rsidR="006D01A4" w:rsidRDefault="006D01A4" w:rsidP="006C6A42">
      <w:pPr>
        <w:rPr>
          <w:sz w:val="32"/>
        </w:rPr>
      </w:pPr>
      <w:r>
        <w:rPr>
          <w:sz w:val="32"/>
        </w:rPr>
        <w:t xml:space="preserve">•Whitmarsh, T.J.G. 2007. ‘Philostratus’, in I.J.F. Jong and R. Nünlist (eds.), </w:t>
      </w:r>
      <w:r>
        <w:rPr>
          <w:i/>
          <w:sz w:val="32"/>
        </w:rPr>
        <w:t xml:space="preserve">Time in Ancient Greek Literature. </w:t>
      </w:r>
      <w:r w:rsidR="00C220F0">
        <w:rPr>
          <w:sz w:val="32"/>
        </w:rPr>
        <w:t>Leiden: Brill, 413-430.</w:t>
      </w:r>
      <w:bookmarkStart w:id="0" w:name="_GoBack"/>
      <w:bookmarkEnd w:id="0"/>
    </w:p>
    <w:sectPr w:rsidR="006D01A4" w:rsidSect="009D5900">
      <w:headerReference w:type="default" r:id="rId7"/>
      <w:pgSz w:w="11906" w:h="16838"/>
      <w:pgMar w:top="1440" w:right="849" w:bottom="1440" w:left="709"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24A28" w:rsidRDefault="00224A28" w:rsidP="00C3634C">
      <w:pPr>
        <w:spacing w:after="0" w:line="240" w:lineRule="auto"/>
      </w:pPr>
      <w:r>
        <w:separator/>
      </w:r>
    </w:p>
  </w:endnote>
  <w:endnote w:type="continuationSeparator" w:id="0">
    <w:p w:rsidR="00224A28" w:rsidRDefault="00224A28" w:rsidP="00C36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PMingLiU">
    <w:altName w:val="新細明體"/>
    <w:panose1 w:val="02010601000101010101"/>
    <w:charset w:val="88"/>
    <w:family w:val="auto"/>
    <w:notTrueType/>
    <w:pitch w:val="variable"/>
    <w:sig w:usb0="00000001" w:usb1="08080000" w:usb2="00000010" w:usb3="00000000" w:csb0="001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24A28" w:rsidRDefault="00224A28" w:rsidP="00C3634C">
      <w:pPr>
        <w:spacing w:after="0" w:line="240" w:lineRule="auto"/>
      </w:pPr>
      <w:r>
        <w:separator/>
      </w:r>
    </w:p>
  </w:footnote>
  <w:footnote w:type="continuationSeparator" w:id="0">
    <w:p w:rsidR="00224A28" w:rsidRDefault="00224A28" w:rsidP="00C3634C">
      <w:pPr>
        <w:spacing w:after="0" w:line="240" w:lineRule="auto"/>
      </w:pPr>
      <w:r>
        <w:continuationSeparator/>
      </w:r>
    </w:p>
  </w:footnote>
  <w:footnote w:id="1">
    <w:p w:rsidR="002E05BE" w:rsidRDefault="002E05BE">
      <w:pPr>
        <w:pStyle w:val="FootnoteText"/>
      </w:pPr>
      <w:r>
        <w:rPr>
          <w:rStyle w:val="FootnoteReference"/>
        </w:rPr>
        <w:footnoteRef/>
      </w:r>
      <w:r>
        <w:t xml:space="preserve"> Kemezis 2014: 158</w:t>
      </w:r>
    </w:p>
  </w:footnote>
  <w:footnote w:id="2">
    <w:p w:rsidR="00C3634C" w:rsidRPr="005F1B2A" w:rsidRDefault="00C3634C">
      <w:pPr>
        <w:pStyle w:val="FootnoteText"/>
      </w:pPr>
      <w:r>
        <w:rPr>
          <w:rStyle w:val="FootnoteReference"/>
        </w:rPr>
        <w:footnoteRef/>
      </w:r>
      <w:r>
        <w:t xml:space="preserve"> Penella 1979:</w:t>
      </w:r>
      <w:r w:rsidR="00756A40">
        <w:t xml:space="preserve"> </w:t>
      </w:r>
      <w:r>
        <w:t>161</w:t>
      </w:r>
      <w:r w:rsidR="005F1B2A">
        <w:t xml:space="preserve">; </w:t>
      </w:r>
      <w:r w:rsidR="006C6A42">
        <w:t xml:space="preserve">Philostr. </w:t>
      </w:r>
      <w:r w:rsidR="005F1B2A">
        <w:rPr>
          <w:i/>
        </w:rPr>
        <w:t>VA</w:t>
      </w:r>
      <w:r w:rsidR="005F1B2A">
        <w:t xml:space="preserve"> </w:t>
      </w:r>
      <w:r w:rsidR="006C6A42">
        <w:t>I</w:t>
      </w:r>
      <w:r w:rsidR="005F1B2A">
        <w:t>.3</w:t>
      </w:r>
    </w:p>
  </w:footnote>
  <w:footnote w:id="3">
    <w:p w:rsidR="00C3634C" w:rsidRDefault="00C3634C">
      <w:pPr>
        <w:pStyle w:val="FootnoteText"/>
      </w:pPr>
      <w:r>
        <w:rPr>
          <w:rStyle w:val="FootnoteReference"/>
        </w:rPr>
        <w:footnoteRef/>
      </w:r>
      <w:r>
        <w:t xml:space="preserve"> Penella 1979:</w:t>
      </w:r>
      <w:r w:rsidR="00756A40">
        <w:t xml:space="preserve"> </w:t>
      </w:r>
      <w:r>
        <w:t>161</w:t>
      </w:r>
    </w:p>
  </w:footnote>
  <w:footnote w:id="4">
    <w:p w:rsidR="00A144C1" w:rsidRDefault="00A144C1">
      <w:pPr>
        <w:pStyle w:val="FootnoteText"/>
      </w:pPr>
      <w:r>
        <w:rPr>
          <w:rStyle w:val="FootnoteReference"/>
        </w:rPr>
        <w:footnoteRef/>
      </w:r>
      <w:r>
        <w:t xml:space="preserve"> Anderson 1986: 5; Whitmarsh 2004a: 226</w:t>
      </w:r>
    </w:p>
  </w:footnote>
  <w:footnote w:id="5">
    <w:p w:rsidR="00A144C1" w:rsidRDefault="00A144C1">
      <w:pPr>
        <w:pStyle w:val="FootnoteText"/>
      </w:pPr>
      <w:r>
        <w:rPr>
          <w:rStyle w:val="FootnoteReference"/>
        </w:rPr>
        <w:footnoteRef/>
      </w:r>
      <w:r>
        <w:t xml:space="preserve"> Kemezis 2014: 162; Whitmarsh 2004a: 226</w:t>
      </w:r>
    </w:p>
  </w:footnote>
  <w:footnote w:id="6">
    <w:p w:rsidR="005F3484" w:rsidRDefault="005F3484">
      <w:pPr>
        <w:pStyle w:val="FootnoteText"/>
      </w:pPr>
      <w:r>
        <w:rPr>
          <w:rStyle w:val="FootnoteReference"/>
        </w:rPr>
        <w:footnoteRef/>
      </w:r>
      <w:r>
        <w:t xml:space="preserve"> Bowie 1978: 1668</w:t>
      </w:r>
    </w:p>
  </w:footnote>
  <w:footnote w:id="7">
    <w:p w:rsidR="00B11059" w:rsidRDefault="00B11059" w:rsidP="00B11059">
      <w:pPr>
        <w:pStyle w:val="FootnoteText"/>
      </w:pPr>
      <w:r>
        <w:rPr>
          <w:rStyle w:val="FootnoteReference"/>
        </w:rPr>
        <w:footnoteRef/>
      </w:r>
      <w:r>
        <w:t xml:space="preserve"> Whitmarsh 2007: 419-20</w:t>
      </w:r>
    </w:p>
  </w:footnote>
  <w:footnote w:id="8">
    <w:p w:rsidR="00263880" w:rsidRDefault="00263880">
      <w:pPr>
        <w:pStyle w:val="FootnoteText"/>
      </w:pPr>
      <w:r>
        <w:rPr>
          <w:rStyle w:val="FootnoteReference"/>
        </w:rPr>
        <w:footnoteRef/>
      </w:r>
      <w:r>
        <w:t xml:space="preserve"> Whitmarsh 2004b: 428</w:t>
      </w:r>
    </w:p>
  </w:footnote>
  <w:footnote w:id="9">
    <w:p w:rsidR="00263880" w:rsidRDefault="00263880">
      <w:pPr>
        <w:pStyle w:val="FootnoteText"/>
      </w:pPr>
      <w:r>
        <w:rPr>
          <w:rStyle w:val="FootnoteReference"/>
        </w:rPr>
        <w:footnoteRef/>
      </w:r>
      <w:r>
        <w:t xml:space="preserve"> Whitmarsh 2004b: 423</w:t>
      </w:r>
    </w:p>
  </w:footnote>
  <w:footnote w:id="10">
    <w:p w:rsidR="00B11059" w:rsidRDefault="00B11059" w:rsidP="00B11059">
      <w:pPr>
        <w:pStyle w:val="FootnoteText"/>
      </w:pPr>
      <w:r>
        <w:rPr>
          <w:rStyle w:val="FootnoteReference"/>
        </w:rPr>
        <w:footnoteRef/>
      </w:r>
      <w:r>
        <w:t xml:space="preserve"> Platt 2012: 295</w:t>
      </w:r>
    </w:p>
  </w:footnote>
  <w:footnote w:id="11">
    <w:p w:rsidR="002C5629" w:rsidRDefault="002C5629">
      <w:pPr>
        <w:pStyle w:val="FootnoteText"/>
      </w:pPr>
      <w:r>
        <w:rPr>
          <w:rStyle w:val="FootnoteReference"/>
        </w:rPr>
        <w:footnoteRef/>
      </w:r>
      <w:r>
        <w:t>Francis 1998: 420</w:t>
      </w:r>
    </w:p>
  </w:footnote>
  <w:footnote w:id="12">
    <w:p w:rsidR="002C5629" w:rsidRDefault="002C5629">
      <w:pPr>
        <w:pStyle w:val="FootnoteText"/>
      </w:pPr>
      <w:r>
        <w:rPr>
          <w:rStyle w:val="FootnoteReference"/>
        </w:rPr>
        <w:footnoteRef/>
      </w:r>
      <w:r>
        <w:t xml:space="preserve"> Francis 1998: 420</w:t>
      </w:r>
    </w:p>
  </w:footnote>
  <w:footnote w:id="13">
    <w:p w:rsidR="002C5629" w:rsidRDefault="002C5629">
      <w:pPr>
        <w:pStyle w:val="FootnoteText"/>
      </w:pPr>
      <w:r>
        <w:rPr>
          <w:rStyle w:val="FootnoteReference"/>
        </w:rPr>
        <w:footnoteRef/>
      </w:r>
      <w:r>
        <w:t xml:space="preserve"> Whitmarsh 2007: 414</w:t>
      </w:r>
    </w:p>
  </w:footnote>
  <w:footnote w:id="14">
    <w:p w:rsidR="002C5629" w:rsidRDefault="002C5629">
      <w:pPr>
        <w:pStyle w:val="FootnoteText"/>
      </w:pPr>
      <w:r>
        <w:rPr>
          <w:rStyle w:val="FootnoteReference"/>
        </w:rPr>
        <w:footnoteRef/>
      </w:r>
      <w:r>
        <w:t xml:space="preserve"> Anderson 1986: 227</w:t>
      </w:r>
    </w:p>
  </w:footnote>
  <w:footnote w:id="15">
    <w:p w:rsidR="00FD23B0" w:rsidRDefault="00FD23B0">
      <w:pPr>
        <w:pStyle w:val="FootnoteText"/>
      </w:pPr>
      <w:r>
        <w:rPr>
          <w:rStyle w:val="FootnoteReference"/>
        </w:rPr>
        <w:footnoteRef/>
      </w:r>
      <w:r>
        <w:t xml:space="preserve"> Anderson 1986: 137</w:t>
      </w:r>
    </w:p>
  </w:footnote>
  <w:footnote w:id="16">
    <w:p w:rsidR="00FD23B0" w:rsidRDefault="00FD23B0">
      <w:pPr>
        <w:pStyle w:val="FootnoteText"/>
      </w:pPr>
      <w:r>
        <w:rPr>
          <w:rStyle w:val="FootnoteReference"/>
        </w:rPr>
        <w:footnoteRef/>
      </w:r>
      <w:r>
        <w:t xml:space="preserve"> Anderson 1986: 137</w:t>
      </w:r>
    </w:p>
  </w:footnote>
  <w:footnote w:id="17">
    <w:p w:rsidR="006703F5" w:rsidRDefault="006703F5" w:rsidP="006703F5">
      <w:pPr>
        <w:pStyle w:val="FootnoteText"/>
      </w:pPr>
      <w:r>
        <w:rPr>
          <w:rStyle w:val="FootnoteReference"/>
        </w:rPr>
        <w:footnoteRef/>
      </w:r>
      <w:r>
        <w:t xml:space="preserve"> Kemezis 2014: 162</w:t>
      </w:r>
    </w:p>
  </w:footnote>
  <w:footnote w:id="18">
    <w:p w:rsidR="00572B67" w:rsidRDefault="00572B67">
      <w:pPr>
        <w:pStyle w:val="FootnoteText"/>
      </w:pPr>
      <w:r>
        <w:rPr>
          <w:rStyle w:val="FootnoteReference"/>
        </w:rPr>
        <w:footnoteRef/>
      </w:r>
      <w:r>
        <w:t xml:space="preserve"> Francis 1998: 420</w:t>
      </w:r>
    </w:p>
  </w:footnote>
  <w:footnote w:id="19">
    <w:p w:rsidR="00572B67" w:rsidRDefault="00572B67">
      <w:pPr>
        <w:pStyle w:val="FootnoteText"/>
      </w:pPr>
      <w:r>
        <w:rPr>
          <w:rStyle w:val="FootnoteReference"/>
        </w:rPr>
        <w:footnoteRef/>
      </w:r>
      <w:r>
        <w:t xml:space="preserve"> Francis 1998: 425</w:t>
      </w:r>
    </w:p>
  </w:footnote>
  <w:footnote w:id="20">
    <w:p w:rsidR="00572B67" w:rsidRDefault="00572B67">
      <w:pPr>
        <w:pStyle w:val="FootnoteText"/>
      </w:pPr>
      <w:r>
        <w:rPr>
          <w:rStyle w:val="FootnoteReference"/>
        </w:rPr>
        <w:footnoteRef/>
      </w:r>
      <w:r>
        <w:t xml:space="preserve"> Francis 1998: 425</w:t>
      </w:r>
    </w:p>
  </w:footnote>
  <w:footnote w:id="21">
    <w:p w:rsidR="000A5EFD" w:rsidRDefault="000A5EFD">
      <w:pPr>
        <w:pStyle w:val="FootnoteText"/>
      </w:pPr>
      <w:r>
        <w:rPr>
          <w:rStyle w:val="FootnoteReference"/>
        </w:rPr>
        <w:footnoteRef/>
      </w:r>
      <w:r>
        <w:t xml:space="preserve"> Anderson 1986: 219</w:t>
      </w:r>
    </w:p>
  </w:footnote>
  <w:footnote w:id="22">
    <w:p w:rsidR="00D90319" w:rsidRPr="00D90319" w:rsidRDefault="00D90319">
      <w:pPr>
        <w:pStyle w:val="FootnoteText"/>
      </w:pPr>
      <w:r>
        <w:rPr>
          <w:rStyle w:val="FootnoteReference"/>
        </w:rPr>
        <w:footnoteRef/>
      </w:r>
      <w:r>
        <w:t xml:space="preserve"> </w:t>
      </w:r>
      <w:r w:rsidR="006C6A42">
        <w:t xml:space="preserve">Philostr. </w:t>
      </w:r>
      <w:r>
        <w:rPr>
          <w:i/>
        </w:rPr>
        <w:t xml:space="preserve">VA </w:t>
      </w:r>
      <w:r>
        <w:t>II.39</w:t>
      </w:r>
    </w:p>
  </w:footnote>
  <w:footnote w:id="23">
    <w:p w:rsidR="00C87D02" w:rsidRDefault="00C87D02">
      <w:pPr>
        <w:pStyle w:val="FootnoteText"/>
      </w:pPr>
      <w:r>
        <w:rPr>
          <w:rStyle w:val="FootnoteReference"/>
        </w:rPr>
        <w:footnoteRef/>
      </w:r>
      <w:r>
        <w:t xml:space="preserve"> Whitmarsh 2007: 426</w:t>
      </w:r>
    </w:p>
  </w:footnote>
  <w:footnote w:id="24">
    <w:p w:rsidR="00C87D02" w:rsidRPr="005F1B2A" w:rsidRDefault="00C87D02" w:rsidP="00C87D02">
      <w:pPr>
        <w:pStyle w:val="FootnoteText"/>
      </w:pPr>
      <w:r>
        <w:rPr>
          <w:rStyle w:val="FootnoteReference"/>
        </w:rPr>
        <w:footnoteRef/>
      </w:r>
      <w:r>
        <w:t xml:space="preserve"> Whitmarsh 2007: 426</w:t>
      </w:r>
      <w:r w:rsidR="005F1B2A">
        <w:t xml:space="preserve">; </w:t>
      </w:r>
      <w:r w:rsidR="005F1B2A">
        <w:rPr>
          <w:i/>
        </w:rPr>
        <w:t xml:space="preserve">VA </w:t>
      </w:r>
      <w:r w:rsidR="005F1B2A">
        <w:t>III.16</w:t>
      </w:r>
    </w:p>
  </w:footnote>
  <w:footnote w:id="25">
    <w:p w:rsidR="008D71D5" w:rsidRDefault="008D71D5" w:rsidP="008D71D5">
      <w:pPr>
        <w:pStyle w:val="FootnoteText"/>
      </w:pPr>
      <w:r>
        <w:rPr>
          <w:rStyle w:val="FootnoteReference"/>
        </w:rPr>
        <w:footnoteRef/>
      </w:r>
      <w:r>
        <w:t xml:space="preserve"> Whitmarsh 2007: 427</w:t>
      </w:r>
    </w:p>
  </w:footnote>
  <w:footnote w:id="26">
    <w:p w:rsidR="00E35317" w:rsidRPr="00E35317" w:rsidRDefault="00E35317">
      <w:pPr>
        <w:pStyle w:val="FootnoteText"/>
      </w:pPr>
      <w:r>
        <w:rPr>
          <w:rStyle w:val="FootnoteReference"/>
        </w:rPr>
        <w:footnoteRef/>
      </w:r>
      <w:r>
        <w:t xml:space="preserve"> </w:t>
      </w:r>
      <w:r w:rsidR="006C6A42">
        <w:t xml:space="preserve">Philostr. </w:t>
      </w:r>
      <w:r>
        <w:rPr>
          <w:i/>
        </w:rPr>
        <w:t>VA</w:t>
      </w:r>
      <w:r>
        <w:t xml:space="preserve"> III.23</w:t>
      </w:r>
    </w:p>
  </w:footnote>
  <w:footnote w:id="27">
    <w:p w:rsidR="00CA2C26" w:rsidRDefault="00CA2C26">
      <w:pPr>
        <w:pStyle w:val="FootnoteText"/>
      </w:pPr>
      <w:r>
        <w:rPr>
          <w:rStyle w:val="FootnoteReference"/>
        </w:rPr>
        <w:footnoteRef/>
      </w:r>
      <w:r>
        <w:t xml:space="preserve"> Whitmarsh 2007: 427</w:t>
      </w:r>
    </w:p>
  </w:footnote>
  <w:footnote w:id="28">
    <w:p w:rsidR="00020C54" w:rsidRDefault="00020C54" w:rsidP="00020C54">
      <w:pPr>
        <w:pStyle w:val="FootnoteText"/>
      </w:pPr>
      <w:r>
        <w:rPr>
          <w:rStyle w:val="FootnoteReference"/>
        </w:rPr>
        <w:footnoteRef/>
      </w:r>
      <w:r>
        <w:t xml:space="preserve"> Kemezis 2014: 178</w:t>
      </w:r>
    </w:p>
  </w:footnote>
  <w:footnote w:id="29">
    <w:p w:rsidR="00020C54" w:rsidRPr="00020C54" w:rsidRDefault="00020C54">
      <w:pPr>
        <w:pStyle w:val="FootnoteText"/>
      </w:pPr>
      <w:r>
        <w:rPr>
          <w:rStyle w:val="FootnoteReference"/>
        </w:rPr>
        <w:footnoteRef/>
      </w:r>
      <w:r>
        <w:t xml:space="preserve"> </w:t>
      </w:r>
      <w:r w:rsidR="006C6A42">
        <w:t xml:space="preserve">Philostr. </w:t>
      </w:r>
      <w:r>
        <w:rPr>
          <w:i/>
        </w:rPr>
        <w:t>VA</w:t>
      </w:r>
      <w:r>
        <w:t xml:space="preserve"> II.27; III.12</w:t>
      </w:r>
    </w:p>
  </w:footnote>
  <w:footnote w:id="30">
    <w:p w:rsidR="00A05FE0" w:rsidRDefault="00A05FE0">
      <w:pPr>
        <w:pStyle w:val="FootnoteText"/>
      </w:pPr>
      <w:r>
        <w:rPr>
          <w:rStyle w:val="FootnoteReference"/>
        </w:rPr>
        <w:footnoteRef/>
      </w:r>
      <w:r>
        <w:t xml:space="preserve"> Anderson 1986: 235</w:t>
      </w:r>
    </w:p>
  </w:footnote>
  <w:footnote w:id="31">
    <w:p w:rsidR="00A05FE0" w:rsidRPr="00974FD6" w:rsidRDefault="00A05FE0">
      <w:pPr>
        <w:pStyle w:val="FootnoteText"/>
      </w:pPr>
      <w:r>
        <w:rPr>
          <w:rStyle w:val="FootnoteReference"/>
        </w:rPr>
        <w:footnoteRef/>
      </w:r>
      <w:r>
        <w:t xml:space="preserve"> </w:t>
      </w:r>
      <w:r w:rsidR="006C6A42">
        <w:t>Philostr.</w:t>
      </w:r>
      <w:r w:rsidR="00974FD6">
        <w:rPr>
          <w:i/>
        </w:rPr>
        <w:t>VA</w:t>
      </w:r>
      <w:r w:rsidR="00974FD6">
        <w:t xml:space="preserve"> III.16</w:t>
      </w:r>
    </w:p>
  </w:footnote>
  <w:footnote w:id="32">
    <w:p w:rsidR="00974FD6" w:rsidRDefault="00974FD6">
      <w:pPr>
        <w:pStyle w:val="FootnoteText"/>
      </w:pPr>
      <w:r>
        <w:rPr>
          <w:rStyle w:val="FootnoteReference"/>
        </w:rPr>
        <w:footnoteRef/>
      </w:r>
      <w:r>
        <w:t xml:space="preserve"> Anderson 1986: 206</w:t>
      </w:r>
    </w:p>
  </w:footnote>
  <w:footnote w:id="33">
    <w:p w:rsidR="0088031F" w:rsidRDefault="0088031F">
      <w:pPr>
        <w:pStyle w:val="FootnoteText"/>
      </w:pPr>
      <w:r>
        <w:rPr>
          <w:rStyle w:val="FootnoteReference"/>
        </w:rPr>
        <w:footnoteRef/>
      </w:r>
      <w:r>
        <w:t xml:space="preserve"> Anderson 1986: 206</w:t>
      </w:r>
    </w:p>
  </w:footnote>
  <w:footnote w:id="34">
    <w:p w:rsidR="00B11059" w:rsidRDefault="00B11059" w:rsidP="00B11059">
      <w:pPr>
        <w:pStyle w:val="FootnoteText"/>
      </w:pPr>
      <w:r>
        <w:rPr>
          <w:rStyle w:val="FootnoteReference"/>
        </w:rPr>
        <w:footnoteRef/>
      </w:r>
      <w:r>
        <w:t xml:space="preserve"> Francis 1998: 422</w:t>
      </w:r>
    </w:p>
  </w:footnote>
  <w:footnote w:id="35">
    <w:p w:rsidR="00B11059" w:rsidRDefault="00B11059" w:rsidP="00B11059">
      <w:pPr>
        <w:pStyle w:val="FootnoteText"/>
      </w:pPr>
      <w:r>
        <w:rPr>
          <w:rStyle w:val="FootnoteReference"/>
        </w:rPr>
        <w:footnoteRef/>
      </w:r>
      <w:r>
        <w:t xml:space="preserve"> Whitmarsh 2004a: 229</w:t>
      </w:r>
    </w:p>
  </w:footnote>
  <w:footnote w:id="36">
    <w:p w:rsidR="00B11059" w:rsidRDefault="00B11059" w:rsidP="00B11059">
      <w:pPr>
        <w:pStyle w:val="FootnoteText"/>
      </w:pPr>
      <w:r>
        <w:rPr>
          <w:rStyle w:val="FootnoteReference"/>
        </w:rPr>
        <w:footnoteRef/>
      </w:r>
      <w:r>
        <w:t xml:space="preserve"> Kemezis 2014: 156</w:t>
      </w:r>
    </w:p>
  </w:footnote>
  <w:footnote w:id="37">
    <w:p w:rsidR="00C93157" w:rsidRDefault="00C93157">
      <w:pPr>
        <w:pStyle w:val="FootnoteText"/>
      </w:pPr>
      <w:r>
        <w:rPr>
          <w:rStyle w:val="FootnoteReference"/>
        </w:rPr>
        <w:footnoteRef/>
      </w:r>
      <w:r>
        <w:t xml:space="preserve"> Whitmarsh 2004b: 431</w:t>
      </w:r>
    </w:p>
  </w:footnote>
  <w:footnote w:id="38">
    <w:p w:rsidR="0099403E" w:rsidRDefault="0099403E">
      <w:pPr>
        <w:pStyle w:val="FootnoteText"/>
      </w:pPr>
      <w:r>
        <w:rPr>
          <w:rStyle w:val="FootnoteReference"/>
        </w:rPr>
        <w:footnoteRef/>
      </w:r>
      <w:r>
        <w:t xml:space="preserve"> Whitmarsh 2004b: 430-1</w:t>
      </w:r>
    </w:p>
  </w:footnote>
  <w:footnote w:id="39">
    <w:p w:rsidR="0099403E" w:rsidRDefault="0099403E">
      <w:pPr>
        <w:pStyle w:val="FootnoteText"/>
      </w:pPr>
      <w:r>
        <w:rPr>
          <w:rStyle w:val="FootnoteReference"/>
        </w:rPr>
        <w:footnoteRef/>
      </w:r>
      <w:r>
        <w:t xml:space="preserve"> Whitmarsh 2004b: 431</w:t>
      </w:r>
    </w:p>
  </w:footnote>
  <w:footnote w:id="40">
    <w:p w:rsidR="0099403E" w:rsidRDefault="0099403E">
      <w:pPr>
        <w:pStyle w:val="FootnoteText"/>
      </w:pPr>
      <w:r>
        <w:rPr>
          <w:rStyle w:val="FootnoteReference"/>
        </w:rPr>
        <w:footnoteRef/>
      </w:r>
      <w:r>
        <w:t xml:space="preserve"> Whitmarsh 2004b: 431</w:t>
      </w:r>
    </w:p>
  </w:footnote>
  <w:footnote w:id="41">
    <w:p w:rsidR="008F043B" w:rsidRDefault="008F043B">
      <w:pPr>
        <w:pStyle w:val="FootnoteText"/>
      </w:pPr>
      <w:r>
        <w:rPr>
          <w:rStyle w:val="FootnoteReference"/>
        </w:rPr>
        <w:footnoteRef/>
      </w:r>
      <w:r>
        <w:t xml:space="preserve"> Francis 1998: 434</w:t>
      </w:r>
    </w:p>
  </w:footnote>
  <w:footnote w:id="42">
    <w:p w:rsidR="00F1121F" w:rsidRDefault="00F1121F">
      <w:pPr>
        <w:pStyle w:val="FootnoteText"/>
      </w:pPr>
      <w:r>
        <w:rPr>
          <w:rStyle w:val="FootnoteReference"/>
        </w:rPr>
        <w:footnoteRef/>
      </w:r>
      <w:r>
        <w:t xml:space="preserve"> Bowie 1978: 1663</w:t>
      </w:r>
    </w:p>
  </w:footnote>
  <w:footnote w:id="43">
    <w:p w:rsidR="00D54A85" w:rsidRDefault="00D54A85">
      <w:pPr>
        <w:pStyle w:val="FootnoteText"/>
      </w:pPr>
      <w:r>
        <w:rPr>
          <w:rStyle w:val="FootnoteReference"/>
        </w:rPr>
        <w:footnoteRef/>
      </w:r>
      <w:r>
        <w:t xml:space="preserve"> Bowie 1978: 1668</w:t>
      </w:r>
    </w:p>
  </w:footnote>
  <w:footnote w:id="44">
    <w:p w:rsidR="00141F5A" w:rsidRDefault="00141F5A">
      <w:pPr>
        <w:pStyle w:val="FootnoteText"/>
      </w:pPr>
      <w:r>
        <w:rPr>
          <w:rStyle w:val="FootnoteReference"/>
        </w:rPr>
        <w:footnoteRef/>
      </w:r>
      <w:r>
        <w:t xml:space="preserve"> Bowie 1978: 1666</w:t>
      </w:r>
    </w:p>
  </w:footnote>
  <w:footnote w:id="45">
    <w:p w:rsidR="00141F5A" w:rsidRDefault="00141F5A">
      <w:pPr>
        <w:pStyle w:val="FootnoteText"/>
      </w:pPr>
      <w:r>
        <w:rPr>
          <w:rStyle w:val="FootnoteReference"/>
        </w:rPr>
        <w:footnoteRef/>
      </w:r>
      <w:r>
        <w:t xml:space="preserve"> Anderson 1986: 156</w:t>
      </w:r>
    </w:p>
  </w:footnote>
  <w:footnote w:id="46">
    <w:p w:rsidR="00141F5A" w:rsidRDefault="00141F5A">
      <w:pPr>
        <w:pStyle w:val="FootnoteText"/>
      </w:pPr>
      <w:r>
        <w:rPr>
          <w:rStyle w:val="FootnoteReference"/>
        </w:rPr>
        <w:footnoteRef/>
      </w:r>
      <w:r>
        <w:t xml:space="preserve"> Anderson 1986: 156</w:t>
      </w:r>
    </w:p>
  </w:footnote>
  <w:footnote w:id="47">
    <w:p w:rsidR="00D507BD" w:rsidRDefault="00D507BD">
      <w:pPr>
        <w:pStyle w:val="FootnoteText"/>
      </w:pPr>
      <w:r>
        <w:rPr>
          <w:rStyle w:val="FootnoteReference"/>
        </w:rPr>
        <w:footnoteRef/>
      </w:r>
      <w:r>
        <w:t xml:space="preserve"> Anderson 1986: 157</w:t>
      </w:r>
    </w:p>
  </w:footnote>
  <w:footnote w:id="48">
    <w:p w:rsidR="00D54A85" w:rsidRDefault="00D54A85">
      <w:pPr>
        <w:pStyle w:val="FootnoteText"/>
      </w:pPr>
      <w:r>
        <w:rPr>
          <w:rStyle w:val="FootnoteReference"/>
        </w:rPr>
        <w:footnoteRef/>
      </w:r>
      <w:r>
        <w:t xml:space="preserve"> Anderson 1986: 210</w:t>
      </w:r>
    </w:p>
  </w:footnote>
  <w:footnote w:id="49">
    <w:p w:rsidR="00864DFA" w:rsidRPr="00864DFA" w:rsidRDefault="00864DFA">
      <w:pPr>
        <w:pStyle w:val="FootnoteText"/>
      </w:pPr>
      <w:r>
        <w:rPr>
          <w:rStyle w:val="FootnoteReference"/>
        </w:rPr>
        <w:footnoteRef/>
      </w:r>
      <w:r>
        <w:t xml:space="preserve"> </w:t>
      </w:r>
      <w:r w:rsidR="006C6A42">
        <w:t xml:space="preserve">Philostr. </w:t>
      </w:r>
      <w:r>
        <w:rPr>
          <w:i/>
        </w:rPr>
        <w:t>VA</w:t>
      </w:r>
      <w:r>
        <w:t xml:space="preserve"> III.18</w:t>
      </w:r>
    </w:p>
  </w:footnote>
  <w:footnote w:id="50">
    <w:p w:rsidR="00864DFA" w:rsidRDefault="00864DFA">
      <w:pPr>
        <w:pStyle w:val="FootnoteText"/>
      </w:pPr>
      <w:r>
        <w:rPr>
          <w:rStyle w:val="FootnoteReference"/>
        </w:rPr>
        <w:footnoteRef/>
      </w:r>
      <w:r>
        <w:t xml:space="preserve"> Whitmarsh 2007: 428</w:t>
      </w:r>
    </w:p>
  </w:footnote>
  <w:footnote w:id="51">
    <w:p w:rsidR="00CB26A5" w:rsidRPr="00CB26A5" w:rsidRDefault="00CB26A5">
      <w:pPr>
        <w:pStyle w:val="FootnoteText"/>
      </w:pPr>
      <w:r>
        <w:rPr>
          <w:rStyle w:val="FootnoteReference"/>
        </w:rPr>
        <w:footnoteRef/>
      </w:r>
      <w:r>
        <w:t xml:space="preserve"> </w:t>
      </w:r>
      <w:r w:rsidR="006C6A42">
        <w:t xml:space="preserve">Philostr. </w:t>
      </w:r>
      <w:r>
        <w:rPr>
          <w:i/>
        </w:rPr>
        <w:t>VA</w:t>
      </w:r>
      <w:r>
        <w:t xml:space="preserve"> III.15</w:t>
      </w:r>
    </w:p>
  </w:footnote>
  <w:footnote w:id="52">
    <w:p w:rsidR="00CB26A5" w:rsidRPr="00CB26A5" w:rsidRDefault="00CB26A5">
      <w:pPr>
        <w:pStyle w:val="FootnoteText"/>
      </w:pPr>
      <w:r>
        <w:rPr>
          <w:rStyle w:val="FootnoteReference"/>
        </w:rPr>
        <w:footnoteRef/>
      </w:r>
      <w:r>
        <w:t xml:space="preserve"> </w:t>
      </w:r>
      <w:r w:rsidR="006C6A42">
        <w:t xml:space="preserve">Philostr. </w:t>
      </w:r>
      <w:r>
        <w:rPr>
          <w:i/>
        </w:rPr>
        <w:t xml:space="preserve">VA </w:t>
      </w:r>
      <w:r>
        <w:t>III.13</w:t>
      </w:r>
    </w:p>
  </w:footnote>
  <w:footnote w:id="53">
    <w:p w:rsidR="00CB26A5" w:rsidRDefault="00CB26A5">
      <w:pPr>
        <w:pStyle w:val="FootnoteText"/>
      </w:pPr>
      <w:r>
        <w:rPr>
          <w:rStyle w:val="FootnoteReference"/>
        </w:rPr>
        <w:footnoteRef/>
      </w:r>
      <w:r>
        <w:t xml:space="preserve"> Anderson 1986: 220</w:t>
      </w:r>
    </w:p>
  </w:footnote>
  <w:footnote w:id="54">
    <w:p w:rsidR="00C545CF" w:rsidRDefault="00C545CF">
      <w:pPr>
        <w:pStyle w:val="FootnoteText"/>
      </w:pPr>
      <w:r>
        <w:rPr>
          <w:rStyle w:val="FootnoteReference"/>
        </w:rPr>
        <w:footnoteRef/>
      </w:r>
      <w:r>
        <w:t xml:space="preserve"> Anderson 1986: 206</w:t>
      </w:r>
    </w:p>
  </w:footnote>
  <w:footnote w:id="55">
    <w:p w:rsidR="00AE4410" w:rsidRDefault="00AE4410">
      <w:pPr>
        <w:pStyle w:val="FootnoteText"/>
      </w:pPr>
      <w:r>
        <w:rPr>
          <w:rStyle w:val="FootnoteReference"/>
        </w:rPr>
        <w:footnoteRef/>
      </w:r>
      <w:r>
        <w:t xml:space="preserve"> Anderson 1986: 207</w:t>
      </w:r>
    </w:p>
  </w:footnote>
  <w:footnote w:id="56">
    <w:p w:rsidR="00BE3499" w:rsidRDefault="00BE3499">
      <w:pPr>
        <w:pStyle w:val="FootnoteText"/>
      </w:pPr>
      <w:r>
        <w:rPr>
          <w:rStyle w:val="FootnoteReference"/>
        </w:rPr>
        <w:footnoteRef/>
      </w:r>
      <w:r>
        <w:t xml:space="preserve"> Anderson 1986: 207</w:t>
      </w:r>
    </w:p>
  </w:footnote>
  <w:footnote w:id="57">
    <w:p w:rsidR="002578FC" w:rsidRDefault="002578FC">
      <w:pPr>
        <w:pStyle w:val="FootnoteText"/>
      </w:pPr>
      <w:r>
        <w:rPr>
          <w:rStyle w:val="FootnoteReference"/>
        </w:rPr>
        <w:footnoteRef/>
      </w:r>
      <w:r>
        <w:t xml:space="preserve"> Anderson 1986: 215</w:t>
      </w:r>
    </w:p>
  </w:footnote>
  <w:footnote w:id="58">
    <w:p w:rsidR="00FF7191" w:rsidRDefault="00FF7191">
      <w:pPr>
        <w:pStyle w:val="FootnoteText"/>
      </w:pPr>
      <w:r>
        <w:rPr>
          <w:rStyle w:val="FootnoteReference"/>
        </w:rPr>
        <w:footnoteRef/>
      </w:r>
      <w:r>
        <w:t xml:space="preserve"> Anderson 1986: 215</w:t>
      </w:r>
    </w:p>
  </w:footnote>
  <w:footnote w:id="59">
    <w:p w:rsidR="00FF7191" w:rsidRPr="00FF7191" w:rsidRDefault="00FF7191">
      <w:pPr>
        <w:pStyle w:val="FootnoteText"/>
      </w:pPr>
      <w:r>
        <w:rPr>
          <w:rStyle w:val="FootnoteReference"/>
        </w:rPr>
        <w:footnoteRef/>
      </w:r>
      <w:r>
        <w:t xml:space="preserve"> </w:t>
      </w:r>
      <w:r w:rsidR="006C6A42">
        <w:t xml:space="preserve">Philostr. </w:t>
      </w:r>
      <w:r>
        <w:rPr>
          <w:i/>
        </w:rPr>
        <w:t>VA</w:t>
      </w:r>
      <w:r>
        <w:t xml:space="preserve"> III.48</w:t>
      </w:r>
    </w:p>
  </w:footnote>
  <w:footnote w:id="60">
    <w:p w:rsidR="00FF7191" w:rsidRPr="00FF7191" w:rsidRDefault="00FF7191">
      <w:pPr>
        <w:pStyle w:val="FootnoteText"/>
      </w:pPr>
      <w:r>
        <w:rPr>
          <w:rStyle w:val="FootnoteReference"/>
        </w:rPr>
        <w:footnoteRef/>
      </w:r>
      <w:r>
        <w:t xml:space="preserve"> </w:t>
      </w:r>
      <w:r w:rsidR="006C6A42">
        <w:t xml:space="preserve">Philostr. </w:t>
      </w:r>
      <w:r>
        <w:rPr>
          <w:i/>
        </w:rPr>
        <w:t>VA</w:t>
      </w:r>
      <w:r>
        <w:t xml:space="preserve"> III.49</w:t>
      </w:r>
    </w:p>
  </w:footnote>
  <w:footnote w:id="61">
    <w:p w:rsidR="00FF7191" w:rsidRDefault="00FF7191">
      <w:pPr>
        <w:pStyle w:val="FootnoteText"/>
      </w:pPr>
      <w:r>
        <w:rPr>
          <w:rStyle w:val="FootnoteReference"/>
        </w:rPr>
        <w:footnoteRef/>
      </w:r>
      <w:r>
        <w:t xml:space="preserve"> Anderson 1986: 215</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5900" w:rsidRDefault="009D5900" w:rsidP="009D5900">
    <w:pPr>
      <w:pStyle w:val="Header"/>
      <w:tabs>
        <w:tab w:val="clear" w:pos="4513"/>
        <w:tab w:val="center" w:pos="4111"/>
      </w:tabs>
    </w:pPr>
    <w:r>
      <w:t xml:space="preserve">Vikki Hare           CLAH6007 West Meets East: At the Borders of the </w:t>
    </w:r>
    <w:r w:rsidRPr="009D5900">
      <w:rPr>
        <w:i/>
      </w:rPr>
      <w:t xml:space="preserve">Oikoumene </w:t>
    </w:r>
    <w:r>
      <w:t>and Beyond</w:t>
    </w:r>
    <w:r>
      <w:ptab w:relativeTo="margin" w:alignment="right" w:leader="none"/>
    </w:r>
    <w:r>
      <w:t>BA Ancient Civilisations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634C"/>
    <w:rsid w:val="00020C54"/>
    <w:rsid w:val="00030673"/>
    <w:rsid w:val="00045EAB"/>
    <w:rsid w:val="00072565"/>
    <w:rsid w:val="000A5EFD"/>
    <w:rsid w:val="0012041B"/>
    <w:rsid w:val="00141F5A"/>
    <w:rsid w:val="001639A5"/>
    <w:rsid w:val="001A08E6"/>
    <w:rsid w:val="00224A28"/>
    <w:rsid w:val="00237ED7"/>
    <w:rsid w:val="002578FC"/>
    <w:rsid w:val="00263880"/>
    <w:rsid w:val="002B01E6"/>
    <w:rsid w:val="002C5629"/>
    <w:rsid w:val="002E05BE"/>
    <w:rsid w:val="00321231"/>
    <w:rsid w:val="003404BB"/>
    <w:rsid w:val="00492B76"/>
    <w:rsid w:val="00501130"/>
    <w:rsid w:val="00572B67"/>
    <w:rsid w:val="005A30A0"/>
    <w:rsid w:val="005F1B2A"/>
    <w:rsid w:val="005F3484"/>
    <w:rsid w:val="005F6838"/>
    <w:rsid w:val="005F7754"/>
    <w:rsid w:val="005F7ABA"/>
    <w:rsid w:val="006053C6"/>
    <w:rsid w:val="0063336A"/>
    <w:rsid w:val="00640FB2"/>
    <w:rsid w:val="006703F5"/>
    <w:rsid w:val="006927C7"/>
    <w:rsid w:val="006C6A42"/>
    <w:rsid w:val="006D01A4"/>
    <w:rsid w:val="006F4C5B"/>
    <w:rsid w:val="00756A40"/>
    <w:rsid w:val="00787E99"/>
    <w:rsid w:val="007A6A2C"/>
    <w:rsid w:val="007F276B"/>
    <w:rsid w:val="007F439C"/>
    <w:rsid w:val="00817C6C"/>
    <w:rsid w:val="00864DFA"/>
    <w:rsid w:val="00877FA5"/>
    <w:rsid w:val="0088031F"/>
    <w:rsid w:val="008965D6"/>
    <w:rsid w:val="008B0BCC"/>
    <w:rsid w:val="008D71D5"/>
    <w:rsid w:val="008F043B"/>
    <w:rsid w:val="00945199"/>
    <w:rsid w:val="00974FD6"/>
    <w:rsid w:val="00984CFD"/>
    <w:rsid w:val="0099403E"/>
    <w:rsid w:val="009A22B6"/>
    <w:rsid w:val="009D5900"/>
    <w:rsid w:val="009E0978"/>
    <w:rsid w:val="00A05FE0"/>
    <w:rsid w:val="00A144C1"/>
    <w:rsid w:val="00A824BA"/>
    <w:rsid w:val="00AE4410"/>
    <w:rsid w:val="00B11059"/>
    <w:rsid w:val="00B41219"/>
    <w:rsid w:val="00B422DD"/>
    <w:rsid w:val="00B56EED"/>
    <w:rsid w:val="00BE3499"/>
    <w:rsid w:val="00C220F0"/>
    <w:rsid w:val="00C30828"/>
    <w:rsid w:val="00C3634C"/>
    <w:rsid w:val="00C545CF"/>
    <w:rsid w:val="00C87D02"/>
    <w:rsid w:val="00C93157"/>
    <w:rsid w:val="00CA2C26"/>
    <w:rsid w:val="00CB26A5"/>
    <w:rsid w:val="00CC4BB7"/>
    <w:rsid w:val="00CD37CF"/>
    <w:rsid w:val="00CF4EB4"/>
    <w:rsid w:val="00D507BD"/>
    <w:rsid w:val="00D54A85"/>
    <w:rsid w:val="00D85DAA"/>
    <w:rsid w:val="00D90319"/>
    <w:rsid w:val="00D96D05"/>
    <w:rsid w:val="00DB6FA2"/>
    <w:rsid w:val="00DD2AE8"/>
    <w:rsid w:val="00DF3AF3"/>
    <w:rsid w:val="00E35317"/>
    <w:rsid w:val="00E40BF6"/>
    <w:rsid w:val="00E80E61"/>
    <w:rsid w:val="00F1121F"/>
    <w:rsid w:val="00F40A1C"/>
    <w:rsid w:val="00F51E52"/>
    <w:rsid w:val="00F77A64"/>
    <w:rsid w:val="00F9500C"/>
    <w:rsid w:val="00FD23B0"/>
    <w:rsid w:val="00FE7B53"/>
    <w:rsid w:val="00FF7191"/>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0F90B9C-448F-4C45-8999-BE8923AC1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363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3634C"/>
    <w:rPr>
      <w:sz w:val="20"/>
      <w:szCs w:val="20"/>
    </w:rPr>
  </w:style>
  <w:style w:type="character" w:styleId="FootnoteReference">
    <w:name w:val="footnote reference"/>
    <w:basedOn w:val="DefaultParagraphFont"/>
    <w:uiPriority w:val="99"/>
    <w:semiHidden/>
    <w:unhideWhenUsed/>
    <w:rsid w:val="00C3634C"/>
    <w:rPr>
      <w:vertAlign w:val="superscript"/>
    </w:rPr>
  </w:style>
  <w:style w:type="paragraph" w:styleId="Header">
    <w:name w:val="header"/>
    <w:basedOn w:val="Normal"/>
    <w:link w:val="HeaderChar"/>
    <w:uiPriority w:val="99"/>
    <w:unhideWhenUsed/>
    <w:rsid w:val="009D5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900"/>
  </w:style>
  <w:style w:type="paragraph" w:styleId="Footer">
    <w:name w:val="footer"/>
    <w:basedOn w:val="Normal"/>
    <w:link w:val="FooterChar"/>
    <w:uiPriority w:val="99"/>
    <w:unhideWhenUsed/>
    <w:rsid w:val="009D5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9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6E8BE9-6027-4908-9FD6-F7A23D7B0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7</Pages>
  <Words>2244</Words>
  <Characters>12791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AAAAARRGHHH</dc:creator>
  <cp:keywords/>
  <dc:description/>
  <cp:lastModifiedBy>AAAAARRGHHH</cp:lastModifiedBy>
  <cp:revision>73</cp:revision>
  <dcterms:created xsi:type="dcterms:W3CDTF">2017-12-12T00:45:00Z</dcterms:created>
  <dcterms:modified xsi:type="dcterms:W3CDTF">2017-12-12T23:10:00Z</dcterms:modified>
</cp:coreProperties>
</file>