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773D5" w14:textId="77F8CECF" w:rsidR="00A543FB" w:rsidRDefault="00BD0571" w:rsidP="003A6443">
      <w:pPr>
        <w:pBdr>
          <w:top w:val="nil"/>
          <w:left w:val="nil"/>
          <w:bottom w:val="nil"/>
          <w:right w:val="nil"/>
          <w:between w:val="nil"/>
        </w:pBdr>
        <w:spacing w:line="360" w:lineRule="auto"/>
        <w:rPr>
          <w:rFonts w:ascii="Times New Roman" w:eastAsia="Times New Roman" w:hAnsi="Times New Roman" w:cs="Times New Roman"/>
          <w:b/>
          <w:bCs/>
          <w:color w:val="000000"/>
          <w:sz w:val="48"/>
          <w:szCs w:val="48"/>
        </w:rPr>
      </w:pPr>
      <w:r>
        <w:rPr>
          <w:rFonts w:ascii="Times New Roman" w:eastAsia="Times New Roman" w:hAnsi="Times New Roman" w:cs="Times New Roman"/>
          <w:b/>
          <w:bCs/>
          <w:noProof/>
          <w:color w:val="000000"/>
          <w:sz w:val="48"/>
          <w:szCs w:val="48"/>
        </w:rPr>
        <w:drawing>
          <wp:anchor distT="0" distB="0" distL="114300" distR="114300" simplePos="0" relativeHeight="251658240" behindDoc="0" locked="0" layoutInCell="1" allowOverlap="1" wp14:anchorId="1F22DCFA" wp14:editId="5F332C99">
            <wp:simplePos x="0" y="0"/>
            <wp:positionH relativeFrom="margin">
              <wp:posOffset>425450</wp:posOffset>
            </wp:positionH>
            <wp:positionV relativeFrom="paragraph">
              <wp:posOffset>0</wp:posOffset>
            </wp:positionV>
            <wp:extent cx="4839970" cy="1405255"/>
            <wp:effectExtent l="0" t="0" r="0" b="4445"/>
            <wp:wrapThrough wrapText="bothSides">
              <wp:wrapPolygon edited="0">
                <wp:start x="0" y="0"/>
                <wp:lineTo x="0" y="21376"/>
                <wp:lineTo x="21509" y="21376"/>
                <wp:lineTo x="21509" y="0"/>
                <wp:lineTo x="0" y="0"/>
              </wp:wrapPolygon>
            </wp:wrapThrough>
            <wp:docPr id="1978912882" name="Picture 4"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912882" name="Picture 4" descr="A picture containing text, font, logo, symbo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39970" cy="1405255"/>
                    </a:xfrm>
                    <a:prstGeom prst="rect">
                      <a:avLst/>
                    </a:prstGeom>
                  </pic:spPr>
                </pic:pic>
              </a:graphicData>
            </a:graphic>
            <wp14:sizeRelH relativeFrom="margin">
              <wp14:pctWidth>0</wp14:pctWidth>
            </wp14:sizeRelH>
            <wp14:sizeRelV relativeFrom="margin">
              <wp14:pctHeight>0</wp14:pctHeight>
            </wp14:sizeRelV>
          </wp:anchor>
        </w:drawing>
      </w:r>
    </w:p>
    <w:p w14:paraId="140D07AC" w14:textId="77777777" w:rsidR="00A543FB" w:rsidRDefault="00A543FB">
      <w:pPr>
        <w:pBdr>
          <w:top w:val="nil"/>
          <w:left w:val="nil"/>
          <w:bottom w:val="nil"/>
          <w:right w:val="nil"/>
          <w:between w:val="nil"/>
        </w:pBdr>
        <w:spacing w:line="360" w:lineRule="auto"/>
        <w:jc w:val="center"/>
        <w:rPr>
          <w:rFonts w:ascii="Times New Roman" w:eastAsia="Times New Roman" w:hAnsi="Times New Roman" w:cs="Times New Roman"/>
          <w:b/>
          <w:bCs/>
          <w:color w:val="000000"/>
          <w:sz w:val="48"/>
          <w:szCs w:val="48"/>
        </w:rPr>
      </w:pPr>
    </w:p>
    <w:p w14:paraId="45CBC8EA" w14:textId="77777777" w:rsidR="00A543FB" w:rsidRDefault="00A543FB">
      <w:pPr>
        <w:pBdr>
          <w:top w:val="nil"/>
          <w:left w:val="nil"/>
          <w:bottom w:val="nil"/>
          <w:right w:val="nil"/>
          <w:between w:val="nil"/>
        </w:pBdr>
        <w:spacing w:line="360" w:lineRule="auto"/>
        <w:jc w:val="center"/>
        <w:rPr>
          <w:rFonts w:ascii="Times New Roman" w:eastAsia="Times New Roman" w:hAnsi="Times New Roman" w:cs="Times New Roman"/>
          <w:b/>
          <w:bCs/>
          <w:color w:val="000000"/>
          <w:sz w:val="48"/>
          <w:szCs w:val="48"/>
        </w:rPr>
      </w:pPr>
    </w:p>
    <w:p w14:paraId="063DB770" w14:textId="52EC1418" w:rsidR="00B06D92" w:rsidRDefault="000F449E">
      <w:pPr>
        <w:pBdr>
          <w:top w:val="nil"/>
          <w:left w:val="nil"/>
          <w:bottom w:val="nil"/>
          <w:right w:val="nil"/>
          <w:between w:val="nil"/>
        </w:pBdr>
        <w:spacing w:line="360" w:lineRule="auto"/>
        <w:jc w:val="center"/>
        <w:rPr>
          <w:rFonts w:ascii="Times New Roman" w:eastAsia="Times New Roman" w:hAnsi="Times New Roman" w:cs="Times New Roman"/>
          <w:b/>
          <w:bCs/>
          <w:color w:val="000000"/>
          <w:sz w:val="48"/>
          <w:szCs w:val="48"/>
        </w:rPr>
      </w:pPr>
      <w:r w:rsidRPr="006C220E">
        <w:rPr>
          <w:rFonts w:ascii="Times New Roman" w:eastAsia="Times New Roman" w:hAnsi="Times New Roman" w:cs="Times New Roman"/>
          <w:b/>
          <w:bCs/>
          <w:color w:val="000000"/>
          <w:sz w:val="48"/>
          <w:szCs w:val="48"/>
        </w:rPr>
        <w:t>HUMAN RESOURCE MANAGEMENT AND ORGANIZATIONAL DEVELOPMENT:</w:t>
      </w:r>
      <w:r w:rsidR="00A86DD8" w:rsidRPr="006C220E">
        <w:rPr>
          <w:rFonts w:ascii="Times New Roman" w:eastAsia="Times New Roman" w:hAnsi="Times New Roman" w:cs="Times New Roman"/>
          <w:b/>
          <w:bCs/>
          <w:color w:val="000000"/>
          <w:sz w:val="48"/>
          <w:szCs w:val="48"/>
        </w:rPr>
        <w:t xml:space="preserve"> THE ROLE OF ORGANISATIONAL TYPE</w:t>
      </w:r>
    </w:p>
    <w:p w14:paraId="11A2CD5E" w14:textId="77777777" w:rsidR="00A543FB" w:rsidRDefault="00A543FB">
      <w:pPr>
        <w:pBdr>
          <w:top w:val="nil"/>
          <w:left w:val="nil"/>
          <w:bottom w:val="nil"/>
          <w:right w:val="nil"/>
          <w:between w:val="nil"/>
        </w:pBdr>
        <w:spacing w:line="360" w:lineRule="auto"/>
        <w:jc w:val="center"/>
        <w:rPr>
          <w:rFonts w:ascii="Times New Roman" w:eastAsia="Times New Roman" w:hAnsi="Times New Roman" w:cs="Times New Roman"/>
          <w:b/>
          <w:bCs/>
          <w:color w:val="000000"/>
          <w:sz w:val="48"/>
          <w:szCs w:val="48"/>
        </w:rPr>
      </w:pPr>
    </w:p>
    <w:p w14:paraId="6B65FFD8" w14:textId="77777777" w:rsidR="00A543FB" w:rsidRDefault="00A543FB">
      <w:pPr>
        <w:pBdr>
          <w:top w:val="nil"/>
          <w:left w:val="nil"/>
          <w:bottom w:val="nil"/>
          <w:right w:val="nil"/>
          <w:between w:val="nil"/>
        </w:pBdr>
        <w:spacing w:line="360" w:lineRule="auto"/>
        <w:jc w:val="center"/>
        <w:rPr>
          <w:rFonts w:ascii="Times New Roman" w:eastAsia="Times New Roman" w:hAnsi="Times New Roman" w:cs="Times New Roman"/>
          <w:b/>
          <w:bCs/>
          <w:color w:val="000000"/>
          <w:sz w:val="48"/>
          <w:szCs w:val="48"/>
        </w:rPr>
      </w:pPr>
    </w:p>
    <w:p w14:paraId="1832F221" w14:textId="77777777" w:rsidR="00A543FB" w:rsidRDefault="00A543FB">
      <w:pPr>
        <w:pBdr>
          <w:top w:val="nil"/>
          <w:left w:val="nil"/>
          <w:bottom w:val="nil"/>
          <w:right w:val="nil"/>
          <w:between w:val="nil"/>
        </w:pBdr>
        <w:spacing w:line="360" w:lineRule="auto"/>
        <w:jc w:val="center"/>
        <w:rPr>
          <w:rFonts w:ascii="Times New Roman" w:eastAsia="Times New Roman" w:hAnsi="Times New Roman" w:cs="Times New Roman"/>
          <w:b/>
          <w:bCs/>
          <w:color w:val="000000"/>
          <w:sz w:val="48"/>
          <w:szCs w:val="48"/>
        </w:rPr>
      </w:pPr>
    </w:p>
    <w:p w14:paraId="3D1692B8" w14:textId="77777777" w:rsidR="00A543FB" w:rsidRDefault="00A543FB">
      <w:pPr>
        <w:pBdr>
          <w:top w:val="nil"/>
          <w:left w:val="nil"/>
          <w:bottom w:val="nil"/>
          <w:right w:val="nil"/>
          <w:between w:val="nil"/>
        </w:pBdr>
        <w:spacing w:line="360" w:lineRule="auto"/>
        <w:jc w:val="center"/>
        <w:rPr>
          <w:rFonts w:ascii="Times New Roman" w:eastAsia="Times New Roman" w:hAnsi="Times New Roman" w:cs="Times New Roman"/>
          <w:b/>
          <w:bCs/>
          <w:color w:val="000000"/>
          <w:sz w:val="48"/>
          <w:szCs w:val="48"/>
        </w:rPr>
      </w:pPr>
    </w:p>
    <w:p w14:paraId="042ACE3D" w14:textId="77777777" w:rsidR="00A543FB" w:rsidRPr="006C220E" w:rsidRDefault="00A543FB">
      <w:pPr>
        <w:pBdr>
          <w:top w:val="nil"/>
          <w:left w:val="nil"/>
          <w:bottom w:val="nil"/>
          <w:right w:val="nil"/>
          <w:between w:val="nil"/>
        </w:pBdr>
        <w:spacing w:line="360" w:lineRule="auto"/>
        <w:jc w:val="center"/>
        <w:rPr>
          <w:rFonts w:ascii="Times New Roman" w:eastAsia="Times New Roman" w:hAnsi="Times New Roman" w:cs="Times New Roman"/>
          <w:b/>
          <w:bCs/>
          <w:color w:val="000000"/>
          <w:sz w:val="48"/>
          <w:szCs w:val="48"/>
        </w:rPr>
      </w:pPr>
    </w:p>
    <w:p w14:paraId="063DB771" w14:textId="3C9030C1" w:rsidR="00B06D92" w:rsidRDefault="006C220E">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ARJUN MADATHIKKU</w:t>
      </w:r>
      <w:r w:rsidR="00A543FB">
        <w:rPr>
          <w:rFonts w:ascii="Times New Roman" w:eastAsia="Times New Roman" w:hAnsi="Times New Roman" w:cs="Times New Roman"/>
          <w:b/>
          <w:color w:val="000000"/>
          <w:sz w:val="28"/>
          <w:szCs w:val="28"/>
        </w:rPr>
        <w:t>NNEL MURALEEDHARAN</w:t>
      </w:r>
    </w:p>
    <w:p w14:paraId="063DB772" w14:textId="02AB3C8D" w:rsidR="00B06D92"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 xml:space="preserve"> ID:</w:t>
      </w:r>
      <w:r w:rsidR="00A543FB">
        <w:rPr>
          <w:rFonts w:ascii="Times New Roman" w:eastAsia="Times New Roman" w:hAnsi="Times New Roman" w:cs="Times New Roman"/>
          <w:b/>
          <w:color w:val="000000"/>
          <w:sz w:val="28"/>
          <w:szCs w:val="28"/>
        </w:rPr>
        <w:t xml:space="preserve"> 2214620</w:t>
      </w:r>
    </w:p>
    <w:p w14:paraId="063DB773" w14:textId="77777777" w:rsidR="00B06D92" w:rsidRDefault="00B06D92">
      <w:pPr>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222222"/>
          <w:sz w:val="19"/>
          <w:szCs w:val="19"/>
        </w:rPr>
      </w:pPr>
    </w:p>
    <w:p w14:paraId="063DB774" w14:textId="77777777" w:rsidR="00B06D92" w:rsidRDefault="00B06D92">
      <w:pPr>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222222"/>
          <w:sz w:val="19"/>
          <w:szCs w:val="19"/>
        </w:rPr>
      </w:pPr>
    </w:p>
    <w:p w14:paraId="063DB775" w14:textId="77777777" w:rsidR="00B06D92" w:rsidRDefault="00000000">
      <w:pPr>
        <w:spacing w:line="360" w:lineRule="auto"/>
        <w:jc w:val="center"/>
        <w:rPr>
          <w:rFonts w:ascii="Times New Roman" w:eastAsia="Times New Roman" w:hAnsi="Times New Roman" w:cs="Times New Roman"/>
          <w:b/>
          <w:sz w:val="24"/>
          <w:szCs w:val="24"/>
        </w:rPr>
      </w:pPr>
      <w:r>
        <w:br w:type="page"/>
      </w:r>
      <w:r>
        <w:rPr>
          <w:rFonts w:ascii="Times New Roman" w:eastAsia="Times New Roman" w:hAnsi="Times New Roman" w:cs="Times New Roman"/>
          <w:b/>
          <w:sz w:val="24"/>
          <w:szCs w:val="24"/>
        </w:rPr>
        <w:lastRenderedPageBreak/>
        <w:t xml:space="preserve">Table of Contents </w:t>
      </w:r>
    </w:p>
    <w:p w14:paraId="063DB776" w14:textId="77777777" w:rsidR="00B06D92" w:rsidRDefault="00B06D92">
      <w:pPr>
        <w:spacing w:line="360" w:lineRule="auto"/>
        <w:jc w:val="both"/>
        <w:rPr>
          <w:rFonts w:ascii="Times New Roman" w:eastAsia="Times New Roman" w:hAnsi="Times New Roman" w:cs="Times New Roman"/>
          <w:b/>
          <w:sz w:val="24"/>
          <w:szCs w:val="24"/>
        </w:rPr>
      </w:pPr>
    </w:p>
    <w:sdt>
      <w:sdtPr>
        <w:id w:val="153337244"/>
        <w:docPartObj>
          <w:docPartGallery w:val="Table of Contents"/>
          <w:docPartUnique/>
        </w:docPartObj>
      </w:sdtPr>
      <w:sdtContent>
        <w:p w14:paraId="063DB777" w14:textId="77777777" w:rsidR="00B06D92" w:rsidRDefault="00000000">
          <w:pPr>
            <w:widowControl w:val="0"/>
            <w:tabs>
              <w:tab w:val="right" w:pos="12000"/>
            </w:tabs>
            <w:spacing w:before="60" w:line="360" w:lineRule="auto"/>
            <w:jc w:val="both"/>
            <w:rPr>
              <w:rFonts w:ascii="Times New Roman" w:eastAsia="Times New Roman" w:hAnsi="Times New Roman" w:cs="Times New Roman"/>
              <w:b/>
              <w:color w:val="000000"/>
            </w:rPr>
          </w:pPr>
          <w:r>
            <w:fldChar w:fldCharType="begin"/>
          </w:r>
          <w:r>
            <w:instrText xml:space="preserve"> TOC \h \u \z \t "Heading 1,1,Heading 2,2,Heading 3,3,Heading 4,4,Heading 5,5,Heading 6,6,"</w:instrText>
          </w:r>
          <w:r>
            <w:fldChar w:fldCharType="separate"/>
          </w:r>
          <w:hyperlink w:anchor="_heading=h.2et92p0">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63DB778" w14:textId="77777777" w:rsidR="00B06D92" w:rsidRDefault="00000000">
          <w:pPr>
            <w:widowControl w:val="0"/>
            <w:tabs>
              <w:tab w:val="right" w:pos="12000"/>
            </w:tabs>
            <w:spacing w:before="60" w:line="360" w:lineRule="auto"/>
            <w:ind w:left="360"/>
            <w:jc w:val="both"/>
            <w:rPr>
              <w:rFonts w:ascii="Times New Roman" w:eastAsia="Times New Roman" w:hAnsi="Times New Roman" w:cs="Times New Roman"/>
              <w:color w:val="000000"/>
            </w:rPr>
          </w:pPr>
          <w:hyperlink w:anchor="_heading=h.tyjcwt">
            <w:r>
              <w:rPr>
                <w:rFonts w:ascii="Times New Roman" w:eastAsia="Times New Roman" w:hAnsi="Times New Roman" w:cs="Times New Roman"/>
                <w:color w:val="000000"/>
                <w:sz w:val="24"/>
                <w:szCs w:val="24"/>
              </w:rPr>
              <w:t>Background</w:t>
            </w:r>
            <w:r>
              <w:rPr>
                <w:rFonts w:ascii="Times New Roman" w:eastAsia="Times New Roman" w:hAnsi="Times New Roman" w:cs="Times New Roman"/>
                <w:color w:val="000000"/>
                <w:sz w:val="24"/>
                <w:szCs w:val="24"/>
              </w:rPr>
              <w:tab/>
              <w:t>3</w:t>
            </w:r>
          </w:hyperlink>
        </w:p>
        <w:p w14:paraId="063DB779" w14:textId="77777777" w:rsidR="00B06D92" w:rsidRDefault="00000000">
          <w:pPr>
            <w:widowControl w:val="0"/>
            <w:tabs>
              <w:tab w:val="right" w:pos="12000"/>
            </w:tabs>
            <w:spacing w:before="60" w:line="360" w:lineRule="auto"/>
            <w:ind w:left="360"/>
            <w:jc w:val="both"/>
            <w:rPr>
              <w:rFonts w:ascii="Times New Roman" w:eastAsia="Times New Roman" w:hAnsi="Times New Roman" w:cs="Times New Roman"/>
              <w:color w:val="000000"/>
            </w:rPr>
          </w:pPr>
          <w:hyperlink w:anchor="_heading=h.3dy6vkm">
            <w:r>
              <w:rPr>
                <w:rFonts w:ascii="Times New Roman" w:eastAsia="Times New Roman" w:hAnsi="Times New Roman" w:cs="Times New Roman"/>
                <w:color w:val="000000"/>
                <w:sz w:val="24"/>
                <w:szCs w:val="24"/>
              </w:rPr>
              <w:t>Significance of the Study</w:t>
            </w:r>
            <w:r>
              <w:rPr>
                <w:rFonts w:ascii="Times New Roman" w:eastAsia="Times New Roman" w:hAnsi="Times New Roman" w:cs="Times New Roman"/>
                <w:color w:val="000000"/>
                <w:sz w:val="24"/>
                <w:szCs w:val="24"/>
              </w:rPr>
              <w:tab/>
              <w:t>3</w:t>
            </w:r>
          </w:hyperlink>
        </w:p>
        <w:p w14:paraId="063DB77A" w14:textId="77777777" w:rsidR="00B06D92" w:rsidRDefault="00000000">
          <w:pPr>
            <w:widowControl w:val="0"/>
            <w:tabs>
              <w:tab w:val="right" w:pos="12000"/>
            </w:tabs>
            <w:spacing w:before="60" w:line="360" w:lineRule="auto"/>
            <w:jc w:val="both"/>
            <w:rPr>
              <w:rFonts w:ascii="Times New Roman" w:eastAsia="Times New Roman" w:hAnsi="Times New Roman" w:cs="Times New Roman"/>
              <w:b/>
              <w:color w:val="000000"/>
            </w:rPr>
          </w:pPr>
          <w:hyperlink w:anchor="_heading=h.1t3h5sf">
            <w:r>
              <w:rPr>
                <w:rFonts w:ascii="Times New Roman" w:eastAsia="Times New Roman" w:hAnsi="Times New Roman" w:cs="Times New Roman"/>
                <w:color w:val="000000"/>
                <w:sz w:val="24"/>
                <w:szCs w:val="24"/>
              </w:rPr>
              <w:t>Research Aim and Objectives and Three Relevant Questions</w:t>
            </w:r>
            <w:r>
              <w:rPr>
                <w:rFonts w:ascii="Times New Roman" w:eastAsia="Times New Roman" w:hAnsi="Times New Roman" w:cs="Times New Roman"/>
                <w:color w:val="000000"/>
                <w:sz w:val="24"/>
                <w:szCs w:val="24"/>
              </w:rPr>
              <w:tab/>
              <w:t>5</w:t>
            </w:r>
          </w:hyperlink>
        </w:p>
        <w:p w14:paraId="063DB77B" w14:textId="77777777" w:rsidR="00B06D92" w:rsidRDefault="00000000">
          <w:pPr>
            <w:widowControl w:val="0"/>
            <w:tabs>
              <w:tab w:val="right" w:pos="12000"/>
            </w:tabs>
            <w:spacing w:before="60" w:line="360" w:lineRule="auto"/>
            <w:jc w:val="both"/>
            <w:rPr>
              <w:rFonts w:ascii="Times New Roman" w:eastAsia="Times New Roman" w:hAnsi="Times New Roman" w:cs="Times New Roman"/>
              <w:b/>
              <w:color w:val="000000"/>
            </w:rPr>
          </w:pPr>
          <w:hyperlink w:anchor="_heading=h.4d34og8">
            <w:r>
              <w:rPr>
                <w:rFonts w:ascii="Times New Roman" w:eastAsia="Times New Roman" w:hAnsi="Times New Roman" w:cs="Times New Roman"/>
                <w:color w:val="000000"/>
                <w:sz w:val="24"/>
                <w:szCs w:val="24"/>
              </w:rPr>
              <w:t>Literature Review</w:t>
            </w:r>
            <w:r>
              <w:rPr>
                <w:rFonts w:ascii="Times New Roman" w:eastAsia="Times New Roman" w:hAnsi="Times New Roman" w:cs="Times New Roman"/>
                <w:color w:val="000000"/>
                <w:sz w:val="24"/>
                <w:szCs w:val="24"/>
              </w:rPr>
              <w:tab/>
              <w:t>6</w:t>
            </w:r>
          </w:hyperlink>
        </w:p>
        <w:p w14:paraId="063DB77C" w14:textId="77777777" w:rsidR="00B06D92" w:rsidRDefault="00000000">
          <w:pPr>
            <w:widowControl w:val="0"/>
            <w:tabs>
              <w:tab w:val="right" w:pos="12000"/>
            </w:tabs>
            <w:spacing w:before="60" w:line="360" w:lineRule="auto"/>
            <w:ind w:left="360"/>
            <w:jc w:val="both"/>
            <w:rPr>
              <w:rFonts w:ascii="Times New Roman" w:eastAsia="Times New Roman" w:hAnsi="Times New Roman" w:cs="Times New Roman"/>
              <w:color w:val="000000"/>
            </w:rPr>
          </w:pPr>
          <w:hyperlink w:anchor="_heading=h.2s8eyo1">
            <w:r>
              <w:rPr>
                <w:rFonts w:ascii="Times New Roman" w:eastAsia="Times New Roman" w:hAnsi="Times New Roman" w:cs="Times New Roman"/>
                <w:color w:val="000000"/>
                <w:sz w:val="24"/>
                <w:szCs w:val="24"/>
              </w:rPr>
              <w:t>Contextual Factors Influencing HRM and Organisational Development:</w:t>
            </w:r>
            <w:r>
              <w:rPr>
                <w:rFonts w:ascii="Times New Roman" w:eastAsia="Times New Roman" w:hAnsi="Times New Roman" w:cs="Times New Roman"/>
                <w:color w:val="000000"/>
                <w:sz w:val="24"/>
                <w:szCs w:val="24"/>
              </w:rPr>
              <w:tab/>
              <w:t>6</w:t>
            </w:r>
          </w:hyperlink>
        </w:p>
        <w:p w14:paraId="063DB77D" w14:textId="77777777" w:rsidR="00B06D92" w:rsidRDefault="00000000">
          <w:pPr>
            <w:widowControl w:val="0"/>
            <w:tabs>
              <w:tab w:val="right" w:pos="12000"/>
            </w:tabs>
            <w:spacing w:before="60" w:line="360" w:lineRule="auto"/>
            <w:ind w:left="360"/>
            <w:jc w:val="both"/>
            <w:rPr>
              <w:rFonts w:ascii="Times New Roman" w:eastAsia="Times New Roman" w:hAnsi="Times New Roman" w:cs="Times New Roman"/>
              <w:color w:val="000000"/>
            </w:rPr>
          </w:pPr>
          <w:hyperlink w:anchor="_heading=h.17dp8vu">
            <w:r>
              <w:rPr>
                <w:rFonts w:ascii="Times New Roman" w:eastAsia="Times New Roman" w:hAnsi="Times New Roman" w:cs="Times New Roman"/>
                <w:color w:val="000000"/>
                <w:sz w:val="24"/>
                <w:szCs w:val="24"/>
              </w:rPr>
              <w:t>Impact of Organizational Size on HRM and Organizational Development:</w:t>
            </w:r>
            <w:r>
              <w:rPr>
                <w:rFonts w:ascii="Times New Roman" w:eastAsia="Times New Roman" w:hAnsi="Times New Roman" w:cs="Times New Roman"/>
                <w:color w:val="000000"/>
                <w:sz w:val="24"/>
                <w:szCs w:val="24"/>
              </w:rPr>
              <w:tab/>
              <w:t>6</w:t>
            </w:r>
          </w:hyperlink>
        </w:p>
        <w:p w14:paraId="063DB77E" w14:textId="77777777" w:rsidR="00B06D92" w:rsidRDefault="00000000">
          <w:pPr>
            <w:widowControl w:val="0"/>
            <w:tabs>
              <w:tab w:val="right" w:pos="12000"/>
            </w:tabs>
            <w:spacing w:before="60" w:line="360" w:lineRule="auto"/>
            <w:ind w:left="360"/>
            <w:jc w:val="both"/>
            <w:rPr>
              <w:rFonts w:ascii="Times New Roman" w:eastAsia="Times New Roman" w:hAnsi="Times New Roman" w:cs="Times New Roman"/>
              <w:color w:val="000000"/>
            </w:rPr>
          </w:pPr>
          <w:hyperlink w:anchor="_heading=h.3rdcrjn">
            <w:r>
              <w:rPr>
                <w:rFonts w:ascii="Times New Roman" w:eastAsia="Times New Roman" w:hAnsi="Times New Roman" w:cs="Times New Roman"/>
                <w:color w:val="000000"/>
                <w:sz w:val="24"/>
                <w:szCs w:val="24"/>
              </w:rPr>
              <w:t>Organisational Structure and Its Impact on HRM and Organisational Growth:</w:t>
            </w:r>
            <w:r>
              <w:rPr>
                <w:rFonts w:ascii="Times New Roman" w:eastAsia="Times New Roman" w:hAnsi="Times New Roman" w:cs="Times New Roman"/>
                <w:color w:val="000000"/>
                <w:sz w:val="24"/>
                <w:szCs w:val="24"/>
              </w:rPr>
              <w:tab/>
              <w:t>7</w:t>
            </w:r>
          </w:hyperlink>
        </w:p>
        <w:p w14:paraId="063DB77F" w14:textId="77777777" w:rsidR="00B06D92" w:rsidRDefault="00000000">
          <w:pPr>
            <w:widowControl w:val="0"/>
            <w:tabs>
              <w:tab w:val="right" w:pos="12000"/>
            </w:tabs>
            <w:spacing w:before="60" w:line="360" w:lineRule="auto"/>
            <w:ind w:left="360"/>
            <w:jc w:val="both"/>
            <w:rPr>
              <w:rFonts w:ascii="Times New Roman" w:eastAsia="Times New Roman" w:hAnsi="Times New Roman" w:cs="Times New Roman"/>
              <w:color w:val="000000"/>
            </w:rPr>
          </w:pPr>
          <w:hyperlink w:anchor="_heading=h.26in1rg">
            <w:r>
              <w:rPr>
                <w:rFonts w:ascii="Times New Roman" w:eastAsia="Times New Roman" w:hAnsi="Times New Roman" w:cs="Times New Roman"/>
                <w:color w:val="000000"/>
                <w:sz w:val="24"/>
                <w:szCs w:val="24"/>
              </w:rPr>
              <w:t>Theories</w:t>
            </w:r>
            <w:r>
              <w:rPr>
                <w:rFonts w:ascii="Times New Roman" w:eastAsia="Times New Roman" w:hAnsi="Times New Roman" w:cs="Times New Roman"/>
                <w:color w:val="000000"/>
                <w:sz w:val="24"/>
                <w:szCs w:val="24"/>
              </w:rPr>
              <w:tab/>
              <w:t>7</w:t>
            </w:r>
          </w:hyperlink>
        </w:p>
        <w:p w14:paraId="063DB780" w14:textId="77777777" w:rsidR="00B06D92" w:rsidRDefault="00000000">
          <w:pPr>
            <w:widowControl w:val="0"/>
            <w:tabs>
              <w:tab w:val="right" w:pos="12000"/>
            </w:tabs>
            <w:spacing w:before="60" w:line="360" w:lineRule="auto"/>
            <w:jc w:val="both"/>
            <w:rPr>
              <w:rFonts w:ascii="Times New Roman" w:eastAsia="Times New Roman" w:hAnsi="Times New Roman" w:cs="Times New Roman"/>
              <w:b/>
              <w:color w:val="000000"/>
            </w:rPr>
          </w:pPr>
          <w:hyperlink w:anchor="_heading=h.lnxbz9">
            <w:r>
              <w:rPr>
                <w:rFonts w:ascii="Times New Roman" w:eastAsia="Times New Roman" w:hAnsi="Times New Roman" w:cs="Times New Roman"/>
                <w:color w:val="000000"/>
                <w:sz w:val="24"/>
                <w:szCs w:val="24"/>
              </w:rPr>
              <w:t>Methodology (including ethics)</w:t>
            </w:r>
            <w:r>
              <w:rPr>
                <w:rFonts w:ascii="Times New Roman" w:eastAsia="Times New Roman" w:hAnsi="Times New Roman" w:cs="Times New Roman"/>
                <w:color w:val="000000"/>
                <w:sz w:val="24"/>
                <w:szCs w:val="24"/>
              </w:rPr>
              <w:tab/>
              <w:t>9</w:t>
            </w:r>
          </w:hyperlink>
        </w:p>
        <w:p w14:paraId="063DB781" w14:textId="77777777" w:rsidR="00B06D92" w:rsidRDefault="00000000">
          <w:pPr>
            <w:widowControl w:val="0"/>
            <w:tabs>
              <w:tab w:val="right" w:pos="12000"/>
            </w:tabs>
            <w:spacing w:before="60" w:line="360" w:lineRule="auto"/>
            <w:ind w:left="360"/>
            <w:jc w:val="both"/>
            <w:rPr>
              <w:rFonts w:ascii="Times New Roman" w:eastAsia="Times New Roman" w:hAnsi="Times New Roman" w:cs="Times New Roman"/>
              <w:color w:val="000000"/>
            </w:rPr>
          </w:pPr>
          <w:hyperlink w:anchor="_heading=h.35nkun2">
            <w:r>
              <w:rPr>
                <w:rFonts w:ascii="Times New Roman" w:eastAsia="Times New Roman" w:hAnsi="Times New Roman" w:cs="Times New Roman"/>
                <w:color w:val="000000"/>
                <w:sz w:val="24"/>
                <w:szCs w:val="24"/>
              </w:rPr>
              <w:t>Research Philosophy</w:t>
            </w:r>
            <w:r>
              <w:rPr>
                <w:rFonts w:ascii="Times New Roman" w:eastAsia="Times New Roman" w:hAnsi="Times New Roman" w:cs="Times New Roman"/>
                <w:color w:val="000000"/>
                <w:sz w:val="24"/>
                <w:szCs w:val="24"/>
              </w:rPr>
              <w:tab/>
              <w:t>9</w:t>
            </w:r>
          </w:hyperlink>
        </w:p>
        <w:p w14:paraId="063DB782" w14:textId="77777777" w:rsidR="00B06D92" w:rsidRDefault="00000000">
          <w:pPr>
            <w:widowControl w:val="0"/>
            <w:tabs>
              <w:tab w:val="right" w:pos="12000"/>
            </w:tabs>
            <w:spacing w:before="60" w:line="360" w:lineRule="auto"/>
            <w:ind w:left="360"/>
            <w:jc w:val="both"/>
            <w:rPr>
              <w:rFonts w:ascii="Times New Roman" w:eastAsia="Times New Roman" w:hAnsi="Times New Roman" w:cs="Times New Roman"/>
              <w:color w:val="000000"/>
            </w:rPr>
          </w:pPr>
          <w:hyperlink w:anchor="_heading=h.44sinio">
            <w:r>
              <w:rPr>
                <w:rFonts w:ascii="Times New Roman" w:eastAsia="Times New Roman" w:hAnsi="Times New Roman" w:cs="Times New Roman"/>
                <w:color w:val="000000"/>
                <w:sz w:val="24"/>
                <w:szCs w:val="24"/>
              </w:rPr>
              <w:t>Research Approach</w:t>
            </w:r>
            <w:r>
              <w:rPr>
                <w:rFonts w:ascii="Times New Roman" w:eastAsia="Times New Roman" w:hAnsi="Times New Roman" w:cs="Times New Roman"/>
                <w:color w:val="000000"/>
                <w:sz w:val="24"/>
                <w:szCs w:val="24"/>
              </w:rPr>
              <w:tab/>
              <w:t>10</w:t>
            </w:r>
          </w:hyperlink>
        </w:p>
        <w:p w14:paraId="063DB783" w14:textId="77777777" w:rsidR="00B06D92" w:rsidRDefault="00000000">
          <w:pPr>
            <w:widowControl w:val="0"/>
            <w:tabs>
              <w:tab w:val="right" w:pos="12000"/>
            </w:tabs>
            <w:spacing w:before="60" w:line="360" w:lineRule="auto"/>
            <w:ind w:left="360"/>
            <w:jc w:val="both"/>
            <w:rPr>
              <w:rFonts w:ascii="Times New Roman" w:eastAsia="Times New Roman" w:hAnsi="Times New Roman" w:cs="Times New Roman"/>
              <w:color w:val="000000"/>
            </w:rPr>
          </w:pPr>
          <w:hyperlink w:anchor="_heading=h.2jxsxqh">
            <w:r>
              <w:rPr>
                <w:rFonts w:ascii="Times New Roman" w:eastAsia="Times New Roman" w:hAnsi="Times New Roman" w:cs="Times New Roman"/>
                <w:color w:val="000000"/>
                <w:sz w:val="24"/>
                <w:szCs w:val="24"/>
              </w:rPr>
              <w:t>Research Method</w:t>
            </w:r>
            <w:r>
              <w:rPr>
                <w:rFonts w:ascii="Times New Roman" w:eastAsia="Times New Roman" w:hAnsi="Times New Roman" w:cs="Times New Roman"/>
                <w:color w:val="000000"/>
                <w:sz w:val="24"/>
                <w:szCs w:val="24"/>
              </w:rPr>
              <w:tab/>
              <w:t>10</w:t>
            </w:r>
          </w:hyperlink>
        </w:p>
        <w:p w14:paraId="063DB784" w14:textId="77777777" w:rsidR="00B06D92" w:rsidRDefault="00000000">
          <w:pPr>
            <w:widowControl w:val="0"/>
            <w:tabs>
              <w:tab w:val="right" w:pos="12000"/>
            </w:tabs>
            <w:spacing w:before="60" w:line="360" w:lineRule="auto"/>
            <w:ind w:left="360"/>
            <w:jc w:val="both"/>
            <w:rPr>
              <w:rFonts w:ascii="Times New Roman" w:eastAsia="Times New Roman" w:hAnsi="Times New Roman" w:cs="Times New Roman"/>
              <w:color w:val="000000"/>
            </w:rPr>
          </w:pPr>
          <w:hyperlink w:anchor="_heading=h.3j2qqm3">
            <w:r>
              <w:rPr>
                <w:rFonts w:ascii="Times New Roman" w:eastAsia="Times New Roman" w:hAnsi="Times New Roman" w:cs="Times New Roman"/>
                <w:color w:val="000000"/>
                <w:sz w:val="24"/>
                <w:szCs w:val="24"/>
              </w:rPr>
              <w:t>Data Collection</w:t>
            </w:r>
            <w:r>
              <w:rPr>
                <w:rFonts w:ascii="Times New Roman" w:eastAsia="Times New Roman" w:hAnsi="Times New Roman" w:cs="Times New Roman"/>
                <w:color w:val="000000"/>
                <w:sz w:val="24"/>
                <w:szCs w:val="24"/>
              </w:rPr>
              <w:tab/>
              <w:t>11</w:t>
            </w:r>
          </w:hyperlink>
        </w:p>
        <w:p w14:paraId="063DB785" w14:textId="77777777" w:rsidR="00B06D92" w:rsidRDefault="00000000">
          <w:pPr>
            <w:widowControl w:val="0"/>
            <w:tabs>
              <w:tab w:val="right" w:pos="12000"/>
            </w:tabs>
            <w:spacing w:before="60" w:line="360" w:lineRule="auto"/>
            <w:ind w:left="360"/>
            <w:jc w:val="both"/>
            <w:rPr>
              <w:rFonts w:ascii="Times New Roman" w:eastAsia="Times New Roman" w:hAnsi="Times New Roman" w:cs="Times New Roman"/>
              <w:color w:val="000000"/>
            </w:rPr>
          </w:pPr>
          <w:hyperlink w:anchor="_heading=h.4i7ojhp">
            <w:r>
              <w:rPr>
                <w:rFonts w:ascii="Times New Roman" w:eastAsia="Times New Roman" w:hAnsi="Times New Roman" w:cs="Times New Roman"/>
                <w:color w:val="000000"/>
                <w:sz w:val="24"/>
                <w:szCs w:val="24"/>
              </w:rPr>
              <w:t>Rationale</w:t>
            </w:r>
            <w:r>
              <w:rPr>
                <w:rFonts w:ascii="Times New Roman" w:eastAsia="Times New Roman" w:hAnsi="Times New Roman" w:cs="Times New Roman"/>
                <w:color w:val="000000"/>
                <w:sz w:val="24"/>
                <w:szCs w:val="24"/>
              </w:rPr>
              <w:tab/>
              <w:t>12</w:t>
            </w:r>
          </w:hyperlink>
        </w:p>
        <w:p w14:paraId="063DB786" w14:textId="77777777" w:rsidR="00B06D92" w:rsidRDefault="00000000">
          <w:pPr>
            <w:widowControl w:val="0"/>
            <w:tabs>
              <w:tab w:val="right" w:pos="12000"/>
            </w:tabs>
            <w:spacing w:before="60" w:line="360" w:lineRule="auto"/>
            <w:ind w:left="360"/>
            <w:jc w:val="both"/>
            <w:rPr>
              <w:rFonts w:ascii="Times New Roman" w:eastAsia="Times New Roman" w:hAnsi="Times New Roman" w:cs="Times New Roman"/>
              <w:color w:val="000000"/>
            </w:rPr>
          </w:pPr>
          <w:hyperlink w:anchor="_heading=h.1ci93xb">
            <w:r>
              <w:rPr>
                <w:rFonts w:ascii="Times New Roman" w:eastAsia="Times New Roman" w:hAnsi="Times New Roman" w:cs="Times New Roman"/>
                <w:color w:val="000000"/>
                <w:sz w:val="24"/>
                <w:szCs w:val="24"/>
              </w:rPr>
              <w:t>Data Analysis</w:t>
            </w:r>
            <w:r>
              <w:rPr>
                <w:rFonts w:ascii="Times New Roman" w:eastAsia="Times New Roman" w:hAnsi="Times New Roman" w:cs="Times New Roman"/>
                <w:color w:val="000000"/>
                <w:sz w:val="24"/>
                <w:szCs w:val="24"/>
              </w:rPr>
              <w:tab/>
              <w:t>12</w:t>
            </w:r>
          </w:hyperlink>
        </w:p>
        <w:p w14:paraId="063DB787" w14:textId="77777777" w:rsidR="00B06D92" w:rsidRDefault="00000000">
          <w:pPr>
            <w:widowControl w:val="0"/>
            <w:tabs>
              <w:tab w:val="right" w:pos="12000"/>
            </w:tabs>
            <w:spacing w:before="60" w:line="360" w:lineRule="auto"/>
            <w:ind w:left="360"/>
            <w:jc w:val="both"/>
            <w:rPr>
              <w:rFonts w:ascii="Times New Roman" w:eastAsia="Times New Roman" w:hAnsi="Times New Roman" w:cs="Times New Roman"/>
              <w:color w:val="000000"/>
            </w:rPr>
          </w:pPr>
          <w:hyperlink w:anchor="_heading=h.2bn6wsx">
            <w:r>
              <w:rPr>
                <w:rFonts w:ascii="Times New Roman" w:eastAsia="Times New Roman" w:hAnsi="Times New Roman" w:cs="Times New Roman"/>
                <w:color w:val="000000"/>
                <w:sz w:val="24"/>
                <w:szCs w:val="24"/>
              </w:rPr>
              <w:t>Ethical Consideration</w:t>
            </w:r>
            <w:r>
              <w:rPr>
                <w:rFonts w:ascii="Times New Roman" w:eastAsia="Times New Roman" w:hAnsi="Times New Roman" w:cs="Times New Roman"/>
                <w:color w:val="000000"/>
                <w:sz w:val="24"/>
                <w:szCs w:val="24"/>
              </w:rPr>
              <w:tab/>
              <w:t>13</w:t>
            </w:r>
          </w:hyperlink>
        </w:p>
        <w:p w14:paraId="063DB788" w14:textId="77777777" w:rsidR="00B06D92" w:rsidRDefault="00000000">
          <w:pPr>
            <w:widowControl w:val="0"/>
            <w:tabs>
              <w:tab w:val="right" w:pos="12000"/>
            </w:tabs>
            <w:spacing w:before="60" w:line="360" w:lineRule="auto"/>
            <w:jc w:val="both"/>
            <w:rPr>
              <w:rFonts w:ascii="Times New Roman" w:eastAsia="Times New Roman" w:hAnsi="Times New Roman" w:cs="Times New Roman"/>
              <w:b/>
              <w:color w:val="000000"/>
            </w:rPr>
          </w:pPr>
          <w:hyperlink w:anchor="_heading=h.qsh70q">
            <w:r>
              <w:rPr>
                <w:rFonts w:ascii="Times New Roman" w:eastAsia="Times New Roman" w:hAnsi="Times New Roman" w:cs="Times New Roman"/>
                <w:color w:val="000000"/>
                <w:sz w:val="24"/>
                <w:szCs w:val="24"/>
              </w:rPr>
              <w:t>Project Management of the Research (Including Potential Risks, Timeline)</w:t>
            </w:r>
            <w:r>
              <w:rPr>
                <w:rFonts w:ascii="Times New Roman" w:eastAsia="Times New Roman" w:hAnsi="Times New Roman" w:cs="Times New Roman"/>
                <w:color w:val="000000"/>
                <w:sz w:val="24"/>
                <w:szCs w:val="24"/>
              </w:rPr>
              <w:tab/>
              <w:t>13</w:t>
            </w:r>
          </w:hyperlink>
        </w:p>
        <w:p w14:paraId="063DB789" w14:textId="77777777" w:rsidR="00B06D92" w:rsidRDefault="00000000">
          <w:pPr>
            <w:widowControl w:val="0"/>
            <w:tabs>
              <w:tab w:val="right" w:pos="12000"/>
            </w:tabs>
            <w:spacing w:before="60" w:line="360" w:lineRule="auto"/>
            <w:jc w:val="both"/>
            <w:rPr>
              <w:rFonts w:ascii="Times New Roman" w:eastAsia="Times New Roman" w:hAnsi="Times New Roman" w:cs="Times New Roman"/>
              <w:b/>
              <w:color w:val="000000"/>
            </w:rPr>
          </w:pPr>
          <w:hyperlink w:anchor="_heading=h.3as4poj">
            <w:r>
              <w:rPr>
                <w:rFonts w:ascii="Times New Roman" w:eastAsia="Times New Roman" w:hAnsi="Times New Roman" w:cs="Times New Roman"/>
                <w:color w:val="000000"/>
                <w:sz w:val="24"/>
                <w:szCs w:val="24"/>
              </w:rPr>
              <w:t>Findings</w:t>
            </w:r>
            <w:r>
              <w:rPr>
                <w:rFonts w:ascii="Times New Roman" w:eastAsia="Times New Roman" w:hAnsi="Times New Roman" w:cs="Times New Roman"/>
                <w:color w:val="000000"/>
                <w:sz w:val="24"/>
                <w:szCs w:val="24"/>
              </w:rPr>
              <w:tab/>
              <w:t>16</w:t>
            </w:r>
          </w:hyperlink>
        </w:p>
        <w:p w14:paraId="063DB78A" w14:textId="77777777" w:rsidR="00B06D92" w:rsidRDefault="00000000">
          <w:pPr>
            <w:widowControl w:val="0"/>
            <w:tabs>
              <w:tab w:val="right" w:pos="12000"/>
            </w:tabs>
            <w:spacing w:before="60" w:line="360" w:lineRule="auto"/>
            <w:jc w:val="both"/>
            <w:rPr>
              <w:rFonts w:ascii="Times New Roman" w:eastAsia="Times New Roman" w:hAnsi="Times New Roman" w:cs="Times New Roman"/>
              <w:b/>
              <w:color w:val="000000"/>
            </w:rPr>
          </w:pPr>
          <w:hyperlink w:anchor="_heading=h.49x2ik5">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17</w:t>
            </w:r>
          </w:hyperlink>
        </w:p>
        <w:p w14:paraId="063DB78B" w14:textId="77777777" w:rsidR="00B06D92" w:rsidRDefault="00000000">
          <w:pPr>
            <w:widowControl w:val="0"/>
            <w:tabs>
              <w:tab w:val="right" w:pos="12000"/>
            </w:tabs>
            <w:spacing w:before="60" w:line="360" w:lineRule="auto"/>
            <w:jc w:val="both"/>
            <w:rPr>
              <w:rFonts w:ascii="Times New Roman" w:eastAsia="Times New Roman" w:hAnsi="Times New Roman" w:cs="Times New Roman"/>
              <w:b/>
              <w:color w:val="000000"/>
            </w:rPr>
          </w:pPr>
          <w:hyperlink w:anchor="_heading=h.147n2zr">
            <w:r>
              <w:rPr>
                <w:rFonts w:ascii="Times New Roman" w:eastAsia="Times New Roman" w:hAnsi="Times New Roman" w:cs="Times New Roman"/>
                <w:color w:val="000000"/>
                <w:sz w:val="24"/>
                <w:szCs w:val="24"/>
              </w:rPr>
              <w:t>Reference</w:t>
            </w:r>
            <w:r>
              <w:rPr>
                <w:rFonts w:ascii="Times New Roman" w:eastAsia="Times New Roman" w:hAnsi="Times New Roman" w:cs="Times New Roman"/>
                <w:color w:val="000000"/>
                <w:sz w:val="24"/>
                <w:szCs w:val="24"/>
              </w:rPr>
              <w:tab/>
              <w:t>19</w:t>
            </w:r>
          </w:hyperlink>
          <w:r>
            <w:fldChar w:fldCharType="end"/>
          </w:r>
        </w:p>
      </w:sdtContent>
    </w:sdt>
    <w:p w14:paraId="063DB78C" w14:textId="77777777" w:rsidR="00B06D92" w:rsidRDefault="00B06D92">
      <w:pPr>
        <w:pStyle w:val="Heading1"/>
        <w:spacing w:line="360" w:lineRule="auto"/>
        <w:jc w:val="both"/>
        <w:rPr>
          <w:b w:val="0"/>
          <w:sz w:val="32"/>
          <w:szCs w:val="32"/>
        </w:rPr>
      </w:pPr>
      <w:bookmarkStart w:id="0" w:name="_heading=h.1fob9te" w:colFirst="0" w:colLast="0"/>
      <w:bookmarkEnd w:id="0"/>
    </w:p>
    <w:p w14:paraId="063DB78D" w14:textId="77777777" w:rsidR="00B06D92" w:rsidRDefault="00000000">
      <w:pPr>
        <w:pStyle w:val="Heading1"/>
        <w:spacing w:line="360" w:lineRule="auto"/>
        <w:jc w:val="both"/>
        <w:rPr>
          <w:b w:val="0"/>
          <w:sz w:val="32"/>
          <w:szCs w:val="32"/>
        </w:rPr>
      </w:pPr>
      <w:bookmarkStart w:id="1" w:name="_heading=h.3znysh7" w:colFirst="0" w:colLast="0"/>
      <w:bookmarkEnd w:id="1"/>
      <w:r>
        <w:br w:type="page"/>
      </w:r>
    </w:p>
    <w:p w14:paraId="063DB78E" w14:textId="77777777" w:rsidR="00B06D92" w:rsidRDefault="00000000">
      <w:pPr>
        <w:pStyle w:val="Heading1"/>
        <w:spacing w:line="360" w:lineRule="auto"/>
        <w:jc w:val="both"/>
      </w:pPr>
      <w:bookmarkStart w:id="2" w:name="_heading=h.2et92p0" w:colFirst="0" w:colLast="0"/>
      <w:bookmarkEnd w:id="2"/>
      <w:r>
        <w:lastRenderedPageBreak/>
        <w:t xml:space="preserve">Introduction </w:t>
      </w:r>
    </w:p>
    <w:p w14:paraId="063DB78F" w14:textId="77777777" w:rsidR="00B06D92" w:rsidRDefault="00000000">
      <w:pPr>
        <w:pStyle w:val="Heading2"/>
        <w:spacing w:line="360" w:lineRule="auto"/>
        <w:jc w:val="both"/>
      </w:pPr>
      <w:bookmarkStart w:id="3" w:name="_heading=h.tyjcwt" w:colFirst="0" w:colLast="0"/>
      <w:bookmarkEnd w:id="3"/>
      <w:r>
        <w:t>Background</w:t>
      </w:r>
    </w:p>
    <w:p w14:paraId="063DB790"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Human Resource Management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are essential for the advancement and efficiency of any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222222"/>
          <w:sz w:val="24"/>
          <w:szCs w:val="24"/>
          <w:highlight w:val="white"/>
        </w:rPr>
        <w:t>Anwar, and Abdullah, 2021</w:t>
      </w:r>
      <w:r>
        <w:rPr>
          <w:rFonts w:ascii="Times New Roman" w:eastAsia="Times New Roman" w:hAnsi="Times New Roman" w:cs="Times New Roman"/>
          <w:color w:val="000000"/>
          <w:sz w:val="24"/>
          <w:szCs w:val="24"/>
        </w:rPr>
        <w:t xml:space="preserve">). Besides,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are important fields of study that have attracted much interest recently. Effective HRM </w:t>
      </w:r>
      <w:proofErr w:type="spellStart"/>
      <w:proofErr w:type="gramStart"/>
      <w:r>
        <w:rPr>
          <w:rFonts w:ascii="Times New Roman" w:eastAsia="Times New Roman" w:hAnsi="Times New Roman" w:cs="Times New Roman"/>
          <w:color w:val="000000"/>
          <w:sz w:val="24"/>
          <w:szCs w:val="24"/>
        </w:rPr>
        <w:t>practises</w:t>
      </w:r>
      <w:proofErr w:type="spellEnd"/>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strategies are becoming increasingly important to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in helping them achieve their objectives (</w:t>
      </w:r>
      <w:r>
        <w:rPr>
          <w:rFonts w:ascii="Times New Roman" w:eastAsia="Times New Roman" w:hAnsi="Times New Roman" w:cs="Times New Roman"/>
          <w:color w:val="222222"/>
          <w:sz w:val="24"/>
          <w:szCs w:val="24"/>
          <w:highlight w:val="white"/>
        </w:rPr>
        <w:t>Anwar, and Abdullah, 2021</w:t>
      </w:r>
      <w:r>
        <w:rPr>
          <w:rFonts w:ascii="Times New Roman" w:eastAsia="Times New Roman" w:hAnsi="Times New Roman" w:cs="Times New Roman"/>
          <w:color w:val="000000"/>
          <w:sz w:val="24"/>
          <w:szCs w:val="24"/>
        </w:rPr>
        <w:t xml:space="preserve">). However, how these practices are implemented may vary depending on the kind of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and the types of challenges they may face. In this context, public, corporate, and charity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are known for functioning according to different frameworks and have different aims and difficulties.</w:t>
      </w:r>
    </w:p>
    <w:p w14:paraId="063DB791"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Furthermore,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size, whether big or small, can affect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practices. </w:t>
      </w:r>
      <w:r>
        <w:rPr>
          <w:rFonts w:ascii="Times New Roman" w:eastAsia="Times New Roman" w:hAnsi="Times New Roman" w:cs="Times New Roman"/>
          <w:sz w:val="24"/>
          <w:szCs w:val="24"/>
        </w:rPr>
        <w:t>Moreover</w:t>
      </w:r>
      <w:r>
        <w:rPr>
          <w:rFonts w:ascii="Times New Roman" w:eastAsia="Times New Roman" w:hAnsi="Times New Roman" w:cs="Times New Roman"/>
          <w:color w:val="000000"/>
          <w:sz w:val="24"/>
          <w:szCs w:val="24"/>
        </w:rPr>
        <w:t xml:space="preserve">, the implementation of </w:t>
      </w:r>
      <w:r>
        <w:rPr>
          <w:rFonts w:ascii="Times New Roman" w:eastAsia="Times New Roman" w:hAnsi="Times New Roman" w:cs="Times New Roman"/>
          <w:sz w:val="24"/>
          <w:szCs w:val="24"/>
        </w:rPr>
        <w:t xml:space="preserve">HRM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 practices</w:t>
      </w:r>
      <w:r>
        <w:rPr>
          <w:rFonts w:ascii="Times New Roman" w:eastAsia="Times New Roman" w:hAnsi="Times New Roman" w:cs="Times New Roman"/>
          <w:color w:val="000000"/>
          <w:sz w:val="24"/>
          <w:szCs w:val="24"/>
        </w:rPr>
        <w:t xml:space="preserve"> can be influenced by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structure, whether flat or bureaucratic. T</w:t>
      </w:r>
      <w:r>
        <w:rPr>
          <w:rFonts w:ascii="Times New Roman" w:eastAsia="Times New Roman" w:hAnsi="Times New Roman" w:cs="Times New Roman"/>
          <w:sz w:val="24"/>
          <w:szCs w:val="24"/>
        </w:rPr>
        <w:t>herefore, to</w:t>
      </w:r>
      <w:r>
        <w:rPr>
          <w:rFonts w:ascii="Times New Roman" w:eastAsia="Times New Roman" w:hAnsi="Times New Roman" w:cs="Times New Roman"/>
          <w:color w:val="000000"/>
          <w:sz w:val="24"/>
          <w:szCs w:val="24"/>
        </w:rPr>
        <w:t xml:space="preserve"> create </w:t>
      </w:r>
      <w:proofErr w:type="spellStart"/>
      <w:r>
        <w:rPr>
          <w:rFonts w:ascii="Times New Roman" w:eastAsia="Times New Roman" w:hAnsi="Times New Roman" w:cs="Times New Roman"/>
          <w:color w:val="000000"/>
          <w:sz w:val="24"/>
          <w:szCs w:val="24"/>
        </w:rPr>
        <w:t>specialised</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HRM and corporate growth methods</w:t>
      </w:r>
      <w:r>
        <w:rPr>
          <w:rFonts w:ascii="Times New Roman" w:eastAsia="Times New Roman" w:hAnsi="Times New Roman" w:cs="Times New Roman"/>
          <w:color w:val="000000"/>
          <w:sz w:val="24"/>
          <w:szCs w:val="24"/>
        </w:rPr>
        <w:t>, it is crucial to comprehend these intricacies.</w:t>
      </w:r>
    </w:p>
    <w:p w14:paraId="063DB792" w14:textId="77777777" w:rsidR="00B06D92" w:rsidRDefault="00000000">
      <w:pPr>
        <w:pStyle w:val="Heading2"/>
        <w:spacing w:line="360" w:lineRule="auto"/>
        <w:jc w:val="both"/>
      </w:pPr>
      <w:bookmarkStart w:id="4" w:name="_heading=h.3dy6vkm" w:colFirst="0" w:colLast="0"/>
      <w:bookmarkEnd w:id="4"/>
      <w:r>
        <w:t xml:space="preserve">Significance of the Study </w:t>
      </w:r>
    </w:p>
    <w:p w14:paraId="063DB793"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study will play a significant role for both academics and practitioners because it will add to the pool of information already available on these topics by examining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type's role in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growth and human resource management. Besides, the study will highlight the difficulties and possibilities faced by businesses operating in many industries, including the public, private, and non-profit sectors. </w:t>
      </w:r>
    </w:p>
    <w:p w14:paraId="063DB794" w14:textId="77777777" w:rsidR="00B06D92"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063DB8BB" wp14:editId="063DB8BC">
            <wp:extent cx="5943600" cy="3606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606800"/>
                    </a:xfrm>
                    <a:prstGeom prst="rect">
                      <a:avLst/>
                    </a:prstGeom>
                    <a:ln/>
                  </pic:spPr>
                </pic:pic>
              </a:graphicData>
            </a:graphic>
          </wp:inline>
        </w:drawing>
      </w:r>
    </w:p>
    <w:p w14:paraId="063DB795"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96" w14:textId="77777777" w:rsidR="00B06D92"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 Worldwide HRMS Distribution (2019)</w:t>
      </w:r>
    </w:p>
    <w:p w14:paraId="063DB797" w14:textId="77777777" w:rsidR="00B06D92"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Source: (Statista, 2022)</w:t>
      </w:r>
    </w:p>
    <w:p w14:paraId="063DB798"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99"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above figure presented by Statista (2022), shows that a licensed/</w:t>
      </w:r>
      <w:proofErr w:type="gramStart"/>
      <w:r>
        <w:rPr>
          <w:rFonts w:ascii="Times New Roman" w:eastAsia="Times New Roman" w:hAnsi="Times New Roman" w:cs="Times New Roman"/>
          <w:color w:val="000000"/>
          <w:sz w:val="24"/>
          <w:szCs w:val="24"/>
        </w:rPr>
        <w:t>on-premise</w:t>
      </w:r>
      <w:proofErr w:type="gramEnd"/>
      <w:r>
        <w:rPr>
          <w:rFonts w:ascii="Times New Roman" w:eastAsia="Times New Roman" w:hAnsi="Times New Roman" w:cs="Times New Roman"/>
          <w:color w:val="000000"/>
          <w:sz w:val="24"/>
          <w:szCs w:val="24"/>
        </w:rPr>
        <w:t xml:space="preserve"> Human Resources Management System (HRMS) was disclosed by 47% of large-sized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whereas the same goes for both small and medium-sized enterprises as 73%. In this context, the study will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both large-scale and small-scale businesses, which will provide insight into the </w:t>
      </w:r>
      <w:proofErr w:type="gramStart"/>
      <w:r>
        <w:rPr>
          <w:rFonts w:ascii="Times New Roman" w:eastAsia="Times New Roman" w:hAnsi="Times New Roman" w:cs="Times New Roman"/>
          <w:color w:val="000000"/>
          <w:sz w:val="24"/>
          <w:szCs w:val="24"/>
        </w:rPr>
        <w:t>particular issues</w:t>
      </w:r>
      <w:proofErr w:type="gramEnd"/>
      <w:r>
        <w:rPr>
          <w:rFonts w:ascii="Times New Roman" w:eastAsia="Times New Roman" w:hAnsi="Times New Roman" w:cs="Times New Roman"/>
          <w:color w:val="000000"/>
          <w:sz w:val="24"/>
          <w:szCs w:val="24"/>
        </w:rPr>
        <w:t xml:space="preserve"> and approaches needed for efficient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management. Moreover, the analysis of bureaucratic and flat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structures will provide insightful information about how these structures affect the adoption of HRM practices. </w:t>
      </w:r>
      <w:proofErr w:type="gramStart"/>
      <w:r>
        <w:rPr>
          <w:rFonts w:ascii="Times New Roman" w:eastAsia="Times New Roman" w:hAnsi="Times New Roman" w:cs="Times New Roman"/>
          <w:color w:val="000000"/>
          <w:sz w:val="24"/>
          <w:szCs w:val="24"/>
        </w:rPr>
        <w:t>Last but not least</w:t>
      </w:r>
      <w:proofErr w:type="gramEnd"/>
      <w:r>
        <w:rPr>
          <w:rFonts w:ascii="Times New Roman" w:eastAsia="Times New Roman" w:hAnsi="Times New Roman" w:cs="Times New Roman"/>
          <w:color w:val="000000"/>
          <w:sz w:val="24"/>
          <w:szCs w:val="24"/>
        </w:rPr>
        <w:t xml:space="preserve">, by examining resource-based theory and agency theory, we will be better able to comprehend the fundamental ideas that guide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growth and human resources practices in a variety of diverse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contexts. The results of this study may be </w:t>
      </w:r>
      <w:proofErr w:type="spellStart"/>
      <w:r>
        <w:rPr>
          <w:rFonts w:ascii="Times New Roman" w:eastAsia="Times New Roman" w:hAnsi="Times New Roman" w:cs="Times New Roman"/>
          <w:color w:val="000000"/>
          <w:sz w:val="24"/>
          <w:szCs w:val="24"/>
        </w:rPr>
        <w:t>utilised</w:t>
      </w:r>
      <w:proofErr w:type="spellEnd"/>
      <w:r>
        <w:rPr>
          <w:rFonts w:ascii="Times New Roman" w:eastAsia="Times New Roman" w:hAnsi="Times New Roman" w:cs="Times New Roman"/>
          <w:color w:val="000000"/>
          <w:sz w:val="24"/>
          <w:szCs w:val="24"/>
        </w:rPr>
        <w:t xml:space="preserve"> in guiding the design of best practices and strategies to improve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in a broad range of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scenarios.</w:t>
      </w:r>
    </w:p>
    <w:p w14:paraId="063DB79A"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63DB79B" w14:textId="77777777" w:rsidR="00B06D92" w:rsidRDefault="00000000">
      <w:pPr>
        <w:pStyle w:val="Heading1"/>
        <w:spacing w:line="360" w:lineRule="auto"/>
        <w:jc w:val="both"/>
      </w:pPr>
      <w:bookmarkStart w:id="5" w:name="_heading=h.1t3h5sf" w:colFirst="0" w:colLast="0"/>
      <w:bookmarkEnd w:id="5"/>
      <w:r>
        <w:lastRenderedPageBreak/>
        <w:t xml:space="preserve">Research Aim and Objectives and Three Relevant Questions  </w:t>
      </w:r>
    </w:p>
    <w:p w14:paraId="063DB79C"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Aim:</w:t>
      </w:r>
    </w:p>
    <w:p w14:paraId="063DB79D"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63DB79E"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aim of the research is to offer insights into how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type impacts the development of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and human resource management (HRM) practices.</w:t>
      </w:r>
    </w:p>
    <w:p w14:paraId="063DB79F"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63DB7A0"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Objective:</w:t>
      </w:r>
    </w:p>
    <w:p w14:paraId="063DB7A1"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A2" w14:textId="77777777" w:rsidR="00B06D92"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gain insight into the contextual elements that affect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w:t>
      </w:r>
      <w:proofErr w:type="spellStart"/>
      <w:r>
        <w:rPr>
          <w:rFonts w:ascii="Times New Roman" w:eastAsia="Times New Roman" w:hAnsi="Times New Roman" w:cs="Times New Roman"/>
          <w:color w:val="000000"/>
          <w:sz w:val="24"/>
          <w:szCs w:val="24"/>
        </w:rPr>
        <w:t>practise</w:t>
      </w:r>
      <w:proofErr w:type="spellEnd"/>
      <w:r>
        <w:rPr>
          <w:rFonts w:ascii="Times New Roman" w:eastAsia="Times New Roman" w:hAnsi="Times New Roman" w:cs="Times New Roman"/>
          <w:color w:val="000000"/>
          <w:sz w:val="24"/>
          <w:szCs w:val="24"/>
        </w:rPr>
        <w:t xml:space="preserve"> while identifying the distinctive methods and strategies used by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operating in various industries.</w:t>
      </w:r>
    </w:p>
    <w:p w14:paraId="063DB7A3" w14:textId="77777777" w:rsidR="00B06D92"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comprehend how an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size affects designs and implementation of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practices while enabling a thorough grasp of the unique difficulties and possibilities presented by various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sizes.</w:t>
      </w:r>
    </w:p>
    <w:p w14:paraId="063DB7A4" w14:textId="77777777" w:rsidR="00B06D92"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examine how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structure affects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growth initiatives while providing information on the benefits and drawbacks of various structural methods.</w:t>
      </w:r>
    </w:p>
    <w:p w14:paraId="063DB7A5"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63DB7A6"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Research Questions:</w:t>
      </w:r>
    </w:p>
    <w:p w14:paraId="063DB7A7"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A8" w14:textId="77777777" w:rsidR="00B06D92"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What unique approaches and techniques are used by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in various industries, and how do contextual factors affect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w:t>
      </w:r>
      <w:proofErr w:type="spellStart"/>
      <w:r>
        <w:rPr>
          <w:rFonts w:ascii="Times New Roman" w:eastAsia="Times New Roman" w:hAnsi="Times New Roman" w:cs="Times New Roman"/>
          <w:color w:val="000000"/>
          <w:sz w:val="24"/>
          <w:szCs w:val="24"/>
        </w:rPr>
        <w:t>practises</w:t>
      </w:r>
      <w:proofErr w:type="spellEnd"/>
      <w:r>
        <w:rPr>
          <w:rFonts w:ascii="Times New Roman" w:eastAsia="Times New Roman" w:hAnsi="Times New Roman" w:cs="Times New Roman"/>
          <w:color w:val="000000"/>
          <w:sz w:val="24"/>
          <w:szCs w:val="24"/>
        </w:rPr>
        <w:t>?</w:t>
      </w:r>
    </w:p>
    <w:p w14:paraId="063DB7A9" w14:textId="77777777" w:rsidR="00B06D92"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What unique challenges and future possibilities correspond with various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sizes, and how do they influence the design and performance of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practices?</w:t>
      </w:r>
    </w:p>
    <w:p w14:paraId="063DB7AA" w14:textId="77777777" w:rsidR="00B06D92"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What are the advantages and drawbacks of the different frameworks in influencing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activities, and how does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structure influence these initiatives?</w:t>
      </w:r>
    </w:p>
    <w:p w14:paraId="063DB7AB" w14:textId="77777777" w:rsidR="00B06D92" w:rsidRDefault="00B06D92">
      <w:pPr>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p>
    <w:p w14:paraId="063DB7AC" w14:textId="77777777" w:rsidR="00B06D92" w:rsidRDefault="00000000">
      <w:pPr>
        <w:pStyle w:val="Heading1"/>
        <w:spacing w:line="360" w:lineRule="auto"/>
        <w:jc w:val="both"/>
      </w:pPr>
      <w:bookmarkStart w:id="6" w:name="_heading=h.4d34og8" w:colFirst="0" w:colLast="0"/>
      <w:bookmarkEnd w:id="6"/>
      <w:r>
        <w:lastRenderedPageBreak/>
        <w:t xml:space="preserve">Literature Review </w:t>
      </w:r>
    </w:p>
    <w:p w14:paraId="063DB7AD" w14:textId="77777777" w:rsidR="00B06D92" w:rsidRDefault="00000000">
      <w:pPr>
        <w:pStyle w:val="Heading2"/>
        <w:spacing w:line="360" w:lineRule="auto"/>
        <w:jc w:val="both"/>
      </w:pPr>
      <w:bookmarkStart w:id="7" w:name="_heading=h.2s8eyo1" w:colFirst="0" w:colLast="0"/>
      <w:bookmarkEnd w:id="7"/>
      <w:r>
        <w:t xml:space="preserve">Contextual Factors Influencing HRM and </w:t>
      </w:r>
      <w:proofErr w:type="spellStart"/>
      <w:r>
        <w:t>Organisational</w:t>
      </w:r>
      <w:proofErr w:type="spellEnd"/>
      <w:r>
        <w:t xml:space="preserve"> Development:</w:t>
      </w:r>
    </w:p>
    <w:p w14:paraId="063DB7AE"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AF"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The study by </w:t>
      </w:r>
      <w:proofErr w:type="spellStart"/>
      <w:r>
        <w:rPr>
          <w:rFonts w:ascii="Times New Roman" w:eastAsia="Times New Roman" w:hAnsi="Times New Roman" w:cs="Times New Roman"/>
          <w:color w:val="000000"/>
          <w:sz w:val="24"/>
          <w:szCs w:val="24"/>
        </w:rPr>
        <w:t>Dirani</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examined the impact of HRM </w:t>
      </w:r>
      <w:proofErr w:type="spellStart"/>
      <w:r>
        <w:rPr>
          <w:rFonts w:ascii="Times New Roman" w:eastAsia="Times New Roman" w:hAnsi="Times New Roman" w:cs="Times New Roman"/>
          <w:color w:val="000000"/>
          <w:sz w:val="24"/>
          <w:szCs w:val="24"/>
        </w:rPr>
        <w:t>practises</w:t>
      </w:r>
      <w:proofErr w:type="spellEnd"/>
      <w:r>
        <w:rPr>
          <w:rFonts w:ascii="Times New Roman" w:eastAsia="Times New Roman" w:hAnsi="Times New Roman" w:cs="Times New Roman"/>
          <w:color w:val="000000"/>
          <w:sz w:val="24"/>
          <w:szCs w:val="24"/>
        </w:rPr>
        <w:t xml:space="preserve"> on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performance to gain insight into the contextual factors that influence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w:t>
      </w:r>
      <w:proofErr w:type="spellStart"/>
      <w:r>
        <w:rPr>
          <w:rFonts w:ascii="Times New Roman" w:eastAsia="Times New Roman" w:hAnsi="Times New Roman" w:cs="Times New Roman"/>
          <w:color w:val="000000"/>
          <w:sz w:val="24"/>
          <w:szCs w:val="24"/>
        </w:rPr>
        <w:t>practise</w:t>
      </w:r>
      <w:proofErr w:type="spellEnd"/>
      <w:r>
        <w:rPr>
          <w:rFonts w:ascii="Times New Roman" w:eastAsia="Times New Roman" w:hAnsi="Times New Roman" w:cs="Times New Roman"/>
          <w:color w:val="000000"/>
          <w:sz w:val="24"/>
          <w:szCs w:val="24"/>
        </w:rPr>
        <w:t xml:space="preserve"> and leadership competencies while identifying the distinctive methods and strategies used by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operating in multiple industries. In this context, the research by Anwar and Abdullah (2021), also depicts that successful HRM practices have a </w:t>
      </w:r>
      <w:proofErr w:type="spellStart"/>
      <w:r>
        <w:rPr>
          <w:rFonts w:ascii="Times New Roman" w:eastAsia="Times New Roman" w:hAnsi="Times New Roman" w:cs="Times New Roman"/>
          <w:color w:val="000000"/>
          <w:sz w:val="24"/>
          <w:szCs w:val="24"/>
        </w:rPr>
        <w:t>favourable</w:t>
      </w:r>
      <w:proofErr w:type="spellEnd"/>
      <w:r>
        <w:rPr>
          <w:rFonts w:ascii="Times New Roman" w:eastAsia="Times New Roman" w:hAnsi="Times New Roman" w:cs="Times New Roman"/>
          <w:color w:val="000000"/>
          <w:sz w:val="24"/>
          <w:szCs w:val="24"/>
        </w:rPr>
        <w:t xml:space="preserve"> impact on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performance, especially when they blend with strategic goals and promote a culture of innovation and learning. Additionally, the coordination of HRM with strategic goals helps in developing a culture of innovation and learning and improving employee engagement and performance while stimulating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transformation in the public sector (</w:t>
      </w:r>
      <w:proofErr w:type="spellStart"/>
      <w:r>
        <w:rPr>
          <w:rFonts w:ascii="Times New Roman" w:eastAsia="Times New Roman" w:hAnsi="Times New Roman" w:cs="Times New Roman"/>
          <w:color w:val="000000"/>
          <w:sz w:val="24"/>
          <w:szCs w:val="24"/>
        </w:rPr>
        <w:t>Kravariti</w:t>
      </w:r>
      <w:proofErr w:type="spellEnd"/>
      <w:r>
        <w:rPr>
          <w:rFonts w:ascii="Times New Roman" w:eastAsia="Times New Roman" w:hAnsi="Times New Roman" w:cs="Times New Roman"/>
          <w:color w:val="000000"/>
          <w:sz w:val="24"/>
          <w:szCs w:val="24"/>
        </w:rPr>
        <w:t xml:space="preserve"> and Johnston, 2020). Therefore, contextual factors, including strategic alignment and adaptability to crises, play a significant role in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practice. Moreover, according to </w:t>
      </w:r>
      <w:proofErr w:type="spellStart"/>
      <w:r>
        <w:rPr>
          <w:rFonts w:ascii="Times New Roman" w:eastAsia="Times New Roman" w:hAnsi="Times New Roman" w:cs="Times New Roman"/>
          <w:color w:val="000000"/>
          <w:sz w:val="24"/>
          <w:szCs w:val="24"/>
        </w:rPr>
        <w:t>Alibekova</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the need for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excellence is motivated by strategic planning, commitment to a common vision, and effective performance. Therefore,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must align HRM practices with their strategic goals, promote a culture of productivity and learning, and build leadership skills to improve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performance.</w:t>
      </w:r>
    </w:p>
    <w:p w14:paraId="063DB7B0"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B1" w14:textId="77777777" w:rsidR="00B06D92" w:rsidRDefault="00000000">
      <w:pPr>
        <w:pStyle w:val="Heading2"/>
        <w:spacing w:line="360" w:lineRule="auto"/>
        <w:jc w:val="both"/>
      </w:pPr>
      <w:bookmarkStart w:id="8" w:name="_heading=h.17dp8vu" w:colFirst="0" w:colLast="0"/>
      <w:bookmarkEnd w:id="8"/>
      <w:r>
        <w:t>Impact of Organizational Size on HRM and Organizational Development:</w:t>
      </w:r>
    </w:p>
    <w:p w14:paraId="063DB7B2"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B3"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Understanding the challenges and opportunities due to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sizes requires understanding how an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size influences the design and execution of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practices. In this context, the research by </w:t>
      </w:r>
      <w:proofErr w:type="spellStart"/>
      <w:r>
        <w:rPr>
          <w:rFonts w:ascii="Times New Roman" w:eastAsia="Times New Roman" w:hAnsi="Times New Roman" w:cs="Times New Roman"/>
          <w:color w:val="000000"/>
          <w:sz w:val="24"/>
          <w:szCs w:val="24"/>
        </w:rPr>
        <w:t>Kravariti</w:t>
      </w:r>
      <w:proofErr w:type="spellEnd"/>
      <w:r>
        <w:rPr>
          <w:rFonts w:ascii="Times New Roman" w:eastAsia="Times New Roman" w:hAnsi="Times New Roman" w:cs="Times New Roman"/>
          <w:color w:val="000000"/>
          <w:sz w:val="24"/>
          <w:szCs w:val="24"/>
        </w:rPr>
        <w:t xml:space="preserve"> and Johnston (2020) describes talent management as a crucial component of HRM in the public sector. Moreover, </w:t>
      </w:r>
      <w:proofErr w:type="spellStart"/>
      <w:r>
        <w:rPr>
          <w:rFonts w:ascii="Times New Roman" w:eastAsia="Times New Roman" w:hAnsi="Times New Roman" w:cs="Times New Roman"/>
          <w:color w:val="000000"/>
          <w:sz w:val="24"/>
          <w:szCs w:val="24"/>
        </w:rPr>
        <w:t>Arbab</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Abaker</w:t>
      </w:r>
      <w:proofErr w:type="spellEnd"/>
      <w:r>
        <w:rPr>
          <w:rFonts w:ascii="Times New Roman" w:eastAsia="Times New Roman" w:hAnsi="Times New Roman" w:cs="Times New Roman"/>
          <w:color w:val="000000"/>
          <w:sz w:val="24"/>
          <w:szCs w:val="24"/>
        </w:rPr>
        <w:t xml:space="preserve"> (2018) highlight that HRM practices play a significant role in bringing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excellence within public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Therefore, in order to achieve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excellence in the public sector, talent management and strategic HRM are essential. However, the private sector </w:t>
      </w:r>
      <w:r>
        <w:rPr>
          <w:rFonts w:ascii="Times New Roman" w:eastAsia="Times New Roman" w:hAnsi="Times New Roman" w:cs="Times New Roman"/>
          <w:color w:val="000000"/>
          <w:sz w:val="24"/>
          <w:szCs w:val="24"/>
        </w:rPr>
        <w:lastRenderedPageBreak/>
        <w:t xml:space="preserve">may encounter difficulties such as a shortage of competent workers, skill gaps, resistance to change and excessive turnover. Consequently, the research by Oliveira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suggests that HRM may boost employee engagement and integrate with business goals to be a source of competitive advantage in the private sector. Therefore, it is essential to comprehend the distinct challenges due to different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sizes to manage HRM </w:t>
      </w:r>
      <w:proofErr w:type="spellStart"/>
      <w:r>
        <w:rPr>
          <w:rFonts w:ascii="Times New Roman" w:eastAsia="Times New Roman" w:hAnsi="Times New Roman" w:cs="Times New Roman"/>
          <w:color w:val="000000"/>
          <w:sz w:val="24"/>
          <w:szCs w:val="24"/>
        </w:rPr>
        <w:t>practises</w:t>
      </w:r>
      <w:proofErr w:type="spellEnd"/>
      <w:r>
        <w:rPr>
          <w:rFonts w:ascii="Times New Roman" w:eastAsia="Times New Roman" w:hAnsi="Times New Roman" w:cs="Times New Roman"/>
          <w:color w:val="000000"/>
          <w:sz w:val="24"/>
          <w:szCs w:val="24"/>
        </w:rPr>
        <w:t xml:space="preserve"> successfully while grasping new opportunities.</w:t>
      </w:r>
    </w:p>
    <w:p w14:paraId="063DB7B4"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B5" w14:textId="77777777" w:rsidR="00B06D92" w:rsidRDefault="00000000">
      <w:pPr>
        <w:pStyle w:val="Heading2"/>
        <w:spacing w:line="360" w:lineRule="auto"/>
        <w:jc w:val="both"/>
      </w:pPr>
      <w:bookmarkStart w:id="9" w:name="_heading=h.3rdcrjn" w:colFirst="0" w:colLast="0"/>
      <w:bookmarkEnd w:id="9"/>
      <w:proofErr w:type="spellStart"/>
      <w:r>
        <w:t>Organisational</w:t>
      </w:r>
      <w:proofErr w:type="spellEnd"/>
      <w:r>
        <w:t xml:space="preserve"> Structure and Its Impact on HRM and </w:t>
      </w:r>
      <w:proofErr w:type="spellStart"/>
      <w:r>
        <w:t>Organisational</w:t>
      </w:r>
      <w:proofErr w:type="spellEnd"/>
      <w:r>
        <w:t xml:space="preserve"> Growth:</w:t>
      </w:r>
    </w:p>
    <w:p w14:paraId="063DB7B6"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063DB7B7"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Oliveira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w:t>
      </w:r>
      <w:proofErr w:type="spellStart"/>
      <w:r>
        <w:rPr>
          <w:rFonts w:ascii="Times New Roman" w:eastAsia="Times New Roman" w:hAnsi="Times New Roman" w:cs="Times New Roman"/>
          <w:color w:val="000000"/>
          <w:sz w:val="24"/>
          <w:szCs w:val="24"/>
        </w:rPr>
        <w:t>emphasised</w:t>
      </w:r>
      <w:proofErr w:type="spellEnd"/>
      <w:r>
        <w:rPr>
          <w:rFonts w:ascii="Times New Roman" w:eastAsia="Times New Roman" w:hAnsi="Times New Roman" w:cs="Times New Roman"/>
          <w:color w:val="000000"/>
          <w:sz w:val="24"/>
          <w:szCs w:val="24"/>
        </w:rPr>
        <w:t xml:space="preserve"> the interaction between HRM, company strategy, and open innovation in non-profit-profit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while exploring the impacts of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growth initiatives and their benefits and drawbacks on various structural methods. In response, according to Palacios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structure might have an impact on the responsibilities and tasks of HRM inside a non-profit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As an example, in a hierarchical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HRM may perform a formal, </w:t>
      </w:r>
      <w:proofErr w:type="spellStart"/>
      <w:r>
        <w:rPr>
          <w:rFonts w:ascii="Times New Roman" w:eastAsia="Times New Roman" w:hAnsi="Times New Roman" w:cs="Times New Roman"/>
          <w:color w:val="000000"/>
          <w:sz w:val="24"/>
          <w:szCs w:val="24"/>
        </w:rPr>
        <w:t>centralised</w:t>
      </w:r>
      <w:proofErr w:type="spellEnd"/>
      <w:r>
        <w:rPr>
          <w:rFonts w:ascii="Times New Roman" w:eastAsia="Times New Roman" w:hAnsi="Times New Roman" w:cs="Times New Roman"/>
          <w:color w:val="000000"/>
          <w:sz w:val="24"/>
          <w:szCs w:val="24"/>
        </w:rPr>
        <w:t xml:space="preserve"> function while playing a more informal, </w:t>
      </w:r>
      <w:proofErr w:type="spellStart"/>
      <w:r>
        <w:rPr>
          <w:rFonts w:ascii="Times New Roman" w:eastAsia="Times New Roman" w:hAnsi="Times New Roman" w:cs="Times New Roman"/>
          <w:color w:val="000000"/>
          <w:sz w:val="24"/>
          <w:szCs w:val="24"/>
        </w:rPr>
        <w:t>decentralised</w:t>
      </w:r>
      <w:proofErr w:type="spellEnd"/>
      <w:r>
        <w:rPr>
          <w:rFonts w:ascii="Times New Roman" w:eastAsia="Times New Roman" w:hAnsi="Times New Roman" w:cs="Times New Roman"/>
          <w:color w:val="000000"/>
          <w:sz w:val="24"/>
          <w:szCs w:val="24"/>
        </w:rPr>
        <w:t xml:space="preserve"> role in a flat or network structure. Therefore,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expansion and types of structures, including flat and bureaucratic structures in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can offer opportunities, including enhanced performance, expanding capabilities and acquiring talent within the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while maintaining sustainable and eco-friendly practices. In this context, the study by </w:t>
      </w:r>
      <w:proofErr w:type="spellStart"/>
      <w:r>
        <w:rPr>
          <w:rFonts w:ascii="Times New Roman" w:eastAsia="Times New Roman" w:hAnsi="Times New Roman" w:cs="Times New Roman"/>
          <w:color w:val="000000"/>
          <w:sz w:val="24"/>
          <w:szCs w:val="24"/>
        </w:rPr>
        <w:t>Ceptureanu</w:t>
      </w:r>
      <w:proofErr w:type="spellEnd"/>
      <w:r>
        <w:rPr>
          <w:rFonts w:ascii="Times New Roman" w:eastAsia="Times New Roman" w:hAnsi="Times New Roman" w:cs="Times New Roman"/>
          <w:color w:val="000000"/>
          <w:sz w:val="24"/>
          <w:szCs w:val="24"/>
        </w:rPr>
        <w:t xml:space="preserve"> &amp; </w:t>
      </w:r>
      <w:proofErr w:type="spellStart"/>
      <w:r>
        <w:rPr>
          <w:rFonts w:ascii="Times New Roman" w:eastAsia="Times New Roman" w:hAnsi="Times New Roman" w:cs="Times New Roman"/>
          <w:color w:val="000000"/>
          <w:sz w:val="24"/>
          <w:szCs w:val="24"/>
        </w:rPr>
        <w:t>Ceptureanu</w:t>
      </w:r>
      <w:proofErr w:type="spellEnd"/>
      <w:r>
        <w:rPr>
          <w:rFonts w:ascii="Times New Roman" w:eastAsia="Times New Roman" w:hAnsi="Times New Roman" w:cs="Times New Roman"/>
          <w:color w:val="000000"/>
          <w:sz w:val="24"/>
          <w:szCs w:val="24"/>
        </w:rPr>
        <w:t xml:space="preserve"> (2019) </w:t>
      </w:r>
      <w:proofErr w:type="spellStart"/>
      <w:r>
        <w:rPr>
          <w:rFonts w:ascii="Times New Roman" w:eastAsia="Times New Roman" w:hAnsi="Times New Roman" w:cs="Times New Roman"/>
          <w:color w:val="000000"/>
          <w:sz w:val="24"/>
          <w:szCs w:val="24"/>
        </w:rPr>
        <w:t>emphasises</w:t>
      </w:r>
      <w:proofErr w:type="spellEnd"/>
      <w:r>
        <w:rPr>
          <w:rFonts w:ascii="Times New Roman" w:eastAsia="Times New Roman" w:hAnsi="Times New Roman" w:cs="Times New Roman"/>
          <w:color w:val="000000"/>
          <w:sz w:val="24"/>
          <w:szCs w:val="24"/>
        </w:rPr>
        <w:t xml:space="preserve"> the significance of sustainability in the non-profit sector to ensure that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is able to</w:t>
      </w:r>
      <w:proofErr w:type="gramEnd"/>
      <w:r>
        <w:rPr>
          <w:rFonts w:ascii="Times New Roman" w:eastAsia="Times New Roman" w:hAnsi="Times New Roman" w:cs="Times New Roman"/>
          <w:color w:val="000000"/>
          <w:sz w:val="24"/>
          <w:szCs w:val="24"/>
        </w:rPr>
        <w:t xml:space="preserve"> achieve its goals. In conclusion, understanding and evaluating diverse structural approaches and their advantages and disadvantages will offer priceless insights for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in a variety of scenarios.</w:t>
      </w:r>
    </w:p>
    <w:p w14:paraId="4006AB07" w14:textId="77777777" w:rsidR="00A543FB" w:rsidRDefault="00A543F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5265984" w14:textId="77777777" w:rsidR="00A543FB" w:rsidRDefault="00A543F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FC25B29" w14:textId="77777777" w:rsidR="00A543FB" w:rsidRDefault="00A543F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33E45F8" w14:textId="77777777" w:rsidR="00A543FB" w:rsidRDefault="00A543F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B3DC87E" w14:textId="77777777" w:rsidR="00A543FB" w:rsidRDefault="00A543FB">
      <w:pPr>
        <w:pBdr>
          <w:top w:val="nil"/>
          <w:left w:val="nil"/>
          <w:bottom w:val="nil"/>
          <w:right w:val="nil"/>
          <w:between w:val="nil"/>
        </w:pBdr>
        <w:spacing w:line="360" w:lineRule="auto"/>
        <w:jc w:val="both"/>
        <w:rPr>
          <w:rFonts w:ascii="Times New Roman" w:eastAsia="Times New Roman" w:hAnsi="Times New Roman" w:cs="Times New Roman"/>
          <w:color w:val="222222"/>
          <w:sz w:val="19"/>
          <w:szCs w:val="19"/>
        </w:rPr>
      </w:pPr>
    </w:p>
    <w:p w14:paraId="063DB7B8" w14:textId="77777777" w:rsidR="00B06D92" w:rsidRDefault="00000000">
      <w:pPr>
        <w:pStyle w:val="Heading2"/>
        <w:spacing w:line="360" w:lineRule="auto"/>
        <w:jc w:val="both"/>
      </w:pPr>
      <w:bookmarkStart w:id="10" w:name="_heading=h.26in1rg" w:colFirst="0" w:colLast="0"/>
      <w:bookmarkEnd w:id="10"/>
      <w:r>
        <w:lastRenderedPageBreak/>
        <w:t>Theories</w:t>
      </w:r>
    </w:p>
    <w:p w14:paraId="063DB7B9"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Resource-Based Theory:</w:t>
      </w:r>
    </w:p>
    <w:p w14:paraId="063DB7BA"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BB"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BC" w14:textId="77777777" w:rsidR="00B06D92"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114300" distB="114300" distL="114300" distR="114300" wp14:anchorId="063DB8BD" wp14:editId="063DB8BE">
            <wp:extent cx="5305425" cy="24384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305425" cy="2438400"/>
                    </a:xfrm>
                    <a:prstGeom prst="rect">
                      <a:avLst/>
                    </a:prstGeom>
                    <a:ln/>
                  </pic:spPr>
                </pic:pic>
              </a:graphicData>
            </a:graphic>
          </wp:inline>
        </w:drawing>
      </w:r>
    </w:p>
    <w:p w14:paraId="063DB7BD"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BE" w14:textId="77777777" w:rsidR="00B06D92"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2: Resource-Based View</w:t>
      </w:r>
    </w:p>
    <w:p w14:paraId="063DB7BF" w14:textId="77777777" w:rsidR="00B06D92"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Source: (</w:t>
      </w:r>
      <w:proofErr w:type="spellStart"/>
      <w:r>
        <w:rPr>
          <w:rFonts w:ascii="Times New Roman" w:eastAsia="Times New Roman" w:hAnsi="Times New Roman" w:cs="Times New Roman"/>
          <w:b/>
          <w:color w:val="000000"/>
          <w:sz w:val="24"/>
          <w:szCs w:val="24"/>
        </w:rPr>
        <w:t>Ogutu</w:t>
      </w:r>
      <w:proofErr w:type="spellEnd"/>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b/>
          <w:i/>
          <w:color w:val="000000"/>
          <w:sz w:val="24"/>
          <w:szCs w:val="24"/>
        </w:rPr>
        <w:t>et al.</w:t>
      </w:r>
      <w:r>
        <w:rPr>
          <w:rFonts w:ascii="Times New Roman" w:eastAsia="Times New Roman" w:hAnsi="Times New Roman" w:cs="Times New Roman"/>
          <w:b/>
          <w:color w:val="000000"/>
          <w:sz w:val="24"/>
          <w:szCs w:val="24"/>
        </w:rPr>
        <w:t>, 2023)</w:t>
      </w:r>
    </w:p>
    <w:p w14:paraId="063DB7C0"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C1"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According to resource-based theory, a company's distinct and valued resources, which include tangible, intangible, and human assets, are what give it a competitive edge (</w:t>
      </w:r>
      <w:proofErr w:type="spellStart"/>
      <w:r>
        <w:rPr>
          <w:rFonts w:ascii="Times New Roman" w:eastAsia="Times New Roman" w:hAnsi="Times New Roman" w:cs="Times New Roman"/>
          <w:color w:val="000000"/>
          <w:sz w:val="24"/>
          <w:szCs w:val="24"/>
        </w:rPr>
        <w:t>Ogutu</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Therefore, the resource-based theory </w:t>
      </w:r>
      <w:proofErr w:type="spellStart"/>
      <w:r>
        <w:rPr>
          <w:rFonts w:ascii="Times New Roman" w:eastAsia="Times New Roman" w:hAnsi="Times New Roman" w:cs="Times New Roman"/>
          <w:color w:val="000000"/>
          <w:sz w:val="24"/>
          <w:szCs w:val="24"/>
        </w:rPr>
        <w:t>emphasises</w:t>
      </w:r>
      <w:proofErr w:type="spellEnd"/>
      <w:r>
        <w:rPr>
          <w:rFonts w:ascii="Times New Roman" w:eastAsia="Times New Roman" w:hAnsi="Times New Roman" w:cs="Times New Roman"/>
          <w:color w:val="000000"/>
          <w:sz w:val="24"/>
          <w:szCs w:val="24"/>
        </w:rPr>
        <w:t xml:space="preserve"> that a company's distinct resources and competencies provide it with a competitive edge. In this context, resource-based theory highlights the significance of strategically using and controlling human resources in the framework of HRM in order to accomplish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goals while offering guidance for the development of HR procedures that bring in, nurture, and keep valuable personnel, therefore fostering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growth.</w:t>
      </w:r>
    </w:p>
    <w:p w14:paraId="063DB7C2"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3F90B4F" w14:textId="77777777" w:rsidR="00A543FB" w:rsidRDefault="00A543F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FD07CA3" w14:textId="77777777" w:rsidR="00A543FB" w:rsidRDefault="00A543F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89DC611" w14:textId="77777777" w:rsidR="00A543FB" w:rsidRDefault="00A543F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63DB7C3"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63DB7C4"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Agency Theory:</w:t>
      </w:r>
    </w:p>
    <w:p w14:paraId="063DB7C5"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C6" w14:textId="77777777" w:rsidR="00B06D92"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114300" distB="114300" distL="114300" distR="114300" wp14:anchorId="063DB8BF" wp14:editId="063DB8C0">
            <wp:extent cx="5943600" cy="24638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2463800"/>
                    </a:xfrm>
                    <a:prstGeom prst="rect">
                      <a:avLst/>
                    </a:prstGeom>
                    <a:ln/>
                  </pic:spPr>
                </pic:pic>
              </a:graphicData>
            </a:graphic>
          </wp:inline>
        </w:drawing>
      </w:r>
    </w:p>
    <w:p w14:paraId="063DB7C7"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C8" w14:textId="77777777" w:rsidR="00B06D92"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3: Agency Theory</w:t>
      </w:r>
    </w:p>
    <w:p w14:paraId="063DB7C9" w14:textId="77777777" w:rsidR="00B06D92"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Source: (</w:t>
      </w:r>
      <w:proofErr w:type="spellStart"/>
      <w:r>
        <w:rPr>
          <w:rFonts w:ascii="Times New Roman" w:eastAsia="Times New Roman" w:hAnsi="Times New Roman" w:cs="Times New Roman"/>
          <w:b/>
          <w:color w:val="000000"/>
          <w:sz w:val="24"/>
          <w:szCs w:val="24"/>
        </w:rPr>
        <w:t>Researchgate</w:t>
      </w:r>
      <w:proofErr w:type="spellEnd"/>
      <w:r>
        <w:rPr>
          <w:rFonts w:ascii="Times New Roman" w:eastAsia="Times New Roman" w:hAnsi="Times New Roman" w:cs="Times New Roman"/>
          <w:b/>
          <w:color w:val="000000"/>
          <w:sz w:val="24"/>
          <w:szCs w:val="24"/>
        </w:rPr>
        <w:t>, 2023)</w:t>
      </w:r>
    </w:p>
    <w:p w14:paraId="063DB7CA"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CB"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the above figure presented by </w:t>
      </w:r>
      <w:proofErr w:type="spellStart"/>
      <w:r>
        <w:rPr>
          <w:rFonts w:ascii="Times New Roman" w:eastAsia="Times New Roman" w:hAnsi="Times New Roman" w:cs="Times New Roman"/>
          <w:color w:val="222222"/>
          <w:sz w:val="24"/>
          <w:szCs w:val="24"/>
          <w:highlight w:val="white"/>
        </w:rPr>
        <w:t>Snippert</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(2015), c</w:t>
      </w:r>
      <w:r>
        <w:rPr>
          <w:rFonts w:ascii="Times New Roman" w:eastAsia="Times New Roman" w:hAnsi="Times New Roman" w:cs="Times New Roman"/>
          <w:color w:val="000000"/>
          <w:sz w:val="24"/>
          <w:szCs w:val="24"/>
        </w:rPr>
        <w:t xml:space="preserve">onflicts of interest between principals (owners/shareholders) and agents (employees/managers) are possible, according to agency theory. Therefore, in order to match employee interests with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goals, the agency theory approach </w:t>
      </w:r>
      <w:proofErr w:type="spellStart"/>
      <w:r>
        <w:rPr>
          <w:rFonts w:ascii="Times New Roman" w:eastAsia="Times New Roman" w:hAnsi="Times New Roman" w:cs="Times New Roman"/>
          <w:color w:val="000000"/>
          <w:sz w:val="24"/>
          <w:szCs w:val="24"/>
        </w:rPr>
        <w:t>emphasises</w:t>
      </w:r>
      <w:proofErr w:type="spellEnd"/>
      <w:r>
        <w:rPr>
          <w:rFonts w:ascii="Times New Roman" w:eastAsia="Times New Roman" w:hAnsi="Times New Roman" w:cs="Times New Roman"/>
          <w:color w:val="000000"/>
          <w:sz w:val="24"/>
          <w:szCs w:val="24"/>
        </w:rPr>
        <w:t xml:space="preserve"> the creation of incentive structures and monitoring procedures. Besides, in order to reduce agency issues and improve accountability, it also impacts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growth by modifying governance structures and decision-making procedures.</w:t>
      </w:r>
    </w:p>
    <w:p w14:paraId="063DB7CC" w14:textId="77777777" w:rsidR="00B06D92" w:rsidRDefault="00B06D92">
      <w:pPr>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222222"/>
          <w:sz w:val="19"/>
          <w:szCs w:val="19"/>
        </w:rPr>
      </w:pPr>
    </w:p>
    <w:p w14:paraId="063DB7CD" w14:textId="77777777" w:rsidR="00B06D92" w:rsidRDefault="00000000">
      <w:pPr>
        <w:pStyle w:val="Heading1"/>
        <w:spacing w:line="360" w:lineRule="auto"/>
        <w:jc w:val="both"/>
      </w:pPr>
      <w:bookmarkStart w:id="11" w:name="_heading=h.lnxbz9" w:colFirst="0" w:colLast="0"/>
      <w:bookmarkEnd w:id="11"/>
      <w:r>
        <w:t xml:space="preserve">Methodology (including ethics) </w:t>
      </w:r>
    </w:p>
    <w:p w14:paraId="063DB7CE" w14:textId="77777777" w:rsidR="00B06D92" w:rsidRDefault="00000000">
      <w:pPr>
        <w:pStyle w:val="Heading2"/>
        <w:spacing w:line="360" w:lineRule="auto"/>
        <w:jc w:val="both"/>
      </w:pPr>
      <w:bookmarkStart w:id="12" w:name="_heading=h.35nkun2" w:colFirst="0" w:colLast="0"/>
      <w:bookmarkEnd w:id="12"/>
      <w:r>
        <w:t xml:space="preserve">Research Philosophy </w:t>
      </w:r>
    </w:p>
    <w:p w14:paraId="063DB7CF"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phrase 'research philosophy' is known to be a researcher's practical thinking and presumptions about the kind of data needed to complete the research as well as the techniques that may be used to collect the data. According to Junjie and </w:t>
      </w:r>
      <w:proofErr w:type="spellStart"/>
      <w:r>
        <w:rPr>
          <w:rFonts w:ascii="Times New Roman" w:eastAsia="Times New Roman" w:hAnsi="Times New Roman" w:cs="Times New Roman"/>
          <w:color w:val="000000"/>
          <w:sz w:val="24"/>
          <w:szCs w:val="24"/>
        </w:rPr>
        <w:t>Yingxin</w:t>
      </w:r>
      <w:proofErr w:type="spellEnd"/>
      <w:r>
        <w:rPr>
          <w:rFonts w:ascii="Times New Roman" w:eastAsia="Times New Roman" w:hAnsi="Times New Roman" w:cs="Times New Roman"/>
          <w:color w:val="000000"/>
          <w:sz w:val="24"/>
          <w:szCs w:val="24"/>
        </w:rPr>
        <w:t xml:space="preserve"> (2022), the research philosophy is the framework for the process that entails a study design, data collection, and data analysis techniques. </w:t>
      </w:r>
      <w:r>
        <w:rPr>
          <w:rFonts w:ascii="Times New Roman" w:eastAsia="Times New Roman" w:hAnsi="Times New Roman" w:cs="Times New Roman"/>
          <w:color w:val="000000"/>
          <w:sz w:val="24"/>
          <w:szCs w:val="24"/>
        </w:rPr>
        <w:lastRenderedPageBreak/>
        <w:t xml:space="preserve">The three research philosophies that are most frequently used are positivism, interpretivism, and pragmatism. However, the researcher will employ interpretivism in conducting this research due to its emphasis on understanding social phenomena from the viewpoint of individuals and their subjective experiences. Therefore, interpretivism can help the researcher in grasping the significance of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type in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w:t>
      </w:r>
      <w:proofErr w:type="spellStart"/>
      <w:r>
        <w:rPr>
          <w:rFonts w:ascii="Times New Roman" w:eastAsia="Times New Roman" w:hAnsi="Times New Roman" w:cs="Times New Roman"/>
          <w:color w:val="000000"/>
          <w:sz w:val="24"/>
          <w:szCs w:val="24"/>
        </w:rPr>
        <w:t>practises</w:t>
      </w:r>
      <w:proofErr w:type="spellEnd"/>
      <w:r>
        <w:rPr>
          <w:rFonts w:ascii="Times New Roman" w:eastAsia="Times New Roman" w:hAnsi="Times New Roman" w:cs="Times New Roman"/>
          <w:color w:val="000000"/>
          <w:sz w:val="24"/>
          <w:szCs w:val="24"/>
        </w:rPr>
        <w:t xml:space="preserve">, which entails examining various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strategies and approaches.</w:t>
      </w:r>
    </w:p>
    <w:p w14:paraId="063DB7D0"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63DB7D1"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sz w:val="24"/>
          <w:szCs w:val="24"/>
        </w:rPr>
        <w:t xml:space="preserve">On the other hand, positivism and pragmatism are not the best-suited research philosophies for this study. Positivism is known to have a strong emphasis on objectivity and generalizability, which may leave out the subjective and local factors that are essential to comprehending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practises</w:t>
      </w:r>
      <w:proofErr w:type="spellEnd"/>
      <w:r>
        <w:rPr>
          <w:rFonts w:ascii="Times New Roman" w:eastAsia="Times New Roman" w:hAnsi="Times New Roman" w:cs="Times New Roman"/>
          <w:color w:val="000000"/>
          <w:sz w:val="24"/>
          <w:szCs w:val="24"/>
        </w:rPr>
        <w:t xml:space="preserve">. Additionally, pragmatism may not adequately reflect the intricacies and complexity of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w:t>
      </w:r>
      <w:proofErr w:type="spellStart"/>
      <w:r>
        <w:rPr>
          <w:rFonts w:ascii="Times New Roman" w:eastAsia="Times New Roman" w:hAnsi="Times New Roman" w:cs="Times New Roman"/>
          <w:color w:val="000000"/>
          <w:sz w:val="24"/>
          <w:szCs w:val="24"/>
        </w:rPr>
        <w:t>practises</w:t>
      </w:r>
      <w:proofErr w:type="spellEnd"/>
      <w:r>
        <w:rPr>
          <w:rFonts w:ascii="Times New Roman" w:eastAsia="Times New Roman" w:hAnsi="Times New Roman" w:cs="Times New Roman"/>
          <w:color w:val="000000"/>
          <w:sz w:val="24"/>
          <w:szCs w:val="24"/>
        </w:rPr>
        <w:t xml:space="preserve"> within certain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types, although appreciating the importance of practicality and usefulness.</w:t>
      </w:r>
    </w:p>
    <w:p w14:paraId="063DB7D2" w14:textId="77777777" w:rsidR="00B06D92" w:rsidRDefault="00B06D92">
      <w:pPr>
        <w:pStyle w:val="Heading2"/>
        <w:spacing w:line="360" w:lineRule="auto"/>
        <w:jc w:val="both"/>
      </w:pPr>
      <w:bookmarkStart w:id="13" w:name="_heading=h.1ksv4uv" w:colFirst="0" w:colLast="0"/>
      <w:bookmarkEnd w:id="13"/>
    </w:p>
    <w:p w14:paraId="063DB7D3" w14:textId="77777777" w:rsidR="00B06D92" w:rsidRDefault="00000000">
      <w:pPr>
        <w:pStyle w:val="Heading2"/>
        <w:spacing w:line="360" w:lineRule="auto"/>
        <w:jc w:val="both"/>
      </w:pPr>
      <w:bookmarkStart w:id="14" w:name="_heading=h.44sinio" w:colFirst="0" w:colLast="0"/>
      <w:bookmarkEnd w:id="14"/>
      <w:r>
        <w:t xml:space="preserve">Research Approach </w:t>
      </w:r>
    </w:p>
    <w:p w14:paraId="063DB7D4"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sz w:val="24"/>
          <w:szCs w:val="24"/>
        </w:rPr>
        <w:t xml:space="preserve">A rigorous, meticulous plan for data collection, data processing, and result interpretation is referred to as a "research approach." According to Walter and Ophir (2019), there are mainly two categories of research approaches: Inductive and deductive reasoning. However, the researcher will employ an inductive research approach to conduct this study due to its consistency with interpretivism research philosophy, as the inductive approach will allow the researcher to derive broad </w:t>
      </w:r>
      <w:proofErr w:type="spellStart"/>
      <w:r>
        <w:rPr>
          <w:rFonts w:ascii="Times New Roman" w:eastAsia="Times New Roman" w:hAnsi="Times New Roman" w:cs="Times New Roman"/>
          <w:color w:val="000000"/>
          <w:sz w:val="24"/>
          <w:szCs w:val="24"/>
        </w:rPr>
        <w:t>generalisations</w:t>
      </w:r>
      <w:proofErr w:type="spellEnd"/>
      <w:r>
        <w:rPr>
          <w:rFonts w:ascii="Times New Roman" w:eastAsia="Times New Roman" w:hAnsi="Times New Roman" w:cs="Times New Roman"/>
          <w:color w:val="000000"/>
          <w:sz w:val="24"/>
          <w:szCs w:val="24"/>
        </w:rPr>
        <w:t xml:space="preserve"> and patterns from </w:t>
      </w:r>
      <w:proofErr w:type="gramStart"/>
      <w:r>
        <w:rPr>
          <w:rFonts w:ascii="Times New Roman" w:eastAsia="Times New Roman" w:hAnsi="Times New Roman" w:cs="Times New Roman"/>
          <w:color w:val="000000"/>
          <w:sz w:val="24"/>
          <w:szCs w:val="24"/>
        </w:rPr>
        <w:t>particular observations</w:t>
      </w:r>
      <w:proofErr w:type="gramEnd"/>
      <w:r>
        <w:rPr>
          <w:rFonts w:ascii="Times New Roman" w:eastAsia="Times New Roman" w:hAnsi="Times New Roman" w:cs="Times New Roman"/>
          <w:color w:val="000000"/>
          <w:sz w:val="24"/>
          <w:szCs w:val="24"/>
        </w:rPr>
        <w:t xml:space="preserve"> and data. Besides, the researcher can investigate and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current qualitative data using an inductive technique to generate fresh ideas and theories regarding the function of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type in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procedures. On the other hand, the researcher will not use deductive methods since positivist research philosophy is normally well-known for attempting to test existing theories and hypotheses through the gathering and analysis of quantitative data.</w:t>
      </w:r>
    </w:p>
    <w:p w14:paraId="063DB7D5" w14:textId="77777777" w:rsidR="00B06D92" w:rsidRDefault="00000000">
      <w:pPr>
        <w:pStyle w:val="Heading2"/>
        <w:spacing w:line="360" w:lineRule="auto"/>
        <w:jc w:val="both"/>
      </w:pPr>
      <w:bookmarkStart w:id="15" w:name="_heading=h.2jxsxqh" w:colFirst="0" w:colLast="0"/>
      <w:bookmarkEnd w:id="15"/>
      <w:r>
        <w:lastRenderedPageBreak/>
        <w:t xml:space="preserve">Research Method </w:t>
      </w:r>
    </w:p>
    <w:p w14:paraId="063DB7D6"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three research methodologies - qualitative, quantitative, and hybrid, are often employed to conduct research. The researcher will employ a qualitative research method to conduct this study since it enables a more thorough examination and comprehension of the varying experiences and viewpoints of how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type affects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procedures. Moreover, qualitative approaches will provide the freedom to acquire rich contextual data and insights to fully grasp the complexity inherent in this study field. However, this study will not use the other two methods, quantitative or hybrid. The quantitative methodology needs to rely on numerical data and statistical analysis, which may not capture the contextual nuances and subjective experiences explored in this study. Additionally, the hybrid methodology is one with integrated qualitative and quantitative approaches,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it relies mostly on statistical analysis, which may restrict the depth of knowledge regarding the importance of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type in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practices.</w:t>
      </w:r>
    </w:p>
    <w:p w14:paraId="063DB7D7" w14:textId="77777777" w:rsidR="00B06D92" w:rsidRDefault="00B06D92">
      <w:pPr>
        <w:pStyle w:val="Heading2"/>
        <w:spacing w:line="360" w:lineRule="auto"/>
        <w:jc w:val="both"/>
      </w:pPr>
      <w:bookmarkStart w:id="16" w:name="_heading=h.z337ya" w:colFirst="0" w:colLast="0"/>
      <w:bookmarkEnd w:id="16"/>
    </w:p>
    <w:p w14:paraId="063DB7D8" w14:textId="77777777" w:rsidR="00B06D92" w:rsidRDefault="00000000">
      <w:pPr>
        <w:pStyle w:val="Heading2"/>
        <w:spacing w:line="360" w:lineRule="auto"/>
        <w:jc w:val="both"/>
      </w:pPr>
      <w:bookmarkStart w:id="17" w:name="_heading=h.3j2qqm3" w:colFirst="0" w:colLast="0"/>
      <w:bookmarkEnd w:id="17"/>
      <w:r>
        <w:t xml:space="preserve">Data Collection </w:t>
      </w:r>
    </w:p>
    <w:p w14:paraId="063DB7D9"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Primary and secondary data collection are two often used data collection methods in research.</w:t>
      </w:r>
      <w:r>
        <w:rPr>
          <w:rFonts w:ascii="Times New Roman" w:eastAsia="Times New Roman" w:hAnsi="Times New Roman" w:cs="Times New Roman"/>
          <w:color w:val="000000"/>
        </w:rPr>
        <w:t xml:space="preserve"> </w:t>
      </w:r>
      <w:r>
        <w:rPr>
          <w:rFonts w:ascii="Times New Roman" w:eastAsia="Times New Roman" w:hAnsi="Times New Roman" w:cs="Times New Roman"/>
          <w:color w:val="000000"/>
          <w:sz w:val="24"/>
          <w:szCs w:val="24"/>
        </w:rPr>
        <w:t xml:space="preserve">According to </w:t>
      </w:r>
      <w:proofErr w:type="spellStart"/>
      <w:r>
        <w:rPr>
          <w:rFonts w:ascii="Times New Roman" w:eastAsia="Times New Roman" w:hAnsi="Times New Roman" w:cs="Times New Roman"/>
          <w:color w:val="000000"/>
          <w:sz w:val="24"/>
          <w:szCs w:val="24"/>
        </w:rPr>
        <w:t>Ruggiano</w:t>
      </w:r>
      <w:proofErr w:type="spellEnd"/>
      <w:r>
        <w:rPr>
          <w:rFonts w:ascii="Times New Roman" w:eastAsia="Times New Roman" w:hAnsi="Times New Roman" w:cs="Times New Roman"/>
          <w:color w:val="000000"/>
          <w:sz w:val="24"/>
          <w:szCs w:val="24"/>
        </w:rPr>
        <w:t xml:space="preserve"> and Perry (2019), 'secondary data' is the knowledge that has been acquired through various primary links and is made available to researchers to use in their study. Therefore, the researcher will use the secondary data collection method due to the availability of existing data relevant to the research topic. Besides, the use of secondary data will help the researcher to proceed with a thorough investigation of a variety of sources, including scholarly publications, reports,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records. Moreover, it will offer the researcher insights into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growth and human resources management within an </w:t>
      </w:r>
      <w:proofErr w:type="spellStart"/>
      <w:r>
        <w:rPr>
          <w:rFonts w:ascii="Times New Roman" w:eastAsia="Times New Roman" w:hAnsi="Times New Roman" w:cs="Times New Roman"/>
          <w:color w:val="000000"/>
          <w:sz w:val="24"/>
          <w:szCs w:val="24"/>
        </w:rPr>
        <w:t>optimised</w:t>
      </w:r>
      <w:proofErr w:type="spellEnd"/>
      <w:r>
        <w:rPr>
          <w:rFonts w:ascii="Times New Roman" w:eastAsia="Times New Roman" w:hAnsi="Times New Roman" w:cs="Times New Roman"/>
          <w:color w:val="000000"/>
          <w:sz w:val="24"/>
          <w:szCs w:val="24"/>
        </w:rPr>
        <w:t xml:space="preserve"> cost and period. On the other hand, due to practical limitations like time and budget, the researcher will not employ the primary data-gathering technique, as it would be necessary to undertake surveys, interviews, or observations to gather primary data, which may take a lot of time and money. However, the researcher can still gain insightful knowledge without collecting primary data since pertinent secondary data sources are readily available.</w:t>
      </w:r>
    </w:p>
    <w:p w14:paraId="063DB7DA" w14:textId="77777777" w:rsidR="00B06D92" w:rsidRDefault="00B06D92">
      <w:pPr>
        <w:pStyle w:val="Heading2"/>
        <w:spacing w:line="360" w:lineRule="auto"/>
        <w:jc w:val="both"/>
      </w:pPr>
      <w:bookmarkStart w:id="18" w:name="_heading=h.1y810tw" w:colFirst="0" w:colLast="0"/>
      <w:bookmarkEnd w:id="18"/>
    </w:p>
    <w:p w14:paraId="063DB7DB" w14:textId="77777777" w:rsidR="00B06D92" w:rsidRDefault="00000000">
      <w:pPr>
        <w:pStyle w:val="Heading2"/>
        <w:spacing w:line="360" w:lineRule="auto"/>
        <w:jc w:val="both"/>
      </w:pPr>
      <w:bookmarkStart w:id="19" w:name="_heading=h.4i7ojhp" w:colFirst="0" w:colLast="0"/>
      <w:bookmarkEnd w:id="19"/>
      <w:r>
        <w:t>Rationale</w:t>
      </w:r>
    </w:p>
    <w:p w14:paraId="063DB7DC"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rationale of this research is to better understand how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type affects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growth and HRM practices through gathering valuable insights and examining the variations in HRM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growth across the public sector, private sector, charitable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as well as large-scale and small-scale enterprises. Moreover, the contextual elements influencing </w:t>
      </w:r>
      <w:proofErr w:type="gramStart"/>
      <w:r>
        <w:rPr>
          <w:rFonts w:ascii="Times New Roman" w:eastAsia="Times New Roman" w:hAnsi="Times New Roman" w:cs="Times New Roman"/>
          <w:color w:val="000000"/>
          <w:sz w:val="24"/>
          <w:szCs w:val="24"/>
        </w:rPr>
        <w:t>HRM</w:t>
      </w:r>
      <w:proofErr w:type="gram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growth can be further improved by the investigation of bureaucratic and flat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structures as well as the investigation of resource-based theory and agency theory. In this context, the goal of this study is to further the creation of </w:t>
      </w:r>
      <w:proofErr w:type="spellStart"/>
      <w:r>
        <w:rPr>
          <w:rFonts w:ascii="Times New Roman" w:eastAsia="Times New Roman" w:hAnsi="Times New Roman" w:cs="Times New Roman"/>
          <w:color w:val="000000"/>
          <w:sz w:val="24"/>
          <w:szCs w:val="24"/>
        </w:rPr>
        <w:t>specialised</w:t>
      </w:r>
      <w:proofErr w:type="spellEnd"/>
      <w:r>
        <w:rPr>
          <w:rFonts w:ascii="Times New Roman" w:eastAsia="Times New Roman" w:hAnsi="Times New Roman" w:cs="Times New Roman"/>
          <w:color w:val="000000"/>
          <w:sz w:val="24"/>
          <w:szCs w:val="24"/>
        </w:rPr>
        <w:t xml:space="preserve"> HRM approaches that work well in a range of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settings.</w:t>
      </w:r>
    </w:p>
    <w:p w14:paraId="063DB7DD" w14:textId="77777777" w:rsidR="00B06D92" w:rsidRDefault="00B06D92">
      <w:pPr>
        <w:pStyle w:val="Heading2"/>
        <w:spacing w:line="360" w:lineRule="auto"/>
        <w:jc w:val="both"/>
      </w:pPr>
      <w:bookmarkStart w:id="20" w:name="_heading=h.2xcytpi" w:colFirst="0" w:colLast="0"/>
      <w:bookmarkEnd w:id="20"/>
    </w:p>
    <w:p w14:paraId="063DB7DE" w14:textId="77777777" w:rsidR="00B06D92" w:rsidRDefault="00000000">
      <w:pPr>
        <w:pStyle w:val="Heading2"/>
        <w:spacing w:line="360" w:lineRule="auto"/>
        <w:jc w:val="both"/>
      </w:pPr>
      <w:bookmarkStart w:id="21" w:name="_heading=h.1ci93xb" w:colFirst="0" w:colLast="0"/>
      <w:bookmarkEnd w:id="21"/>
      <w:r>
        <w:t xml:space="preserve">Data Analysis </w:t>
      </w:r>
    </w:p>
    <w:p w14:paraId="063DB7DF"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sz w:val="24"/>
          <w:szCs w:val="24"/>
        </w:rPr>
        <w:t>Thematic data analysis is a simple method for doing hermeneutic content analysis that is appropriate for non-numerical data (Roberts</w:t>
      </w:r>
      <w:r>
        <w:rPr>
          <w:rFonts w:ascii="Times New Roman" w:eastAsia="Times New Roman" w:hAnsi="Times New Roman" w:cs="Times New Roman"/>
          <w:i/>
          <w:color w:val="000000"/>
          <w:sz w:val="24"/>
          <w:szCs w:val="24"/>
        </w:rPr>
        <w:t xml:space="preserve"> et al</w:t>
      </w:r>
      <w:r>
        <w:rPr>
          <w:rFonts w:ascii="Times New Roman" w:eastAsia="Times New Roman" w:hAnsi="Times New Roman" w:cs="Times New Roman"/>
          <w:color w:val="000000"/>
          <w:sz w:val="24"/>
          <w:szCs w:val="24"/>
        </w:rPr>
        <w:t xml:space="preserve">. 2019). This needs pattern recognition to investigate the links between the patterns and themes found in the gathered data. Therefore, the researcher will use thematic data analysis, which may be used to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qualitative data gleaned from secondary sources. Additionally, a thorough understanding of the function of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type in </w:t>
      </w:r>
      <w:proofErr w:type="gramStart"/>
      <w:r>
        <w:rPr>
          <w:rFonts w:ascii="Times New Roman" w:eastAsia="Times New Roman" w:hAnsi="Times New Roman" w:cs="Times New Roman"/>
          <w:color w:val="000000"/>
          <w:sz w:val="24"/>
          <w:szCs w:val="24"/>
        </w:rPr>
        <w:t>HRM</w:t>
      </w:r>
      <w:proofErr w:type="gram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w:t>
      </w:r>
      <w:proofErr w:type="spellStart"/>
      <w:r>
        <w:rPr>
          <w:rFonts w:ascii="Times New Roman" w:eastAsia="Times New Roman" w:hAnsi="Times New Roman" w:cs="Times New Roman"/>
          <w:color w:val="000000"/>
          <w:sz w:val="24"/>
          <w:szCs w:val="24"/>
        </w:rPr>
        <w:t>practises</w:t>
      </w:r>
      <w:proofErr w:type="spellEnd"/>
      <w:r>
        <w:rPr>
          <w:rFonts w:ascii="Times New Roman" w:eastAsia="Times New Roman" w:hAnsi="Times New Roman" w:cs="Times New Roman"/>
          <w:color w:val="000000"/>
          <w:sz w:val="24"/>
          <w:szCs w:val="24"/>
        </w:rPr>
        <w:t xml:space="preserve"> is made possible by thematic analysis, which will help to enable the identification of recurring themes and patterns within the data. Therefore, this strategy can offer a systematic and rigorous approach to identifying crucial insights and producing relevant findings in line with the study objectives, making it easier to </w:t>
      </w:r>
      <w:proofErr w:type="spellStart"/>
      <w:r>
        <w:rPr>
          <w:rFonts w:ascii="Times New Roman" w:eastAsia="Times New Roman" w:hAnsi="Times New Roman" w:cs="Times New Roman"/>
          <w:color w:val="000000"/>
          <w:sz w:val="24"/>
          <w:szCs w:val="24"/>
        </w:rPr>
        <w:t>organise</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and present qualitative data.</w:t>
      </w:r>
    </w:p>
    <w:p w14:paraId="063DB7E0" w14:textId="77777777" w:rsidR="00B06D92" w:rsidRDefault="00B06D92">
      <w:pPr>
        <w:pStyle w:val="Heading2"/>
        <w:spacing w:line="360" w:lineRule="auto"/>
        <w:jc w:val="both"/>
      </w:pPr>
      <w:bookmarkStart w:id="22" w:name="_heading=h.3whwml4" w:colFirst="0" w:colLast="0"/>
      <w:bookmarkEnd w:id="22"/>
    </w:p>
    <w:p w14:paraId="063DB7E1" w14:textId="77777777" w:rsidR="00B06D92" w:rsidRDefault="00000000">
      <w:pPr>
        <w:pStyle w:val="Heading2"/>
        <w:spacing w:line="360" w:lineRule="auto"/>
        <w:jc w:val="both"/>
      </w:pPr>
      <w:bookmarkStart w:id="23" w:name="_heading=h.2bn6wsx" w:colFirst="0" w:colLast="0"/>
      <w:bookmarkEnd w:id="23"/>
      <w:r>
        <w:t xml:space="preserve">Ethical Consideration </w:t>
      </w:r>
    </w:p>
    <w:p w14:paraId="063DB7E2"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order to ensure that research practices and designs correspond to moral standards, ethical rules of conduct are essential (Husband, 2020). In this context, the researcher will </w:t>
      </w:r>
      <w:proofErr w:type="spellStart"/>
      <w:r>
        <w:rPr>
          <w:rFonts w:ascii="Times New Roman" w:eastAsia="Times New Roman" w:hAnsi="Times New Roman" w:cs="Times New Roman"/>
          <w:color w:val="000000"/>
          <w:sz w:val="24"/>
          <w:szCs w:val="24"/>
        </w:rPr>
        <w:t>prioritise</w:t>
      </w:r>
      <w:proofErr w:type="spellEnd"/>
      <w:r>
        <w:rPr>
          <w:rFonts w:ascii="Times New Roman" w:eastAsia="Times New Roman" w:hAnsi="Times New Roman" w:cs="Times New Roman"/>
          <w:color w:val="000000"/>
          <w:sz w:val="24"/>
          <w:szCs w:val="24"/>
        </w:rPr>
        <w:t xml:space="preserve"> the use of reliable sources of information to ensure the achievement of the study's objectives. Besides, the researcher will also ensure that the research procedures are conducted in a fair and transparent manner, leading to trustworthy and unbiased results or conclusions. Additionally, the researcher will provide accurate citations, including titles and publication dates of the research studies </w:t>
      </w:r>
      <w:proofErr w:type="spellStart"/>
      <w:r>
        <w:rPr>
          <w:rFonts w:ascii="Times New Roman" w:eastAsia="Times New Roman" w:hAnsi="Times New Roman" w:cs="Times New Roman"/>
          <w:color w:val="000000"/>
          <w:sz w:val="24"/>
          <w:szCs w:val="24"/>
        </w:rPr>
        <w:t>utilised</w:t>
      </w:r>
      <w:proofErr w:type="spellEnd"/>
      <w:r>
        <w:rPr>
          <w:rFonts w:ascii="Times New Roman" w:eastAsia="Times New Roman" w:hAnsi="Times New Roman" w:cs="Times New Roman"/>
          <w:color w:val="000000"/>
          <w:sz w:val="24"/>
          <w:szCs w:val="24"/>
        </w:rPr>
        <w:t xml:space="preserve"> in the study. Moreover, the researcher will </w:t>
      </w:r>
      <w:proofErr w:type="spellStart"/>
      <w:r>
        <w:rPr>
          <w:rFonts w:ascii="Times New Roman" w:eastAsia="Times New Roman" w:hAnsi="Times New Roman" w:cs="Times New Roman"/>
          <w:color w:val="000000"/>
          <w:sz w:val="24"/>
          <w:szCs w:val="24"/>
        </w:rPr>
        <w:t>emphasise</w:t>
      </w:r>
      <w:proofErr w:type="spellEnd"/>
      <w:r>
        <w:rPr>
          <w:rFonts w:ascii="Times New Roman" w:eastAsia="Times New Roman" w:hAnsi="Times New Roman" w:cs="Times New Roman"/>
          <w:color w:val="000000"/>
          <w:sz w:val="24"/>
          <w:szCs w:val="24"/>
        </w:rPr>
        <w:t xml:space="preserve"> the importance of presenting the collected data accurately and without any modifications that could distort the findings of the study.</w:t>
      </w:r>
    </w:p>
    <w:p w14:paraId="063DB7E3" w14:textId="77777777" w:rsidR="00B06D92" w:rsidRDefault="00B06D92">
      <w:pPr>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222222"/>
          <w:sz w:val="19"/>
          <w:szCs w:val="19"/>
        </w:rPr>
      </w:pPr>
    </w:p>
    <w:p w14:paraId="063DB7E4" w14:textId="77777777" w:rsidR="00B06D92" w:rsidRDefault="00B06D92">
      <w:pPr>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222222"/>
          <w:sz w:val="19"/>
          <w:szCs w:val="19"/>
        </w:rPr>
      </w:pPr>
    </w:p>
    <w:p w14:paraId="063DB7E5" w14:textId="77777777" w:rsidR="00B06D92" w:rsidRDefault="00B06D92">
      <w:pPr>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222222"/>
          <w:sz w:val="19"/>
          <w:szCs w:val="19"/>
        </w:rPr>
      </w:pPr>
    </w:p>
    <w:p w14:paraId="063DB7E6" w14:textId="77777777" w:rsidR="00B06D92" w:rsidRDefault="00B06D92">
      <w:pPr>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222222"/>
          <w:sz w:val="19"/>
          <w:szCs w:val="19"/>
        </w:rPr>
      </w:pPr>
    </w:p>
    <w:p w14:paraId="063DB7E7" w14:textId="77777777" w:rsidR="00B06D92" w:rsidRDefault="00B06D92">
      <w:pPr>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222222"/>
          <w:sz w:val="19"/>
          <w:szCs w:val="19"/>
        </w:rPr>
      </w:pPr>
    </w:p>
    <w:p w14:paraId="063DB7E8" w14:textId="77777777" w:rsidR="00B06D92" w:rsidRDefault="00000000">
      <w:pPr>
        <w:pStyle w:val="Heading1"/>
        <w:spacing w:line="360" w:lineRule="auto"/>
        <w:jc w:val="both"/>
      </w:pPr>
      <w:bookmarkStart w:id="24" w:name="_heading=h.qsh70q" w:colFirst="0" w:colLast="0"/>
      <w:bookmarkEnd w:id="24"/>
      <w:r>
        <w:t xml:space="preserve">Project Management of the Research (Including Potential Risks, Timeline) </w:t>
      </w:r>
    </w:p>
    <w:p w14:paraId="063DB7E9"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063DB7EA"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Project Management:</w:t>
      </w:r>
    </w:p>
    <w:p w14:paraId="063DB7EB"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EC" w14:textId="77777777" w:rsidR="00B06D92"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Deciding on the theme of research </w:t>
      </w:r>
    </w:p>
    <w:p w14:paraId="063DB7ED" w14:textId="77777777" w:rsidR="00B06D92"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Finding of the Aim and Objectives</w:t>
      </w:r>
    </w:p>
    <w:p w14:paraId="063DB7EE" w14:textId="77777777" w:rsidR="00B06D92"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Literature Review</w:t>
      </w:r>
    </w:p>
    <w:p w14:paraId="063DB7EF" w14:textId="77777777" w:rsidR="00B06D92"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Finalising</w:t>
      </w:r>
      <w:proofErr w:type="spellEnd"/>
      <w:r>
        <w:rPr>
          <w:rFonts w:ascii="Times New Roman" w:eastAsia="Times New Roman" w:hAnsi="Times New Roman" w:cs="Times New Roman"/>
          <w:color w:val="000000"/>
          <w:sz w:val="24"/>
          <w:szCs w:val="24"/>
        </w:rPr>
        <w:t xml:space="preserve"> method of research </w:t>
      </w:r>
    </w:p>
    <w:p w14:paraId="063DB7F0" w14:textId="77777777" w:rsidR="00B06D92"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Collection</w:t>
      </w:r>
    </w:p>
    <w:p w14:paraId="063DB7F1" w14:textId="77777777" w:rsidR="00B06D92"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Analysis</w:t>
      </w:r>
    </w:p>
    <w:p w14:paraId="063DB7F2" w14:textId="77777777" w:rsidR="00B06D92"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Findings and Discussions </w:t>
      </w:r>
    </w:p>
    <w:p w14:paraId="063DB7F3" w14:textId="77777777" w:rsidR="00B06D92"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Presentation of the report </w:t>
      </w:r>
    </w:p>
    <w:p w14:paraId="063DB7F4" w14:textId="77777777" w:rsidR="00B06D92" w:rsidRDefault="00B06D92">
      <w:pPr>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p>
    <w:p w14:paraId="063DB7F5"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Project management includes selecting the study subject, identifying the purpose and goals, doing a literature review, deciding on the research methodology, gathering and </w:t>
      </w:r>
      <w:proofErr w:type="spellStart"/>
      <w:r>
        <w:rPr>
          <w:rFonts w:ascii="Times New Roman" w:eastAsia="Times New Roman" w:hAnsi="Times New Roman" w:cs="Times New Roman"/>
          <w:color w:val="000000"/>
          <w:sz w:val="24"/>
          <w:szCs w:val="24"/>
        </w:rPr>
        <w:t>analysing</w:t>
      </w:r>
      <w:proofErr w:type="spellEnd"/>
      <w:r>
        <w:rPr>
          <w:rFonts w:ascii="Times New Roman" w:eastAsia="Times New Roman" w:hAnsi="Times New Roman" w:cs="Times New Roman"/>
          <w:color w:val="000000"/>
          <w:sz w:val="24"/>
          <w:szCs w:val="24"/>
        </w:rPr>
        <w:t xml:space="preserve"> data, presenting </w:t>
      </w:r>
      <w:r>
        <w:rPr>
          <w:rFonts w:ascii="Times New Roman" w:eastAsia="Times New Roman" w:hAnsi="Times New Roman" w:cs="Times New Roman"/>
          <w:color w:val="000000"/>
          <w:sz w:val="24"/>
          <w:szCs w:val="24"/>
        </w:rPr>
        <w:lastRenderedPageBreak/>
        <w:t xml:space="preserve">findings, and submitting a thorough report. Besides, it guarantees a methodical, </w:t>
      </w:r>
      <w:proofErr w:type="spellStart"/>
      <w:r>
        <w:rPr>
          <w:rFonts w:ascii="Times New Roman" w:eastAsia="Times New Roman" w:hAnsi="Times New Roman" w:cs="Times New Roman"/>
          <w:color w:val="000000"/>
          <w:sz w:val="24"/>
          <w:szCs w:val="24"/>
        </w:rPr>
        <w:t>organised</w:t>
      </w:r>
      <w:proofErr w:type="spellEnd"/>
      <w:r>
        <w:rPr>
          <w:rFonts w:ascii="Times New Roman" w:eastAsia="Times New Roman" w:hAnsi="Times New Roman" w:cs="Times New Roman"/>
          <w:color w:val="000000"/>
          <w:sz w:val="24"/>
          <w:szCs w:val="24"/>
        </w:rPr>
        <w:t xml:space="preserve"> approach to doing research and efficient transmission of outcomes.</w:t>
      </w:r>
    </w:p>
    <w:p w14:paraId="063DB7F6"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63DB7F7"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F8"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Timeline:</w:t>
      </w:r>
    </w:p>
    <w:p w14:paraId="063DB7F9"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FA"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timeline is represented in a Gantt Chart:</w:t>
      </w:r>
    </w:p>
    <w:p w14:paraId="063DB7FB"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7FC"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Gantt Chart:</w:t>
      </w:r>
    </w:p>
    <w:p w14:paraId="063DB7FD"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222222"/>
          <w:sz w:val="28"/>
          <w:szCs w:val="28"/>
          <w:highlight w:val="white"/>
        </w:rPr>
      </w:pPr>
    </w:p>
    <w:tbl>
      <w:tblPr>
        <w:tblStyle w:val="a"/>
        <w:tblW w:w="11174" w:type="dxa"/>
        <w:tblInd w:w="-9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55"/>
        <w:gridCol w:w="855"/>
        <w:gridCol w:w="856"/>
        <w:gridCol w:w="856"/>
        <w:gridCol w:w="856"/>
        <w:gridCol w:w="856"/>
        <w:gridCol w:w="856"/>
        <w:gridCol w:w="856"/>
        <w:gridCol w:w="856"/>
        <w:gridCol w:w="856"/>
        <w:gridCol w:w="856"/>
        <w:gridCol w:w="880"/>
        <w:gridCol w:w="880"/>
      </w:tblGrid>
      <w:tr w:rsidR="00B06D92" w14:paraId="063DB817" w14:textId="77777777">
        <w:trPr>
          <w:trHeight w:val="1511"/>
        </w:trPr>
        <w:tc>
          <w:tcPr>
            <w:tcW w:w="855" w:type="dxa"/>
            <w:shd w:val="clear" w:color="auto" w:fill="auto"/>
            <w:tcMar>
              <w:top w:w="100" w:type="dxa"/>
              <w:left w:w="100" w:type="dxa"/>
              <w:bottom w:w="100" w:type="dxa"/>
              <w:right w:w="100" w:type="dxa"/>
            </w:tcMar>
          </w:tcPr>
          <w:p w14:paraId="063DB7FE" w14:textId="77777777" w:rsidR="00B06D92" w:rsidRDefault="00B06D92">
            <w:pPr>
              <w:widowControl w:val="0"/>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p>
        </w:tc>
        <w:tc>
          <w:tcPr>
            <w:tcW w:w="855" w:type="dxa"/>
            <w:shd w:val="clear" w:color="auto" w:fill="auto"/>
            <w:tcMar>
              <w:top w:w="100" w:type="dxa"/>
              <w:left w:w="100" w:type="dxa"/>
              <w:bottom w:w="100" w:type="dxa"/>
              <w:right w:w="100" w:type="dxa"/>
            </w:tcMar>
          </w:tcPr>
          <w:p w14:paraId="063DB7FF"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Week</w:t>
            </w:r>
          </w:p>
          <w:p w14:paraId="063DB800"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1</w:t>
            </w:r>
          </w:p>
        </w:tc>
        <w:tc>
          <w:tcPr>
            <w:tcW w:w="856" w:type="dxa"/>
            <w:shd w:val="clear" w:color="auto" w:fill="auto"/>
            <w:tcMar>
              <w:top w:w="100" w:type="dxa"/>
              <w:left w:w="100" w:type="dxa"/>
              <w:bottom w:w="100" w:type="dxa"/>
              <w:right w:w="100" w:type="dxa"/>
            </w:tcMar>
          </w:tcPr>
          <w:p w14:paraId="063DB801"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Week</w:t>
            </w:r>
          </w:p>
          <w:p w14:paraId="063DB802"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2</w:t>
            </w:r>
          </w:p>
        </w:tc>
        <w:tc>
          <w:tcPr>
            <w:tcW w:w="856" w:type="dxa"/>
            <w:shd w:val="clear" w:color="auto" w:fill="auto"/>
            <w:tcMar>
              <w:top w:w="100" w:type="dxa"/>
              <w:left w:w="100" w:type="dxa"/>
              <w:bottom w:w="100" w:type="dxa"/>
              <w:right w:w="100" w:type="dxa"/>
            </w:tcMar>
          </w:tcPr>
          <w:p w14:paraId="063DB803"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Week</w:t>
            </w:r>
          </w:p>
          <w:p w14:paraId="063DB804"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3</w:t>
            </w:r>
          </w:p>
        </w:tc>
        <w:tc>
          <w:tcPr>
            <w:tcW w:w="856" w:type="dxa"/>
            <w:shd w:val="clear" w:color="auto" w:fill="auto"/>
            <w:tcMar>
              <w:top w:w="100" w:type="dxa"/>
              <w:left w:w="100" w:type="dxa"/>
              <w:bottom w:w="100" w:type="dxa"/>
              <w:right w:w="100" w:type="dxa"/>
            </w:tcMar>
          </w:tcPr>
          <w:p w14:paraId="063DB805"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Week</w:t>
            </w:r>
          </w:p>
          <w:p w14:paraId="063DB806"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4</w:t>
            </w:r>
          </w:p>
        </w:tc>
        <w:tc>
          <w:tcPr>
            <w:tcW w:w="856" w:type="dxa"/>
            <w:shd w:val="clear" w:color="auto" w:fill="auto"/>
            <w:tcMar>
              <w:top w:w="100" w:type="dxa"/>
              <w:left w:w="100" w:type="dxa"/>
              <w:bottom w:w="100" w:type="dxa"/>
              <w:right w:w="100" w:type="dxa"/>
            </w:tcMar>
          </w:tcPr>
          <w:p w14:paraId="063DB807"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Week</w:t>
            </w:r>
          </w:p>
          <w:p w14:paraId="063DB808"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5</w:t>
            </w:r>
          </w:p>
        </w:tc>
        <w:tc>
          <w:tcPr>
            <w:tcW w:w="856" w:type="dxa"/>
            <w:shd w:val="clear" w:color="auto" w:fill="auto"/>
            <w:tcMar>
              <w:top w:w="100" w:type="dxa"/>
              <w:left w:w="100" w:type="dxa"/>
              <w:bottom w:w="100" w:type="dxa"/>
              <w:right w:w="100" w:type="dxa"/>
            </w:tcMar>
          </w:tcPr>
          <w:p w14:paraId="063DB809"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Week</w:t>
            </w:r>
          </w:p>
          <w:p w14:paraId="063DB80A"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6</w:t>
            </w:r>
          </w:p>
        </w:tc>
        <w:tc>
          <w:tcPr>
            <w:tcW w:w="856" w:type="dxa"/>
            <w:shd w:val="clear" w:color="auto" w:fill="auto"/>
            <w:tcMar>
              <w:top w:w="100" w:type="dxa"/>
              <w:left w:w="100" w:type="dxa"/>
              <w:bottom w:w="100" w:type="dxa"/>
              <w:right w:w="100" w:type="dxa"/>
            </w:tcMar>
          </w:tcPr>
          <w:p w14:paraId="063DB80B"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Week</w:t>
            </w:r>
          </w:p>
          <w:p w14:paraId="063DB80C"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7</w:t>
            </w:r>
          </w:p>
        </w:tc>
        <w:tc>
          <w:tcPr>
            <w:tcW w:w="856" w:type="dxa"/>
            <w:shd w:val="clear" w:color="auto" w:fill="auto"/>
            <w:tcMar>
              <w:top w:w="100" w:type="dxa"/>
              <w:left w:w="100" w:type="dxa"/>
              <w:bottom w:w="100" w:type="dxa"/>
              <w:right w:w="100" w:type="dxa"/>
            </w:tcMar>
          </w:tcPr>
          <w:p w14:paraId="063DB80D"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Week</w:t>
            </w:r>
          </w:p>
          <w:p w14:paraId="063DB80E"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8</w:t>
            </w:r>
          </w:p>
        </w:tc>
        <w:tc>
          <w:tcPr>
            <w:tcW w:w="856" w:type="dxa"/>
            <w:shd w:val="clear" w:color="auto" w:fill="auto"/>
            <w:tcMar>
              <w:top w:w="100" w:type="dxa"/>
              <w:left w:w="100" w:type="dxa"/>
              <w:bottom w:w="100" w:type="dxa"/>
              <w:right w:w="100" w:type="dxa"/>
            </w:tcMar>
          </w:tcPr>
          <w:p w14:paraId="063DB80F"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Week</w:t>
            </w:r>
          </w:p>
          <w:p w14:paraId="063DB810"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9</w:t>
            </w:r>
          </w:p>
        </w:tc>
        <w:tc>
          <w:tcPr>
            <w:tcW w:w="856" w:type="dxa"/>
            <w:shd w:val="clear" w:color="auto" w:fill="auto"/>
            <w:tcMar>
              <w:top w:w="100" w:type="dxa"/>
              <w:left w:w="100" w:type="dxa"/>
              <w:bottom w:w="100" w:type="dxa"/>
              <w:right w:w="100" w:type="dxa"/>
            </w:tcMar>
          </w:tcPr>
          <w:p w14:paraId="063DB811"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Week</w:t>
            </w:r>
          </w:p>
          <w:p w14:paraId="063DB812"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10</w:t>
            </w:r>
          </w:p>
        </w:tc>
        <w:tc>
          <w:tcPr>
            <w:tcW w:w="880" w:type="dxa"/>
            <w:shd w:val="clear" w:color="auto" w:fill="auto"/>
            <w:tcMar>
              <w:top w:w="100" w:type="dxa"/>
              <w:left w:w="100" w:type="dxa"/>
              <w:bottom w:w="100" w:type="dxa"/>
              <w:right w:w="100" w:type="dxa"/>
            </w:tcMar>
          </w:tcPr>
          <w:p w14:paraId="063DB813"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Week</w:t>
            </w:r>
          </w:p>
          <w:p w14:paraId="063DB814"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11</w:t>
            </w:r>
          </w:p>
        </w:tc>
        <w:tc>
          <w:tcPr>
            <w:tcW w:w="880" w:type="dxa"/>
            <w:shd w:val="clear" w:color="auto" w:fill="auto"/>
            <w:tcMar>
              <w:top w:w="100" w:type="dxa"/>
              <w:left w:w="100" w:type="dxa"/>
              <w:bottom w:w="100" w:type="dxa"/>
              <w:right w:w="100" w:type="dxa"/>
            </w:tcMar>
          </w:tcPr>
          <w:p w14:paraId="063DB815"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Week</w:t>
            </w:r>
          </w:p>
          <w:p w14:paraId="063DB816" w14:textId="77777777" w:rsidR="00B06D92"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12</w:t>
            </w:r>
          </w:p>
        </w:tc>
      </w:tr>
      <w:tr w:rsidR="00B06D92" w14:paraId="063DB825" w14:textId="77777777">
        <w:trPr>
          <w:trHeight w:val="1181"/>
        </w:trPr>
        <w:tc>
          <w:tcPr>
            <w:tcW w:w="855" w:type="dxa"/>
            <w:shd w:val="clear" w:color="auto" w:fill="auto"/>
            <w:tcMar>
              <w:top w:w="100" w:type="dxa"/>
              <w:left w:w="100" w:type="dxa"/>
              <w:bottom w:w="100" w:type="dxa"/>
              <w:right w:w="100" w:type="dxa"/>
            </w:tcMar>
          </w:tcPr>
          <w:p w14:paraId="063DB818" w14:textId="77777777" w:rsidR="00B06D92"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Deciding on the Theme of Research </w:t>
            </w:r>
          </w:p>
        </w:tc>
        <w:tc>
          <w:tcPr>
            <w:tcW w:w="855" w:type="dxa"/>
            <w:shd w:val="clear" w:color="auto" w:fill="FF9900"/>
            <w:tcMar>
              <w:top w:w="100" w:type="dxa"/>
              <w:left w:w="100" w:type="dxa"/>
              <w:bottom w:w="100" w:type="dxa"/>
              <w:right w:w="100" w:type="dxa"/>
            </w:tcMar>
          </w:tcPr>
          <w:p w14:paraId="063DB819"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shd w:val="clear" w:color="auto" w:fill="FF9900"/>
              </w:rPr>
            </w:pPr>
          </w:p>
        </w:tc>
        <w:tc>
          <w:tcPr>
            <w:tcW w:w="856" w:type="dxa"/>
            <w:shd w:val="clear" w:color="auto" w:fill="auto"/>
            <w:tcMar>
              <w:top w:w="100" w:type="dxa"/>
              <w:left w:w="100" w:type="dxa"/>
              <w:bottom w:w="100" w:type="dxa"/>
              <w:right w:w="100" w:type="dxa"/>
            </w:tcMar>
          </w:tcPr>
          <w:p w14:paraId="063DB81A"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6" w:type="dxa"/>
            <w:shd w:val="clear" w:color="auto" w:fill="auto"/>
            <w:tcMar>
              <w:top w:w="100" w:type="dxa"/>
              <w:left w:w="100" w:type="dxa"/>
              <w:bottom w:w="100" w:type="dxa"/>
              <w:right w:w="100" w:type="dxa"/>
            </w:tcMar>
          </w:tcPr>
          <w:p w14:paraId="063DB81B"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1C"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1D"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1E"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1F"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20"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21"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22"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shd w:val="clear" w:color="auto" w:fill="auto"/>
            <w:tcMar>
              <w:top w:w="100" w:type="dxa"/>
              <w:left w:w="100" w:type="dxa"/>
              <w:bottom w:w="100" w:type="dxa"/>
              <w:right w:w="100" w:type="dxa"/>
            </w:tcMar>
          </w:tcPr>
          <w:p w14:paraId="063DB823"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shd w:val="clear" w:color="auto" w:fill="auto"/>
            <w:tcMar>
              <w:top w:w="100" w:type="dxa"/>
              <w:left w:w="100" w:type="dxa"/>
              <w:bottom w:w="100" w:type="dxa"/>
              <w:right w:w="100" w:type="dxa"/>
            </w:tcMar>
          </w:tcPr>
          <w:p w14:paraId="063DB824"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r>
      <w:tr w:rsidR="00B06D92" w14:paraId="063DB835" w14:textId="77777777">
        <w:trPr>
          <w:trHeight w:val="1181"/>
        </w:trPr>
        <w:tc>
          <w:tcPr>
            <w:tcW w:w="855" w:type="dxa"/>
            <w:shd w:val="clear" w:color="auto" w:fill="auto"/>
            <w:tcMar>
              <w:top w:w="100" w:type="dxa"/>
              <w:left w:w="100" w:type="dxa"/>
              <w:bottom w:w="100" w:type="dxa"/>
              <w:right w:w="100" w:type="dxa"/>
            </w:tcMar>
          </w:tcPr>
          <w:p w14:paraId="063DB826" w14:textId="77777777" w:rsidR="00B06D92"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Finding</w:t>
            </w:r>
          </w:p>
          <w:p w14:paraId="063DB827" w14:textId="77777777" w:rsidR="00B06D92"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Aim and Objectives</w:t>
            </w:r>
          </w:p>
          <w:p w14:paraId="063DB828"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5" w:type="dxa"/>
            <w:tcMar>
              <w:top w:w="100" w:type="dxa"/>
              <w:left w:w="100" w:type="dxa"/>
              <w:bottom w:w="100" w:type="dxa"/>
              <w:right w:w="100" w:type="dxa"/>
            </w:tcMar>
          </w:tcPr>
          <w:p w14:paraId="063DB829"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shd w:val="clear" w:color="auto" w:fill="FF9900"/>
              </w:rPr>
            </w:pPr>
          </w:p>
        </w:tc>
        <w:tc>
          <w:tcPr>
            <w:tcW w:w="856" w:type="dxa"/>
            <w:shd w:val="clear" w:color="auto" w:fill="0B5394"/>
            <w:tcMar>
              <w:top w:w="100" w:type="dxa"/>
              <w:left w:w="100" w:type="dxa"/>
              <w:bottom w:w="100" w:type="dxa"/>
              <w:right w:w="100" w:type="dxa"/>
            </w:tcMar>
          </w:tcPr>
          <w:p w14:paraId="063DB82A"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6" w:type="dxa"/>
            <w:shd w:val="clear" w:color="auto" w:fill="auto"/>
            <w:tcMar>
              <w:top w:w="100" w:type="dxa"/>
              <w:left w:w="100" w:type="dxa"/>
              <w:bottom w:w="100" w:type="dxa"/>
              <w:right w:w="100" w:type="dxa"/>
            </w:tcMar>
          </w:tcPr>
          <w:p w14:paraId="063DB82B"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2C"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2D"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2E"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2F"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30"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31"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32"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shd w:val="clear" w:color="auto" w:fill="auto"/>
            <w:tcMar>
              <w:top w:w="100" w:type="dxa"/>
              <w:left w:w="100" w:type="dxa"/>
              <w:bottom w:w="100" w:type="dxa"/>
              <w:right w:w="100" w:type="dxa"/>
            </w:tcMar>
          </w:tcPr>
          <w:p w14:paraId="063DB833"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shd w:val="clear" w:color="auto" w:fill="auto"/>
            <w:tcMar>
              <w:top w:w="100" w:type="dxa"/>
              <w:left w:w="100" w:type="dxa"/>
              <w:bottom w:w="100" w:type="dxa"/>
              <w:right w:w="100" w:type="dxa"/>
            </w:tcMar>
          </w:tcPr>
          <w:p w14:paraId="063DB834"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r>
      <w:tr w:rsidR="00B06D92" w14:paraId="063DB844" w14:textId="77777777">
        <w:trPr>
          <w:trHeight w:val="2051"/>
        </w:trPr>
        <w:tc>
          <w:tcPr>
            <w:tcW w:w="855" w:type="dxa"/>
            <w:shd w:val="clear" w:color="auto" w:fill="auto"/>
            <w:tcMar>
              <w:top w:w="100" w:type="dxa"/>
              <w:left w:w="100" w:type="dxa"/>
              <w:bottom w:w="100" w:type="dxa"/>
              <w:right w:w="100" w:type="dxa"/>
            </w:tcMar>
          </w:tcPr>
          <w:p w14:paraId="063DB836" w14:textId="77777777" w:rsidR="00B06D92"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Literature</w:t>
            </w:r>
          </w:p>
          <w:p w14:paraId="063DB837" w14:textId="77777777" w:rsidR="00B06D92"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Review</w:t>
            </w:r>
          </w:p>
        </w:tc>
        <w:tc>
          <w:tcPr>
            <w:tcW w:w="855" w:type="dxa"/>
            <w:shd w:val="clear" w:color="auto" w:fill="auto"/>
            <w:tcMar>
              <w:top w:w="100" w:type="dxa"/>
              <w:left w:w="100" w:type="dxa"/>
              <w:bottom w:w="100" w:type="dxa"/>
              <w:right w:w="100" w:type="dxa"/>
            </w:tcMar>
          </w:tcPr>
          <w:p w14:paraId="063DB838"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6" w:type="dxa"/>
            <w:tcMar>
              <w:top w:w="100" w:type="dxa"/>
              <w:left w:w="100" w:type="dxa"/>
              <w:bottom w:w="100" w:type="dxa"/>
              <w:right w:w="100" w:type="dxa"/>
            </w:tcMar>
          </w:tcPr>
          <w:p w14:paraId="063DB839"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6" w:type="dxa"/>
            <w:shd w:val="clear" w:color="auto" w:fill="980000"/>
            <w:tcMar>
              <w:top w:w="100" w:type="dxa"/>
              <w:left w:w="100" w:type="dxa"/>
              <w:bottom w:w="100" w:type="dxa"/>
              <w:right w:w="100" w:type="dxa"/>
            </w:tcMar>
          </w:tcPr>
          <w:p w14:paraId="063DB83A"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3B"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3C"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3D"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3E"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3F"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40"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41"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shd w:val="clear" w:color="auto" w:fill="auto"/>
            <w:tcMar>
              <w:top w:w="100" w:type="dxa"/>
              <w:left w:w="100" w:type="dxa"/>
              <w:bottom w:w="100" w:type="dxa"/>
              <w:right w:w="100" w:type="dxa"/>
            </w:tcMar>
          </w:tcPr>
          <w:p w14:paraId="063DB842"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shd w:val="clear" w:color="auto" w:fill="auto"/>
            <w:tcMar>
              <w:top w:w="100" w:type="dxa"/>
              <w:left w:w="100" w:type="dxa"/>
              <w:bottom w:w="100" w:type="dxa"/>
              <w:right w:w="100" w:type="dxa"/>
            </w:tcMar>
          </w:tcPr>
          <w:p w14:paraId="063DB843"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r>
      <w:tr w:rsidR="00B06D92" w14:paraId="063DB853" w14:textId="77777777">
        <w:trPr>
          <w:trHeight w:val="1455"/>
        </w:trPr>
        <w:tc>
          <w:tcPr>
            <w:tcW w:w="855" w:type="dxa"/>
            <w:shd w:val="clear" w:color="auto" w:fill="auto"/>
            <w:tcMar>
              <w:top w:w="100" w:type="dxa"/>
              <w:left w:w="100" w:type="dxa"/>
              <w:bottom w:w="100" w:type="dxa"/>
              <w:right w:w="100" w:type="dxa"/>
            </w:tcMar>
          </w:tcPr>
          <w:p w14:paraId="063DB845" w14:textId="77777777" w:rsidR="00B06D92"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Finalising</w:t>
            </w:r>
            <w:proofErr w:type="spellEnd"/>
            <w:r>
              <w:rPr>
                <w:rFonts w:ascii="Times New Roman" w:eastAsia="Times New Roman" w:hAnsi="Times New Roman" w:cs="Times New Roman"/>
                <w:color w:val="222222"/>
                <w:sz w:val="24"/>
                <w:szCs w:val="24"/>
                <w:highlight w:val="white"/>
              </w:rPr>
              <w:t xml:space="preserve"> Method of Research </w:t>
            </w:r>
          </w:p>
          <w:p w14:paraId="063DB846"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5" w:type="dxa"/>
            <w:shd w:val="clear" w:color="auto" w:fill="auto"/>
            <w:tcMar>
              <w:top w:w="100" w:type="dxa"/>
              <w:left w:w="100" w:type="dxa"/>
              <w:bottom w:w="100" w:type="dxa"/>
              <w:right w:w="100" w:type="dxa"/>
            </w:tcMar>
          </w:tcPr>
          <w:p w14:paraId="063DB847"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6" w:type="dxa"/>
            <w:tcMar>
              <w:top w:w="100" w:type="dxa"/>
              <w:left w:w="100" w:type="dxa"/>
              <w:bottom w:w="100" w:type="dxa"/>
              <w:right w:w="100" w:type="dxa"/>
            </w:tcMar>
          </w:tcPr>
          <w:p w14:paraId="063DB848"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6" w:type="dxa"/>
            <w:shd w:val="clear" w:color="auto" w:fill="00FFFF"/>
            <w:tcMar>
              <w:top w:w="100" w:type="dxa"/>
              <w:left w:w="100" w:type="dxa"/>
              <w:bottom w:w="100" w:type="dxa"/>
              <w:right w:w="100" w:type="dxa"/>
            </w:tcMar>
          </w:tcPr>
          <w:p w14:paraId="063DB849"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00FFFF"/>
            <w:tcMar>
              <w:top w:w="100" w:type="dxa"/>
              <w:left w:w="100" w:type="dxa"/>
              <w:bottom w:w="100" w:type="dxa"/>
              <w:right w:w="100" w:type="dxa"/>
            </w:tcMar>
          </w:tcPr>
          <w:p w14:paraId="063DB84A"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4B"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4C"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4D"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4E"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4F"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50"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shd w:val="clear" w:color="auto" w:fill="auto"/>
            <w:tcMar>
              <w:top w:w="100" w:type="dxa"/>
              <w:left w:w="100" w:type="dxa"/>
              <w:bottom w:w="100" w:type="dxa"/>
              <w:right w:w="100" w:type="dxa"/>
            </w:tcMar>
          </w:tcPr>
          <w:p w14:paraId="063DB851"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shd w:val="clear" w:color="auto" w:fill="auto"/>
            <w:tcMar>
              <w:top w:w="100" w:type="dxa"/>
              <w:left w:w="100" w:type="dxa"/>
              <w:bottom w:w="100" w:type="dxa"/>
              <w:right w:w="100" w:type="dxa"/>
            </w:tcMar>
          </w:tcPr>
          <w:p w14:paraId="063DB852"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r>
      <w:tr w:rsidR="00B06D92" w14:paraId="063DB862" w14:textId="77777777">
        <w:trPr>
          <w:trHeight w:val="2327"/>
        </w:trPr>
        <w:tc>
          <w:tcPr>
            <w:tcW w:w="855" w:type="dxa"/>
            <w:shd w:val="clear" w:color="auto" w:fill="auto"/>
            <w:tcMar>
              <w:top w:w="100" w:type="dxa"/>
              <w:left w:w="100" w:type="dxa"/>
              <w:bottom w:w="100" w:type="dxa"/>
              <w:right w:w="100" w:type="dxa"/>
            </w:tcMar>
          </w:tcPr>
          <w:p w14:paraId="063DB854" w14:textId="77777777" w:rsidR="00B06D92"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Data Collection</w:t>
            </w:r>
          </w:p>
          <w:p w14:paraId="063DB855"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5" w:type="dxa"/>
            <w:shd w:val="clear" w:color="auto" w:fill="auto"/>
            <w:tcMar>
              <w:top w:w="100" w:type="dxa"/>
              <w:left w:w="100" w:type="dxa"/>
              <w:bottom w:w="100" w:type="dxa"/>
              <w:right w:w="100" w:type="dxa"/>
            </w:tcMar>
          </w:tcPr>
          <w:p w14:paraId="063DB856"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6" w:type="dxa"/>
            <w:shd w:val="clear" w:color="auto" w:fill="auto"/>
            <w:tcMar>
              <w:top w:w="100" w:type="dxa"/>
              <w:left w:w="100" w:type="dxa"/>
              <w:bottom w:w="100" w:type="dxa"/>
              <w:right w:w="100" w:type="dxa"/>
            </w:tcMar>
          </w:tcPr>
          <w:p w14:paraId="063DB857"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6" w:type="dxa"/>
            <w:shd w:val="clear" w:color="auto" w:fill="auto"/>
            <w:tcMar>
              <w:top w:w="100" w:type="dxa"/>
              <w:left w:w="100" w:type="dxa"/>
              <w:bottom w:w="100" w:type="dxa"/>
              <w:right w:w="100" w:type="dxa"/>
            </w:tcMar>
          </w:tcPr>
          <w:p w14:paraId="063DB858"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tcMar>
              <w:top w:w="100" w:type="dxa"/>
              <w:left w:w="100" w:type="dxa"/>
              <w:bottom w:w="100" w:type="dxa"/>
              <w:right w:w="100" w:type="dxa"/>
            </w:tcMar>
          </w:tcPr>
          <w:p w14:paraId="063DB859"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C27BA0"/>
            <w:tcMar>
              <w:top w:w="100" w:type="dxa"/>
              <w:left w:w="100" w:type="dxa"/>
              <w:bottom w:w="100" w:type="dxa"/>
              <w:right w:w="100" w:type="dxa"/>
            </w:tcMar>
          </w:tcPr>
          <w:p w14:paraId="063DB85A"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C27BA0"/>
            <w:tcMar>
              <w:top w:w="100" w:type="dxa"/>
              <w:left w:w="100" w:type="dxa"/>
              <w:bottom w:w="100" w:type="dxa"/>
              <w:right w:w="100" w:type="dxa"/>
            </w:tcMar>
          </w:tcPr>
          <w:p w14:paraId="063DB85B"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5C"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5D"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5E"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5F"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shd w:val="clear" w:color="auto" w:fill="auto"/>
            <w:tcMar>
              <w:top w:w="100" w:type="dxa"/>
              <w:left w:w="100" w:type="dxa"/>
              <w:bottom w:w="100" w:type="dxa"/>
              <w:right w:w="100" w:type="dxa"/>
            </w:tcMar>
          </w:tcPr>
          <w:p w14:paraId="063DB860"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shd w:val="clear" w:color="auto" w:fill="auto"/>
            <w:tcMar>
              <w:top w:w="100" w:type="dxa"/>
              <w:left w:w="100" w:type="dxa"/>
              <w:bottom w:w="100" w:type="dxa"/>
              <w:right w:w="100" w:type="dxa"/>
            </w:tcMar>
          </w:tcPr>
          <w:p w14:paraId="063DB861"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r>
      <w:tr w:rsidR="00B06D92" w14:paraId="063DB871" w14:textId="77777777">
        <w:trPr>
          <w:trHeight w:val="1475"/>
        </w:trPr>
        <w:tc>
          <w:tcPr>
            <w:tcW w:w="855" w:type="dxa"/>
            <w:shd w:val="clear" w:color="auto" w:fill="auto"/>
            <w:tcMar>
              <w:top w:w="100" w:type="dxa"/>
              <w:left w:w="100" w:type="dxa"/>
              <w:bottom w:w="100" w:type="dxa"/>
              <w:right w:w="100" w:type="dxa"/>
            </w:tcMar>
          </w:tcPr>
          <w:p w14:paraId="063DB863" w14:textId="77777777" w:rsidR="00B06D92"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Data Analysis</w:t>
            </w:r>
          </w:p>
          <w:p w14:paraId="063DB864"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5" w:type="dxa"/>
            <w:shd w:val="clear" w:color="auto" w:fill="auto"/>
            <w:tcMar>
              <w:top w:w="100" w:type="dxa"/>
              <w:left w:w="100" w:type="dxa"/>
              <w:bottom w:w="100" w:type="dxa"/>
              <w:right w:w="100" w:type="dxa"/>
            </w:tcMar>
          </w:tcPr>
          <w:p w14:paraId="063DB865"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6" w:type="dxa"/>
            <w:shd w:val="clear" w:color="auto" w:fill="auto"/>
            <w:tcMar>
              <w:top w:w="100" w:type="dxa"/>
              <w:left w:w="100" w:type="dxa"/>
              <w:bottom w:w="100" w:type="dxa"/>
              <w:right w:w="100" w:type="dxa"/>
            </w:tcMar>
          </w:tcPr>
          <w:p w14:paraId="063DB866"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6" w:type="dxa"/>
            <w:shd w:val="clear" w:color="auto" w:fill="auto"/>
            <w:tcMar>
              <w:top w:w="100" w:type="dxa"/>
              <w:left w:w="100" w:type="dxa"/>
              <w:bottom w:w="100" w:type="dxa"/>
              <w:right w:w="100" w:type="dxa"/>
            </w:tcMar>
          </w:tcPr>
          <w:p w14:paraId="063DB867"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68"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tcMar>
              <w:top w:w="100" w:type="dxa"/>
              <w:left w:w="100" w:type="dxa"/>
              <w:bottom w:w="100" w:type="dxa"/>
              <w:right w:w="100" w:type="dxa"/>
            </w:tcMar>
          </w:tcPr>
          <w:p w14:paraId="063DB869"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F6B26B"/>
            <w:tcMar>
              <w:top w:w="100" w:type="dxa"/>
              <w:left w:w="100" w:type="dxa"/>
              <w:bottom w:w="100" w:type="dxa"/>
              <w:right w:w="100" w:type="dxa"/>
            </w:tcMar>
          </w:tcPr>
          <w:p w14:paraId="063DB86A"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F6B26B"/>
            <w:tcMar>
              <w:top w:w="100" w:type="dxa"/>
              <w:left w:w="100" w:type="dxa"/>
              <w:bottom w:w="100" w:type="dxa"/>
              <w:right w:w="100" w:type="dxa"/>
            </w:tcMar>
          </w:tcPr>
          <w:p w14:paraId="063DB86B"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F6B26B"/>
            <w:tcMar>
              <w:top w:w="100" w:type="dxa"/>
              <w:left w:w="100" w:type="dxa"/>
              <w:bottom w:w="100" w:type="dxa"/>
              <w:right w:w="100" w:type="dxa"/>
            </w:tcMar>
          </w:tcPr>
          <w:p w14:paraId="063DB86C"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6D"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6E"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shd w:val="clear" w:color="auto" w:fill="auto"/>
            <w:tcMar>
              <w:top w:w="100" w:type="dxa"/>
              <w:left w:w="100" w:type="dxa"/>
              <w:bottom w:w="100" w:type="dxa"/>
              <w:right w:w="100" w:type="dxa"/>
            </w:tcMar>
          </w:tcPr>
          <w:p w14:paraId="063DB86F"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shd w:val="clear" w:color="auto" w:fill="auto"/>
            <w:tcMar>
              <w:top w:w="100" w:type="dxa"/>
              <w:left w:w="100" w:type="dxa"/>
              <w:bottom w:w="100" w:type="dxa"/>
              <w:right w:w="100" w:type="dxa"/>
            </w:tcMar>
          </w:tcPr>
          <w:p w14:paraId="063DB870"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r>
      <w:tr w:rsidR="00B06D92" w14:paraId="063DB87F" w14:textId="77777777">
        <w:trPr>
          <w:trHeight w:val="2196"/>
        </w:trPr>
        <w:tc>
          <w:tcPr>
            <w:tcW w:w="855" w:type="dxa"/>
            <w:shd w:val="clear" w:color="auto" w:fill="auto"/>
            <w:tcMar>
              <w:top w:w="100" w:type="dxa"/>
              <w:left w:w="100" w:type="dxa"/>
              <w:bottom w:w="100" w:type="dxa"/>
              <w:right w:w="100" w:type="dxa"/>
            </w:tcMar>
          </w:tcPr>
          <w:p w14:paraId="063DB872" w14:textId="77777777" w:rsidR="00B06D92"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Findings and Discussions </w:t>
            </w:r>
          </w:p>
        </w:tc>
        <w:tc>
          <w:tcPr>
            <w:tcW w:w="855" w:type="dxa"/>
            <w:shd w:val="clear" w:color="auto" w:fill="auto"/>
            <w:tcMar>
              <w:top w:w="100" w:type="dxa"/>
              <w:left w:w="100" w:type="dxa"/>
              <w:bottom w:w="100" w:type="dxa"/>
              <w:right w:w="100" w:type="dxa"/>
            </w:tcMar>
          </w:tcPr>
          <w:p w14:paraId="063DB873"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6" w:type="dxa"/>
            <w:shd w:val="clear" w:color="auto" w:fill="auto"/>
            <w:tcMar>
              <w:top w:w="100" w:type="dxa"/>
              <w:left w:w="100" w:type="dxa"/>
              <w:bottom w:w="100" w:type="dxa"/>
              <w:right w:w="100" w:type="dxa"/>
            </w:tcMar>
          </w:tcPr>
          <w:p w14:paraId="063DB874"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6" w:type="dxa"/>
            <w:shd w:val="clear" w:color="auto" w:fill="auto"/>
            <w:tcMar>
              <w:top w:w="100" w:type="dxa"/>
              <w:left w:w="100" w:type="dxa"/>
              <w:bottom w:w="100" w:type="dxa"/>
              <w:right w:w="100" w:type="dxa"/>
            </w:tcMar>
          </w:tcPr>
          <w:p w14:paraId="063DB875"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76"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77"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78"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79"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tcMar>
              <w:top w:w="100" w:type="dxa"/>
              <w:left w:w="100" w:type="dxa"/>
              <w:bottom w:w="100" w:type="dxa"/>
              <w:right w:w="100" w:type="dxa"/>
            </w:tcMar>
          </w:tcPr>
          <w:p w14:paraId="063DB87A"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7F6000"/>
            <w:tcMar>
              <w:top w:w="100" w:type="dxa"/>
              <w:left w:w="100" w:type="dxa"/>
              <w:bottom w:w="100" w:type="dxa"/>
              <w:right w:w="100" w:type="dxa"/>
            </w:tcMar>
          </w:tcPr>
          <w:p w14:paraId="063DB87B"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7F6000"/>
            <w:tcMar>
              <w:top w:w="100" w:type="dxa"/>
              <w:left w:w="100" w:type="dxa"/>
              <w:bottom w:w="100" w:type="dxa"/>
              <w:right w:w="100" w:type="dxa"/>
            </w:tcMar>
          </w:tcPr>
          <w:p w14:paraId="063DB87C"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shd w:val="clear" w:color="auto" w:fill="7F6000"/>
            <w:tcMar>
              <w:top w:w="100" w:type="dxa"/>
              <w:left w:w="100" w:type="dxa"/>
              <w:bottom w:w="100" w:type="dxa"/>
              <w:right w:w="100" w:type="dxa"/>
            </w:tcMar>
          </w:tcPr>
          <w:p w14:paraId="063DB87D"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shd w:val="clear" w:color="auto" w:fill="auto"/>
            <w:tcMar>
              <w:top w:w="100" w:type="dxa"/>
              <w:left w:w="100" w:type="dxa"/>
              <w:bottom w:w="100" w:type="dxa"/>
              <w:right w:w="100" w:type="dxa"/>
            </w:tcMar>
          </w:tcPr>
          <w:p w14:paraId="063DB87E"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r>
      <w:tr w:rsidR="00B06D92" w14:paraId="063DB88D" w14:textId="77777777">
        <w:trPr>
          <w:trHeight w:val="2136"/>
        </w:trPr>
        <w:tc>
          <w:tcPr>
            <w:tcW w:w="855" w:type="dxa"/>
            <w:shd w:val="clear" w:color="auto" w:fill="auto"/>
            <w:tcMar>
              <w:top w:w="100" w:type="dxa"/>
              <w:left w:w="100" w:type="dxa"/>
              <w:bottom w:w="100" w:type="dxa"/>
              <w:right w:w="100" w:type="dxa"/>
            </w:tcMar>
          </w:tcPr>
          <w:p w14:paraId="063DB880" w14:textId="77777777" w:rsidR="00B06D92"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Presentation of the report</w:t>
            </w:r>
          </w:p>
        </w:tc>
        <w:tc>
          <w:tcPr>
            <w:tcW w:w="855" w:type="dxa"/>
            <w:shd w:val="clear" w:color="auto" w:fill="auto"/>
            <w:tcMar>
              <w:top w:w="100" w:type="dxa"/>
              <w:left w:w="100" w:type="dxa"/>
              <w:bottom w:w="100" w:type="dxa"/>
              <w:right w:w="100" w:type="dxa"/>
            </w:tcMar>
          </w:tcPr>
          <w:p w14:paraId="063DB881"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6" w:type="dxa"/>
            <w:shd w:val="clear" w:color="auto" w:fill="auto"/>
            <w:tcMar>
              <w:top w:w="100" w:type="dxa"/>
              <w:left w:w="100" w:type="dxa"/>
              <w:bottom w:w="100" w:type="dxa"/>
              <w:right w:w="100" w:type="dxa"/>
            </w:tcMar>
          </w:tcPr>
          <w:p w14:paraId="063DB882"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856" w:type="dxa"/>
            <w:shd w:val="clear" w:color="auto" w:fill="auto"/>
            <w:tcMar>
              <w:top w:w="100" w:type="dxa"/>
              <w:left w:w="100" w:type="dxa"/>
              <w:bottom w:w="100" w:type="dxa"/>
              <w:right w:w="100" w:type="dxa"/>
            </w:tcMar>
          </w:tcPr>
          <w:p w14:paraId="063DB883"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84"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85"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86"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87"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88"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89"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56" w:type="dxa"/>
            <w:shd w:val="clear" w:color="auto" w:fill="auto"/>
            <w:tcMar>
              <w:top w:w="100" w:type="dxa"/>
              <w:left w:w="100" w:type="dxa"/>
              <w:bottom w:w="100" w:type="dxa"/>
              <w:right w:w="100" w:type="dxa"/>
            </w:tcMar>
          </w:tcPr>
          <w:p w14:paraId="063DB88A"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tcMar>
              <w:top w:w="100" w:type="dxa"/>
              <w:left w:w="100" w:type="dxa"/>
              <w:bottom w:w="100" w:type="dxa"/>
              <w:right w:w="100" w:type="dxa"/>
            </w:tcMar>
          </w:tcPr>
          <w:p w14:paraId="063DB88B"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c>
          <w:tcPr>
            <w:tcW w:w="880" w:type="dxa"/>
            <w:shd w:val="clear" w:color="auto" w:fill="6AA84F"/>
            <w:tcMar>
              <w:top w:w="100" w:type="dxa"/>
              <w:left w:w="100" w:type="dxa"/>
              <w:bottom w:w="100" w:type="dxa"/>
              <w:right w:w="100" w:type="dxa"/>
            </w:tcMar>
          </w:tcPr>
          <w:p w14:paraId="063DB88C" w14:textId="77777777" w:rsidR="00B06D92" w:rsidRDefault="00B06D9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tc>
      </w:tr>
    </w:tbl>
    <w:p w14:paraId="063DB88E"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63DB88F"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Potential Risks:</w:t>
      </w:r>
    </w:p>
    <w:p w14:paraId="063DB890"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63DB891"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errors, insufficient sample sizes, ethical issues, restricted access to resources, time restraints, and unanticipated external events are all potential study hazards. To handle these risks and maintain the validity, dependability, and moral integrity of the research project, mitigation techniques should be used.</w:t>
      </w:r>
    </w:p>
    <w:p w14:paraId="063DB892"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DB893" w14:textId="77777777" w:rsidR="00B06D92" w:rsidRDefault="00000000">
      <w:pPr>
        <w:pStyle w:val="Heading1"/>
        <w:spacing w:line="360" w:lineRule="auto"/>
        <w:jc w:val="both"/>
      </w:pPr>
      <w:bookmarkStart w:id="25" w:name="_heading=h.3as4poj" w:colFirst="0" w:colLast="0"/>
      <w:bookmarkEnd w:id="25"/>
      <w:r>
        <w:t xml:space="preserve">Findings </w:t>
      </w:r>
    </w:p>
    <w:p w14:paraId="063DB894"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063DB895"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the research of </w:t>
      </w:r>
      <w:proofErr w:type="spellStart"/>
      <w:r>
        <w:rPr>
          <w:rFonts w:ascii="Times New Roman" w:eastAsia="Times New Roman" w:hAnsi="Times New Roman" w:cs="Times New Roman"/>
          <w:color w:val="222222"/>
          <w:sz w:val="24"/>
          <w:szCs w:val="24"/>
          <w:highlight w:val="white"/>
        </w:rPr>
        <w:t>Kravariti</w:t>
      </w:r>
      <w:proofErr w:type="spellEnd"/>
      <w:r>
        <w:rPr>
          <w:rFonts w:ascii="Times New Roman" w:eastAsia="Times New Roman" w:hAnsi="Times New Roman" w:cs="Times New Roman"/>
          <w:color w:val="222222"/>
          <w:sz w:val="24"/>
          <w:szCs w:val="24"/>
          <w:highlight w:val="white"/>
        </w:rPr>
        <w:t xml:space="preserve"> and Johnston (2020</w:t>
      </w:r>
      <w:r>
        <w:rPr>
          <w:rFonts w:ascii="Times New Roman" w:eastAsia="Times New Roman" w:hAnsi="Times New Roman" w:cs="Times New Roman"/>
          <w:color w:val="000000"/>
          <w:sz w:val="24"/>
          <w:szCs w:val="24"/>
        </w:rPr>
        <w:t xml:space="preserve">), it was identified that by integrating human resources with strategic objectives, encouraging a culture of innovation and learning, and improving employee engagement and performance, HRM might be a catalyst for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transformation and renewal in the public sector. Moreover, political involvement, bureaucratic restrictions, budget cuts, moral conundrums, and opposition to change are just a few of the difficulties and hindrances that HRM may encounter in the public sector. Compared to the article of </w:t>
      </w:r>
      <w:proofErr w:type="spellStart"/>
      <w:r>
        <w:rPr>
          <w:rFonts w:ascii="Times New Roman" w:eastAsia="Times New Roman" w:hAnsi="Times New Roman" w:cs="Times New Roman"/>
          <w:color w:val="222222"/>
          <w:sz w:val="20"/>
          <w:szCs w:val="20"/>
          <w:highlight w:val="white"/>
        </w:rPr>
        <w:t>Alibekova</w:t>
      </w:r>
      <w:proofErr w:type="spellEnd"/>
      <w:r>
        <w:rPr>
          <w:rFonts w:ascii="Times New Roman" w:eastAsia="Times New Roman" w:hAnsi="Times New Roman" w:cs="Times New Roman"/>
          <w:i/>
          <w:color w:val="222222"/>
          <w:sz w:val="20"/>
          <w:szCs w:val="20"/>
          <w:highlight w:val="white"/>
        </w:rPr>
        <w:t xml:space="preserve"> et al.</w:t>
      </w:r>
      <w:r>
        <w:rPr>
          <w:rFonts w:ascii="Times New Roman" w:eastAsia="Times New Roman" w:hAnsi="Times New Roman" w:cs="Times New Roman"/>
          <w:color w:val="222222"/>
          <w:sz w:val="20"/>
          <w:szCs w:val="20"/>
          <w:highlight w:val="white"/>
        </w:rPr>
        <w:t xml:space="preserve"> (2021</w:t>
      </w:r>
      <w:r>
        <w:rPr>
          <w:rFonts w:ascii="Times New Roman" w:eastAsia="Times New Roman" w:hAnsi="Times New Roman" w:cs="Times New Roman"/>
          <w:color w:val="000000"/>
          <w:sz w:val="24"/>
          <w:szCs w:val="24"/>
        </w:rPr>
        <w:t xml:space="preserve">), it was noted that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excellence is the investment of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in key opportunities driven by excellent strategic planning, dedication to a shared vision, a clear purpose, enough resources, diligence, and performance that is efficient in the public sector.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excellence has drawn the attention of many scholars in today's </w:t>
      </w:r>
      <w:proofErr w:type="spellStart"/>
      <w:r>
        <w:rPr>
          <w:rFonts w:ascii="Times New Roman" w:eastAsia="Times New Roman" w:hAnsi="Times New Roman" w:cs="Times New Roman"/>
          <w:color w:val="000000"/>
          <w:sz w:val="24"/>
          <w:szCs w:val="24"/>
        </w:rPr>
        <w:t>globalised</w:t>
      </w:r>
      <w:proofErr w:type="spellEnd"/>
      <w:r>
        <w:rPr>
          <w:rFonts w:ascii="Times New Roman" w:eastAsia="Times New Roman" w:hAnsi="Times New Roman" w:cs="Times New Roman"/>
          <w:color w:val="000000"/>
          <w:sz w:val="24"/>
          <w:szCs w:val="24"/>
        </w:rPr>
        <w:t xml:space="preserve"> environment. From the research of </w:t>
      </w:r>
      <w:r>
        <w:rPr>
          <w:rFonts w:ascii="Times New Roman" w:eastAsia="Times New Roman" w:hAnsi="Times New Roman" w:cs="Times New Roman"/>
          <w:color w:val="222222"/>
          <w:sz w:val="24"/>
          <w:szCs w:val="24"/>
          <w:highlight w:val="white"/>
        </w:rPr>
        <w:t>Oliveira</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color w:val="000000"/>
          <w:sz w:val="24"/>
          <w:szCs w:val="24"/>
        </w:rPr>
        <w:t xml:space="preserve">), by combining HR with company strategy, developing a culture of innovation and learning, and improving employee engagement and performance, HRM may be a source of competitive advantage in the private sector. However, HRM may run into problems and obstacles in the private sector, such as a lack of qualified </w:t>
      </w:r>
      <w:r>
        <w:rPr>
          <w:rFonts w:ascii="Times New Roman" w:eastAsia="Times New Roman" w:hAnsi="Times New Roman" w:cs="Times New Roman"/>
          <w:color w:val="000000"/>
          <w:sz w:val="24"/>
          <w:szCs w:val="24"/>
        </w:rPr>
        <w:lastRenderedPageBreak/>
        <w:t xml:space="preserve">employees, a skill gap, high employee turnover, moral difficulties, and opposition to change. By promoting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diagnosis, issue resolution, capacity building, and stakeholder participation,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may aid private sector enterprises in navigating complex and dynamic contexts. According to the article by </w:t>
      </w:r>
      <w:r>
        <w:rPr>
          <w:rFonts w:ascii="Times New Roman" w:eastAsia="Times New Roman" w:hAnsi="Times New Roman" w:cs="Times New Roman"/>
          <w:color w:val="222222"/>
          <w:sz w:val="24"/>
          <w:szCs w:val="24"/>
          <w:highlight w:val="white"/>
        </w:rPr>
        <w:t xml:space="preserve">Palacios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color w:val="000000"/>
          <w:sz w:val="24"/>
          <w:szCs w:val="24"/>
        </w:rPr>
        <w:t xml:space="preserve">), it was identified that the HRM tasks and duties inside the charity might be determined by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structure. For example, HRM may have a formal, </w:t>
      </w:r>
      <w:proofErr w:type="spellStart"/>
      <w:r>
        <w:rPr>
          <w:rFonts w:ascii="Times New Roman" w:eastAsia="Times New Roman" w:hAnsi="Times New Roman" w:cs="Times New Roman"/>
          <w:color w:val="000000"/>
          <w:sz w:val="24"/>
          <w:szCs w:val="24"/>
        </w:rPr>
        <w:t>centralised</w:t>
      </w:r>
      <w:proofErr w:type="spellEnd"/>
      <w:r>
        <w:rPr>
          <w:rFonts w:ascii="Times New Roman" w:eastAsia="Times New Roman" w:hAnsi="Times New Roman" w:cs="Times New Roman"/>
          <w:color w:val="000000"/>
          <w:sz w:val="24"/>
          <w:szCs w:val="24"/>
        </w:rPr>
        <w:t xml:space="preserve"> role in a hierarchical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but it might have a more informal, </w:t>
      </w:r>
      <w:proofErr w:type="spellStart"/>
      <w:r>
        <w:rPr>
          <w:rFonts w:ascii="Times New Roman" w:eastAsia="Times New Roman" w:hAnsi="Times New Roman" w:cs="Times New Roman"/>
          <w:color w:val="000000"/>
          <w:sz w:val="24"/>
          <w:szCs w:val="24"/>
        </w:rPr>
        <w:t>decentralised</w:t>
      </w:r>
      <w:proofErr w:type="spellEnd"/>
      <w:r>
        <w:rPr>
          <w:rFonts w:ascii="Times New Roman" w:eastAsia="Times New Roman" w:hAnsi="Times New Roman" w:cs="Times New Roman"/>
          <w:color w:val="000000"/>
          <w:sz w:val="24"/>
          <w:szCs w:val="24"/>
        </w:rPr>
        <w:t xml:space="preserve"> one in a flat or network structure. Opportunities and difficulties for HRM in non-profit </w:t>
      </w:r>
      <w:proofErr w:type="spellStart"/>
      <w:r>
        <w:rPr>
          <w:rFonts w:ascii="Times New Roman" w:eastAsia="Times New Roman" w:hAnsi="Times New Roman" w:cs="Times New Roman"/>
          <w:color w:val="000000"/>
          <w:sz w:val="24"/>
          <w:szCs w:val="24"/>
        </w:rPr>
        <w:t>non-profit</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might result from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expansion. Opportunities might include increasing performance and impact, recruiting and keeping more talent, and expanding and diversifying capabilities. In contrast, in the article </w:t>
      </w:r>
      <w:proofErr w:type="spellStart"/>
      <w:r>
        <w:rPr>
          <w:rFonts w:ascii="Times New Roman" w:eastAsia="Times New Roman" w:hAnsi="Times New Roman" w:cs="Times New Roman"/>
          <w:color w:val="222222"/>
          <w:sz w:val="24"/>
          <w:szCs w:val="24"/>
          <w:highlight w:val="white"/>
        </w:rPr>
        <w:t>Ceptureanu</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Ceptureanu</w:t>
      </w:r>
      <w:proofErr w:type="spellEnd"/>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color w:val="000000"/>
          <w:sz w:val="24"/>
          <w:szCs w:val="24"/>
        </w:rPr>
        <w:t xml:space="preserve">), it was noted that sustainability for the non-profit </w:t>
      </w:r>
      <w:proofErr w:type="spellStart"/>
      <w:r>
        <w:rPr>
          <w:rFonts w:ascii="Times New Roman" w:eastAsia="Times New Roman" w:hAnsi="Times New Roman" w:cs="Times New Roman"/>
          <w:color w:val="000000"/>
          <w:sz w:val="24"/>
          <w:szCs w:val="24"/>
        </w:rPr>
        <w:t>non-profit</w:t>
      </w:r>
      <w:proofErr w:type="spellEnd"/>
      <w:r>
        <w:rPr>
          <w:rFonts w:ascii="Times New Roman" w:eastAsia="Times New Roman" w:hAnsi="Times New Roman" w:cs="Times New Roman"/>
          <w:color w:val="000000"/>
          <w:sz w:val="24"/>
          <w:szCs w:val="24"/>
        </w:rPr>
        <w:t xml:space="preserve"> sector refers to the ability to endure so that it may carry out its objective. Therefore, non-profit </w:t>
      </w:r>
      <w:proofErr w:type="spellStart"/>
      <w:r>
        <w:rPr>
          <w:rFonts w:ascii="Times New Roman" w:eastAsia="Times New Roman" w:hAnsi="Times New Roman" w:cs="Times New Roman"/>
          <w:color w:val="000000"/>
          <w:sz w:val="24"/>
          <w:szCs w:val="24"/>
        </w:rPr>
        <w:t>non-profit</w:t>
      </w:r>
      <w:proofErr w:type="spellEnd"/>
      <w:r>
        <w:rPr>
          <w:rFonts w:ascii="Times New Roman" w:eastAsia="Times New Roman" w:hAnsi="Times New Roman" w:cs="Times New Roman"/>
          <w:color w:val="000000"/>
          <w:sz w:val="24"/>
          <w:szCs w:val="24"/>
        </w:rPr>
        <w:t xml:space="preserve"> sustainability means that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will be able to uphold its obligations to its customers and the </w:t>
      </w:r>
      <w:proofErr w:type="spellStart"/>
      <w:r>
        <w:rPr>
          <w:rFonts w:ascii="Times New Roman" w:eastAsia="Times New Roman" w:hAnsi="Times New Roman" w:cs="Times New Roman"/>
          <w:color w:val="000000"/>
          <w:sz w:val="24"/>
          <w:szCs w:val="24"/>
        </w:rPr>
        <w:t>neighbourhood</w:t>
      </w:r>
      <w:proofErr w:type="spellEnd"/>
      <w:r>
        <w:rPr>
          <w:rFonts w:ascii="Times New Roman" w:eastAsia="Times New Roman" w:hAnsi="Times New Roman" w:cs="Times New Roman"/>
          <w:color w:val="000000"/>
          <w:sz w:val="24"/>
          <w:szCs w:val="24"/>
        </w:rPr>
        <w:t xml:space="preserve"> in which it works. Given that Romanian NPO, leadership views investment in income creation and impact/results goals as crucial to maintaining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sustainability, our findings help to some extent to confirm the conclusions of this research. </w:t>
      </w:r>
      <w:proofErr w:type="gramStart"/>
      <w:r>
        <w:rPr>
          <w:rFonts w:ascii="Times New Roman" w:eastAsia="Times New Roman" w:hAnsi="Times New Roman" w:cs="Times New Roman"/>
          <w:color w:val="000000"/>
          <w:sz w:val="24"/>
          <w:szCs w:val="24"/>
        </w:rPr>
        <w:t>In actuality, most</w:t>
      </w:r>
      <w:proofErr w:type="gramEnd"/>
      <w:r>
        <w:rPr>
          <w:rFonts w:ascii="Times New Roman" w:eastAsia="Times New Roman" w:hAnsi="Times New Roman" w:cs="Times New Roman"/>
          <w:color w:val="000000"/>
          <w:sz w:val="24"/>
          <w:szCs w:val="24"/>
        </w:rPr>
        <w:t xml:space="preserve"> of the factors connected to strategy are correlated with the dependent variable. </w:t>
      </w:r>
    </w:p>
    <w:p w14:paraId="063DB896" w14:textId="77777777" w:rsidR="00B06D92" w:rsidRDefault="00B06D92">
      <w:pPr>
        <w:pStyle w:val="Heading1"/>
        <w:spacing w:line="360" w:lineRule="auto"/>
        <w:jc w:val="both"/>
      </w:pPr>
      <w:bookmarkStart w:id="26" w:name="_heading=h.1pxezwc" w:colFirst="0" w:colLast="0"/>
      <w:bookmarkEnd w:id="26"/>
    </w:p>
    <w:p w14:paraId="063DB897" w14:textId="77777777" w:rsidR="00B06D92" w:rsidRDefault="00000000">
      <w:pPr>
        <w:pStyle w:val="Heading1"/>
        <w:spacing w:line="360" w:lineRule="auto"/>
        <w:jc w:val="both"/>
      </w:pPr>
      <w:bookmarkStart w:id="27" w:name="_heading=h.49x2ik5" w:colFirst="0" w:colLast="0"/>
      <w:bookmarkEnd w:id="27"/>
      <w:r>
        <w:t xml:space="preserve">Conclusion  </w:t>
      </w:r>
    </w:p>
    <w:p w14:paraId="063DB898"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063DB899"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summary,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growth and efficiency depend on effective human resource management (HRM). Moreover, relevant data regarding how hierarchical and flat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structures influence the adoption of HRM practices will also be revealed through the examination of these structures. However, the researcher will use an inductive research technique to carry out this study because it is consistent with the interpretivism research philosophy, and it enables the researcher to derive broad </w:t>
      </w:r>
      <w:proofErr w:type="spellStart"/>
      <w:r>
        <w:rPr>
          <w:rFonts w:ascii="Times New Roman" w:eastAsia="Times New Roman" w:hAnsi="Times New Roman" w:cs="Times New Roman"/>
          <w:color w:val="000000"/>
          <w:sz w:val="24"/>
          <w:szCs w:val="24"/>
        </w:rPr>
        <w:t>generalisations</w:t>
      </w:r>
      <w:proofErr w:type="spellEnd"/>
      <w:r>
        <w:rPr>
          <w:rFonts w:ascii="Times New Roman" w:eastAsia="Times New Roman" w:hAnsi="Times New Roman" w:cs="Times New Roman"/>
          <w:color w:val="000000"/>
          <w:sz w:val="24"/>
          <w:szCs w:val="24"/>
        </w:rPr>
        <w:t xml:space="preserve"> and patterns from specific observations and data. Due to the availability of existing data that is pertinent to the study issue, the researcher will thus choose the secondary data gathering approach.</w:t>
      </w:r>
    </w:p>
    <w:p w14:paraId="063DB89B"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063DB89C"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063DB89E" w14:textId="5006A0C9" w:rsidR="00B06D92" w:rsidRDefault="00000000">
      <w:pPr>
        <w:pStyle w:val="Heading1"/>
        <w:spacing w:line="360" w:lineRule="auto"/>
        <w:jc w:val="both"/>
      </w:pPr>
      <w:bookmarkStart w:id="28" w:name="_heading=h.2p2csry" w:colFirst="0" w:colLast="0"/>
      <w:bookmarkStart w:id="29" w:name="_heading=h.147n2zr" w:colFirst="0" w:colLast="0"/>
      <w:bookmarkEnd w:id="28"/>
      <w:bookmarkEnd w:id="29"/>
      <w:r>
        <w:t>Reference</w:t>
      </w:r>
    </w:p>
    <w:p w14:paraId="063DB89F" w14:textId="77777777" w:rsidR="00B06D92"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bookmarkStart w:id="30" w:name="_heading=h.3o7alnk" w:colFirst="0" w:colLast="0"/>
      <w:bookmarkEnd w:id="30"/>
      <w:r>
        <w:rPr>
          <w:rFonts w:ascii="Times New Roman" w:eastAsia="Times New Roman" w:hAnsi="Times New Roman" w:cs="Times New Roman"/>
          <w:color w:val="000000"/>
          <w:sz w:val="24"/>
          <w:szCs w:val="24"/>
        </w:rPr>
        <w:t xml:space="preserve">(2023) </w:t>
      </w:r>
      <w:r>
        <w:rPr>
          <w:rFonts w:ascii="Times New Roman" w:eastAsia="Times New Roman" w:hAnsi="Times New Roman" w:cs="Times New Roman"/>
          <w:i/>
          <w:color w:val="000000"/>
          <w:sz w:val="24"/>
          <w:szCs w:val="24"/>
        </w:rPr>
        <w:t>The agency theory with the assignment of work from the principal to the ...</w:t>
      </w:r>
      <w:r>
        <w:rPr>
          <w:rFonts w:ascii="Times New Roman" w:eastAsia="Times New Roman" w:hAnsi="Times New Roman" w:cs="Times New Roman"/>
          <w:color w:val="000000"/>
          <w:sz w:val="24"/>
          <w:szCs w:val="24"/>
        </w:rPr>
        <w:t xml:space="preserve"> Available at: </w:t>
      </w:r>
      <w:hyperlink r:id="rId12">
        <w:r>
          <w:rPr>
            <w:rFonts w:ascii="Times New Roman" w:eastAsia="Times New Roman" w:hAnsi="Times New Roman" w:cs="Times New Roman"/>
            <w:color w:val="1155CC"/>
            <w:sz w:val="24"/>
            <w:szCs w:val="24"/>
            <w:u w:val="single"/>
          </w:rPr>
          <w:t>https://www.researchgate.net/figure/The-agency-theory-with-the-assignment-of-work-from-the-principal-to-the-agent-Slyke_fig3_283172754</w:t>
        </w:r>
      </w:hyperlink>
      <w:r>
        <w:rPr>
          <w:rFonts w:ascii="Times New Roman" w:eastAsia="Times New Roman" w:hAnsi="Times New Roman" w:cs="Times New Roman"/>
          <w:color w:val="000000"/>
          <w:sz w:val="24"/>
          <w:szCs w:val="24"/>
        </w:rPr>
        <w:t xml:space="preserve"> (Accessed: 14 June 2023)</w:t>
      </w:r>
    </w:p>
    <w:p w14:paraId="063DB8A0" w14:textId="77777777" w:rsidR="00B06D92"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Alibekova</w:t>
      </w:r>
      <w:proofErr w:type="spellEnd"/>
      <w:r>
        <w:rPr>
          <w:rFonts w:ascii="Times New Roman" w:eastAsia="Times New Roman" w:hAnsi="Times New Roman" w:cs="Times New Roman"/>
          <w:color w:val="222222"/>
          <w:sz w:val="24"/>
          <w:szCs w:val="24"/>
          <w:highlight w:val="white"/>
        </w:rPr>
        <w:t xml:space="preserve">, G., ÖZÇELİK, S., </w:t>
      </w:r>
      <w:proofErr w:type="spellStart"/>
      <w:r>
        <w:rPr>
          <w:rFonts w:ascii="Times New Roman" w:eastAsia="Times New Roman" w:hAnsi="Times New Roman" w:cs="Times New Roman"/>
          <w:color w:val="222222"/>
          <w:sz w:val="24"/>
          <w:szCs w:val="24"/>
          <w:highlight w:val="white"/>
        </w:rPr>
        <w:t>Satybaldin</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Bapiyeva</w:t>
      </w:r>
      <w:proofErr w:type="spellEnd"/>
      <w:r>
        <w:rPr>
          <w:rFonts w:ascii="Times New Roman" w:eastAsia="Times New Roman" w:hAnsi="Times New Roman" w:cs="Times New Roman"/>
          <w:color w:val="222222"/>
          <w:sz w:val="24"/>
          <w:szCs w:val="24"/>
          <w:highlight w:val="white"/>
        </w:rPr>
        <w:t xml:space="preserve">, M. and MEDENİ, T., (2021). ‘Research performance assessment issues: The case of Kazakhstan. </w:t>
      </w:r>
      <w:r>
        <w:rPr>
          <w:rFonts w:ascii="Times New Roman" w:eastAsia="Times New Roman" w:hAnsi="Times New Roman" w:cs="Times New Roman"/>
          <w:i/>
          <w:color w:val="222222"/>
          <w:sz w:val="24"/>
          <w:szCs w:val="24"/>
          <w:highlight w:val="white"/>
        </w:rPr>
        <w:t>Scholarly Assessment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(1).’</w:t>
      </w:r>
      <w:r>
        <w:rPr>
          <w:rFonts w:ascii="Times New Roman" w:eastAsia="Times New Roman" w:hAnsi="Times New Roman" w:cs="Times New Roman"/>
          <w:color w:val="222222"/>
          <w:sz w:val="20"/>
          <w:szCs w:val="20"/>
          <w:highlight w:val="white"/>
        </w:rPr>
        <w:t xml:space="preserve"> </w:t>
      </w:r>
      <w:r>
        <w:rPr>
          <w:rFonts w:ascii="Times New Roman" w:eastAsia="Times New Roman" w:hAnsi="Times New Roman" w:cs="Times New Roman"/>
          <w:color w:val="222222"/>
          <w:sz w:val="24"/>
          <w:szCs w:val="24"/>
          <w:highlight w:val="white"/>
        </w:rPr>
        <w:t xml:space="preserve">Available at: </w:t>
      </w:r>
      <w:hyperlink r:id="rId13">
        <w:r>
          <w:rPr>
            <w:rFonts w:ascii="Times New Roman" w:eastAsia="Times New Roman" w:hAnsi="Times New Roman" w:cs="Times New Roman"/>
            <w:color w:val="1155CC"/>
            <w:sz w:val="24"/>
            <w:szCs w:val="24"/>
            <w:highlight w:val="white"/>
            <w:u w:val="single"/>
          </w:rPr>
          <w:t>https://avesis.aybu.edu.tr/yayin/b525cd73-fc3e-4319-977b-2e196df3711f/research-performance-assessment-issues-the-case-of-</w:t>
        </w:r>
      </w:hyperlink>
      <w:r>
        <w:rPr>
          <w:rFonts w:ascii="Times New Roman" w:eastAsia="Times New Roman" w:hAnsi="Times New Roman" w:cs="Times New Roman"/>
          <w:color w:val="222222"/>
          <w:sz w:val="24"/>
          <w:szCs w:val="24"/>
          <w:highlight w:val="white"/>
        </w:rPr>
        <w:t xml:space="preserve">Kazakhstan </w:t>
      </w:r>
      <w:r>
        <w:rPr>
          <w:rFonts w:ascii="Times New Roman" w:eastAsia="Times New Roman" w:hAnsi="Times New Roman" w:cs="Times New Roman"/>
          <w:color w:val="000000"/>
          <w:sz w:val="24"/>
          <w:szCs w:val="24"/>
        </w:rPr>
        <w:t>(Accessed: 14 June 2023)</w:t>
      </w:r>
    </w:p>
    <w:p w14:paraId="063DB8A1" w14:textId="77777777" w:rsidR="00B06D92" w:rsidRDefault="00000000">
      <w:pPr>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Anwar, G. and Abdullah, N.N., (2021). 'The impact of Human resource management practice on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performance.' </w:t>
      </w:r>
      <w:r>
        <w:rPr>
          <w:rFonts w:ascii="Times New Roman" w:eastAsia="Times New Roman" w:hAnsi="Times New Roman" w:cs="Times New Roman"/>
          <w:i/>
          <w:color w:val="000000"/>
          <w:sz w:val="24"/>
          <w:szCs w:val="24"/>
        </w:rPr>
        <w:t>International Journal of Engineering, Business and Management (IJEBM)</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5</w:t>
      </w:r>
      <w:r>
        <w:rPr>
          <w:rFonts w:ascii="Times New Roman" w:eastAsia="Times New Roman" w:hAnsi="Times New Roman" w:cs="Times New Roman"/>
          <w:color w:val="000000"/>
          <w:sz w:val="24"/>
          <w:szCs w:val="24"/>
        </w:rPr>
        <w:t xml:space="preserve">. Available at: </w:t>
      </w:r>
      <w:hyperlink r:id="rId14">
        <w:r>
          <w:rPr>
            <w:rFonts w:ascii="Times New Roman" w:eastAsia="Times New Roman" w:hAnsi="Times New Roman" w:cs="Times New Roman"/>
            <w:color w:val="1155CC"/>
            <w:sz w:val="24"/>
            <w:szCs w:val="24"/>
            <w:u w:val="single"/>
          </w:rPr>
          <w:t>http://www.journal-repository.theshillonga.com/index.php/ijebm/article/view/3409/3213</w:t>
        </w:r>
      </w:hyperlink>
      <w:r>
        <w:rPr>
          <w:rFonts w:ascii="Times New Roman" w:eastAsia="Times New Roman" w:hAnsi="Times New Roman" w:cs="Times New Roman"/>
          <w:color w:val="000000"/>
          <w:sz w:val="24"/>
          <w:szCs w:val="24"/>
        </w:rPr>
        <w:t xml:space="preserve"> (Accessed: 14 June 2023)</w:t>
      </w:r>
    </w:p>
    <w:p w14:paraId="063DB8A2" w14:textId="77777777" w:rsidR="00B06D92" w:rsidRDefault="00000000">
      <w:pPr>
        <w:pBdr>
          <w:top w:val="nil"/>
          <w:left w:val="nil"/>
          <w:bottom w:val="nil"/>
          <w:right w:val="nil"/>
          <w:between w:val="nil"/>
        </w:pBdr>
        <w:shd w:val="clear" w:color="auto" w:fill="FFFFFF"/>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Arbab</w:t>
      </w:r>
      <w:proofErr w:type="spellEnd"/>
      <w:r>
        <w:rPr>
          <w:rFonts w:ascii="Times New Roman" w:eastAsia="Times New Roman" w:hAnsi="Times New Roman" w:cs="Times New Roman"/>
          <w:color w:val="222222"/>
          <w:sz w:val="24"/>
          <w:szCs w:val="24"/>
        </w:rPr>
        <w:t xml:space="preserve">, A.M.H. and </w:t>
      </w:r>
      <w:proofErr w:type="spellStart"/>
      <w:r>
        <w:rPr>
          <w:rFonts w:ascii="Times New Roman" w:eastAsia="Times New Roman" w:hAnsi="Times New Roman" w:cs="Times New Roman"/>
          <w:color w:val="222222"/>
          <w:sz w:val="24"/>
          <w:szCs w:val="24"/>
        </w:rPr>
        <w:t>Abaker</w:t>
      </w:r>
      <w:proofErr w:type="spellEnd"/>
      <w:r>
        <w:rPr>
          <w:rFonts w:ascii="Times New Roman" w:eastAsia="Times New Roman" w:hAnsi="Times New Roman" w:cs="Times New Roman"/>
          <w:color w:val="222222"/>
          <w:sz w:val="24"/>
          <w:szCs w:val="24"/>
        </w:rPr>
        <w:t xml:space="preserve">, MOSM, (2018). 'Human resources management practices and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excellence in public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Polish Journal of management studies, 18(2),</w:t>
      </w:r>
      <w:r>
        <w:rPr>
          <w:rFonts w:ascii="Times New Roman" w:eastAsia="Times New Roman" w:hAnsi="Times New Roman" w:cs="Times New Roman"/>
          <w:color w:val="222222"/>
          <w:sz w:val="24"/>
          <w:szCs w:val="24"/>
        </w:rPr>
        <w:t xml:space="preserve"> pp.9-21.  Available at: </w:t>
      </w:r>
      <w:hyperlink r:id="rId15">
        <w:r>
          <w:rPr>
            <w:rFonts w:ascii="Times New Roman" w:eastAsia="Times New Roman" w:hAnsi="Times New Roman" w:cs="Times New Roman"/>
            <w:color w:val="1155CC"/>
            <w:sz w:val="24"/>
            <w:szCs w:val="24"/>
            <w:highlight w:val="white"/>
            <w:u w:val="single"/>
          </w:rPr>
          <w:t>10.17512/pjms.2018.18.2.01</w:t>
        </w:r>
      </w:hyperlink>
      <w:r>
        <w:rPr>
          <w:rFonts w:ascii="Times New Roman" w:eastAsia="Times New Roman" w:hAnsi="Times New Roman" w:cs="Times New Roman"/>
          <w:color w:val="333333"/>
          <w:sz w:val="24"/>
          <w:szCs w:val="24"/>
          <w:highlight w:val="white"/>
        </w:rPr>
        <w:t xml:space="preserve">  </w:t>
      </w:r>
      <w:r>
        <w:rPr>
          <w:rFonts w:ascii="Times New Roman" w:eastAsia="Times New Roman" w:hAnsi="Times New Roman" w:cs="Times New Roman"/>
          <w:sz w:val="24"/>
          <w:szCs w:val="24"/>
        </w:rPr>
        <w:t>(Accessed: 14 June 2023)</w:t>
      </w:r>
    </w:p>
    <w:p w14:paraId="063DB8A3" w14:textId="77777777" w:rsidR="00B06D92"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Ceptureanu</w:t>
      </w:r>
      <w:proofErr w:type="spellEnd"/>
      <w:r>
        <w:rPr>
          <w:rFonts w:ascii="Times New Roman" w:eastAsia="Times New Roman" w:hAnsi="Times New Roman" w:cs="Times New Roman"/>
          <w:color w:val="222222"/>
          <w:sz w:val="24"/>
          <w:szCs w:val="24"/>
          <w:highlight w:val="white"/>
        </w:rPr>
        <w:t xml:space="preserve">, S.I. and </w:t>
      </w:r>
      <w:proofErr w:type="spellStart"/>
      <w:r>
        <w:rPr>
          <w:rFonts w:ascii="Times New Roman" w:eastAsia="Times New Roman" w:hAnsi="Times New Roman" w:cs="Times New Roman"/>
          <w:color w:val="222222"/>
          <w:sz w:val="24"/>
          <w:szCs w:val="24"/>
          <w:highlight w:val="white"/>
        </w:rPr>
        <w:t>Ceptureanu</w:t>
      </w:r>
      <w:proofErr w:type="spellEnd"/>
      <w:r>
        <w:rPr>
          <w:rFonts w:ascii="Times New Roman" w:eastAsia="Times New Roman" w:hAnsi="Times New Roman" w:cs="Times New Roman"/>
          <w:color w:val="222222"/>
          <w:sz w:val="24"/>
          <w:szCs w:val="24"/>
          <w:highlight w:val="white"/>
        </w:rPr>
        <w:t xml:space="preserve">, E.G., (2019). ‘Community-based healthcare programs sustainability impact on the sustainability of host </w:t>
      </w:r>
      <w:proofErr w:type="spellStart"/>
      <w:r>
        <w:rPr>
          <w:rFonts w:ascii="Times New Roman" w:eastAsia="Times New Roman" w:hAnsi="Times New Roman" w:cs="Times New Roman"/>
          <w:color w:val="222222"/>
          <w:sz w:val="24"/>
          <w:szCs w:val="24"/>
          <w:highlight w:val="white"/>
        </w:rPr>
        <w:t>organisations</w:t>
      </w:r>
      <w:proofErr w:type="spellEnd"/>
      <w:r>
        <w:rPr>
          <w:rFonts w:ascii="Times New Roman" w:eastAsia="Times New Roman" w:hAnsi="Times New Roman" w:cs="Times New Roman"/>
          <w:color w:val="222222"/>
          <w:sz w:val="24"/>
          <w:szCs w:val="24"/>
          <w:highlight w:val="white"/>
        </w:rPr>
        <w:t xml:space="preserve">: A structural equation modelling analysis.’ </w:t>
      </w:r>
      <w:r>
        <w:rPr>
          <w:rFonts w:ascii="Times New Roman" w:eastAsia="Times New Roman" w:hAnsi="Times New Roman" w:cs="Times New Roman"/>
          <w:i/>
          <w:color w:val="222222"/>
          <w:sz w:val="24"/>
          <w:szCs w:val="24"/>
          <w:highlight w:val="white"/>
        </w:rPr>
        <w:t>International Journal of Environmental Research and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(20), p.4035.</w:t>
      </w:r>
      <w:r>
        <w:rPr>
          <w:rFonts w:ascii="Times New Roman" w:eastAsia="Times New Roman" w:hAnsi="Times New Roman" w:cs="Times New Roman"/>
          <w:color w:val="222222"/>
          <w:sz w:val="20"/>
          <w:szCs w:val="20"/>
          <w:highlight w:val="white"/>
        </w:rPr>
        <w:t xml:space="preserve"> </w:t>
      </w:r>
      <w:r>
        <w:rPr>
          <w:rFonts w:ascii="Times New Roman" w:eastAsia="Times New Roman" w:hAnsi="Times New Roman" w:cs="Times New Roman"/>
          <w:color w:val="222222"/>
          <w:sz w:val="24"/>
          <w:szCs w:val="24"/>
          <w:highlight w:val="white"/>
        </w:rPr>
        <w:t xml:space="preserve">Available at: </w:t>
      </w:r>
      <w:hyperlink r:id="rId16">
        <w:r>
          <w:rPr>
            <w:rFonts w:ascii="Times New Roman" w:eastAsia="Times New Roman" w:hAnsi="Times New Roman" w:cs="Times New Roman"/>
            <w:color w:val="1155CC"/>
            <w:sz w:val="24"/>
            <w:szCs w:val="24"/>
            <w:highlight w:val="white"/>
            <w:u w:val="single"/>
          </w:rPr>
          <w:t>https://doi.org/10.3390/ijerph16204035</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14 June 2023)</w:t>
      </w:r>
    </w:p>
    <w:p w14:paraId="063DB8A4" w14:textId="77777777" w:rsidR="00B06D92" w:rsidRDefault="00000000">
      <w:pPr>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rPr>
        <w:t>Dirani</w:t>
      </w:r>
      <w:proofErr w:type="spellEnd"/>
      <w:r>
        <w:rPr>
          <w:rFonts w:ascii="Times New Roman" w:eastAsia="Times New Roman" w:hAnsi="Times New Roman" w:cs="Times New Roman"/>
          <w:color w:val="222222"/>
          <w:sz w:val="24"/>
          <w:szCs w:val="24"/>
        </w:rPr>
        <w:t xml:space="preserve">, K.M., Abadi, M., Alizadeh, A., </w:t>
      </w:r>
      <w:proofErr w:type="spellStart"/>
      <w:r>
        <w:rPr>
          <w:rFonts w:ascii="Times New Roman" w:eastAsia="Times New Roman" w:hAnsi="Times New Roman" w:cs="Times New Roman"/>
          <w:color w:val="222222"/>
          <w:sz w:val="24"/>
          <w:szCs w:val="24"/>
        </w:rPr>
        <w:t>Barhate</w:t>
      </w:r>
      <w:proofErr w:type="spellEnd"/>
      <w:r>
        <w:rPr>
          <w:rFonts w:ascii="Times New Roman" w:eastAsia="Times New Roman" w:hAnsi="Times New Roman" w:cs="Times New Roman"/>
          <w:color w:val="222222"/>
          <w:sz w:val="24"/>
          <w:szCs w:val="24"/>
        </w:rPr>
        <w:t xml:space="preserve">, B., Garza, R.C., </w:t>
      </w:r>
      <w:proofErr w:type="spellStart"/>
      <w:r>
        <w:rPr>
          <w:rFonts w:ascii="Times New Roman" w:eastAsia="Times New Roman" w:hAnsi="Times New Roman" w:cs="Times New Roman"/>
          <w:color w:val="222222"/>
          <w:sz w:val="24"/>
          <w:szCs w:val="24"/>
        </w:rPr>
        <w:t>Gunasekara</w:t>
      </w:r>
      <w:proofErr w:type="spellEnd"/>
      <w:r>
        <w:rPr>
          <w:rFonts w:ascii="Times New Roman" w:eastAsia="Times New Roman" w:hAnsi="Times New Roman" w:cs="Times New Roman"/>
          <w:color w:val="222222"/>
          <w:sz w:val="24"/>
          <w:szCs w:val="24"/>
        </w:rPr>
        <w:t xml:space="preserve">, N., Ibrahim, G. and </w:t>
      </w:r>
      <w:proofErr w:type="spellStart"/>
      <w:r>
        <w:rPr>
          <w:rFonts w:ascii="Times New Roman" w:eastAsia="Times New Roman" w:hAnsi="Times New Roman" w:cs="Times New Roman"/>
          <w:color w:val="222222"/>
          <w:sz w:val="24"/>
          <w:szCs w:val="24"/>
        </w:rPr>
        <w:t>Majzun</w:t>
      </w:r>
      <w:proofErr w:type="spellEnd"/>
      <w:r>
        <w:rPr>
          <w:rFonts w:ascii="Times New Roman" w:eastAsia="Times New Roman" w:hAnsi="Times New Roman" w:cs="Times New Roman"/>
          <w:color w:val="222222"/>
          <w:sz w:val="24"/>
          <w:szCs w:val="24"/>
        </w:rPr>
        <w:t xml:space="preserve">, Z., (2020). ‘Leadership competencies and the essential role of human resource development in times of crisis: a response to Covid-19 pandemic.’ </w:t>
      </w:r>
      <w:r>
        <w:rPr>
          <w:rFonts w:ascii="Times New Roman" w:eastAsia="Times New Roman" w:hAnsi="Times New Roman" w:cs="Times New Roman"/>
          <w:i/>
          <w:color w:val="222222"/>
          <w:sz w:val="24"/>
          <w:szCs w:val="24"/>
        </w:rPr>
        <w:t>Human Resource Development International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23</w:t>
      </w:r>
      <w:r>
        <w:rPr>
          <w:rFonts w:ascii="Times New Roman" w:eastAsia="Times New Roman" w:hAnsi="Times New Roman" w:cs="Times New Roman"/>
          <w:color w:val="222222"/>
          <w:sz w:val="24"/>
          <w:szCs w:val="24"/>
        </w:rPr>
        <w:t xml:space="preserve">(4), pp.380-394. Available at: </w:t>
      </w:r>
      <w:hyperlink r:id="rId17">
        <w:r>
          <w:rPr>
            <w:rFonts w:ascii="Times New Roman" w:eastAsia="Times New Roman" w:hAnsi="Times New Roman" w:cs="Times New Roman"/>
            <w:color w:val="1155CC"/>
            <w:sz w:val="24"/>
            <w:szCs w:val="24"/>
            <w:u w:val="single"/>
          </w:rPr>
          <w:t>https://www.researchgate.net/profile/Mehrangiz-Abadi/publication/342876269_Leadership_competencies_and_the_essential_role_of_human_resource_development_in_times_of_crisis_a_response_to_Covid-19_pandemic/links/5f681fc8a6fdcc008631d32f/Leadership-competencies-and-the-essential-role-</w:t>
        </w:r>
        <w:r>
          <w:rPr>
            <w:rFonts w:ascii="Times New Roman" w:eastAsia="Times New Roman" w:hAnsi="Times New Roman" w:cs="Times New Roman"/>
            <w:color w:val="1155CC"/>
            <w:sz w:val="24"/>
            <w:szCs w:val="24"/>
            <w:u w:val="single"/>
          </w:rPr>
          <w:lastRenderedPageBreak/>
          <w:t>of-human-resource-development-in-times-of-crisis-a-response-to-Covid-19-pandemic.pdf</w:t>
        </w:r>
      </w:hyperlink>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000000"/>
          <w:sz w:val="24"/>
          <w:szCs w:val="24"/>
        </w:rPr>
        <w:t>(Accessed: 14 June 2023)</w:t>
      </w:r>
    </w:p>
    <w:p w14:paraId="063DB8A5" w14:textId="77777777" w:rsidR="00B06D92" w:rsidRDefault="00000000">
      <w:pPr>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222222"/>
          <w:sz w:val="24"/>
          <w:szCs w:val="24"/>
        </w:rPr>
      </w:pPr>
      <w:hyperlink r:id="rId18">
        <w:r>
          <w:rPr>
            <w:rFonts w:ascii="Times New Roman" w:eastAsia="Times New Roman" w:hAnsi="Times New Roman" w:cs="Times New Roman"/>
            <w:color w:val="1155CC"/>
            <w:sz w:val="24"/>
            <w:szCs w:val="24"/>
            <w:u w:val="single"/>
          </w:rPr>
          <w:t>https://pjms.zim.pcz.pl/api/files/view/657637.pdf</w:t>
        </w:r>
      </w:hyperlink>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000000"/>
          <w:sz w:val="24"/>
          <w:szCs w:val="24"/>
        </w:rPr>
        <w:t>Accessed: 14 June 2023)</w:t>
      </w:r>
    </w:p>
    <w:p w14:paraId="063DB8A6"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Husband, G. (2020). 'Ethical data collection and </w:t>
      </w:r>
      <w:proofErr w:type="spellStart"/>
      <w:r>
        <w:rPr>
          <w:rFonts w:ascii="Times New Roman" w:eastAsia="Times New Roman" w:hAnsi="Times New Roman" w:cs="Times New Roman"/>
          <w:color w:val="000000"/>
          <w:sz w:val="24"/>
          <w:szCs w:val="24"/>
        </w:rPr>
        <w:t>recognising</w:t>
      </w:r>
      <w:proofErr w:type="spellEnd"/>
      <w:r>
        <w:rPr>
          <w:rFonts w:ascii="Times New Roman" w:eastAsia="Times New Roman" w:hAnsi="Times New Roman" w:cs="Times New Roman"/>
          <w:color w:val="000000"/>
          <w:sz w:val="24"/>
          <w:szCs w:val="24"/>
        </w:rPr>
        <w:t xml:space="preserve"> the impact of semi-structured interviews on research respondents.</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Education Sciences, 10(8), p.</w:t>
      </w:r>
      <w:r>
        <w:rPr>
          <w:rFonts w:ascii="Times New Roman" w:eastAsia="Times New Roman" w:hAnsi="Times New Roman" w:cs="Times New Roman"/>
          <w:color w:val="000000"/>
          <w:sz w:val="24"/>
          <w:szCs w:val="24"/>
        </w:rPr>
        <w:t xml:space="preserve">206. Available at: </w:t>
      </w:r>
      <w:hyperlink r:id="rId19">
        <w:r>
          <w:rPr>
            <w:rFonts w:ascii="Times New Roman" w:eastAsia="Times New Roman" w:hAnsi="Times New Roman" w:cs="Times New Roman"/>
            <w:color w:val="0000FF"/>
            <w:sz w:val="24"/>
            <w:szCs w:val="24"/>
            <w:u w:val="single"/>
          </w:rPr>
          <w:t>http://dx.doi.org/10.3390/educsci10080206</w:t>
        </w:r>
      </w:hyperlink>
      <w:r>
        <w:rPr>
          <w:rFonts w:ascii="Times New Roman" w:eastAsia="Times New Roman" w:hAnsi="Times New Roman" w:cs="Times New Roman"/>
          <w:color w:val="000000"/>
          <w:sz w:val="24"/>
          <w:szCs w:val="24"/>
        </w:rPr>
        <w:t xml:space="preserve"> (Accessed: 14 June 2023)</w:t>
      </w:r>
    </w:p>
    <w:p w14:paraId="063DB8A7" w14:textId="77777777" w:rsidR="00B06D92"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Junjie, M. and </w:t>
      </w:r>
      <w:proofErr w:type="spellStart"/>
      <w:r>
        <w:rPr>
          <w:rFonts w:ascii="Times New Roman" w:eastAsia="Times New Roman" w:hAnsi="Times New Roman" w:cs="Times New Roman"/>
          <w:color w:val="000000"/>
          <w:sz w:val="24"/>
          <w:szCs w:val="24"/>
        </w:rPr>
        <w:t>Yingxin</w:t>
      </w:r>
      <w:proofErr w:type="spellEnd"/>
      <w:r>
        <w:rPr>
          <w:rFonts w:ascii="Times New Roman" w:eastAsia="Times New Roman" w:hAnsi="Times New Roman" w:cs="Times New Roman"/>
          <w:color w:val="000000"/>
          <w:sz w:val="24"/>
          <w:szCs w:val="24"/>
        </w:rPr>
        <w:t xml:space="preserve">, M. (2022). 'The Discussions of Positivism and Interpretivism.' </w:t>
      </w:r>
      <w:r>
        <w:rPr>
          <w:rFonts w:ascii="Times New Roman" w:eastAsia="Times New Roman" w:hAnsi="Times New Roman" w:cs="Times New Roman"/>
          <w:i/>
          <w:color w:val="000000"/>
          <w:sz w:val="24"/>
          <w:szCs w:val="24"/>
        </w:rPr>
        <w:t>Online Submission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4</w:t>
      </w:r>
      <w:r>
        <w:rPr>
          <w:rFonts w:ascii="Times New Roman" w:eastAsia="Times New Roman" w:hAnsi="Times New Roman" w:cs="Times New Roman"/>
          <w:color w:val="000000"/>
          <w:sz w:val="24"/>
          <w:szCs w:val="24"/>
        </w:rPr>
        <w:t xml:space="preserve">(1), pp.10-14. Available at: </w:t>
      </w:r>
      <w:hyperlink r:id="rId20">
        <w:r>
          <w:rPr>
            <w:rFonts w:ascii="Times New Roman" w:eastAsia="Times New Roman" w:hAnsi="Times New Roman" w:cs="Times New Roman"/>
            <w:color w:val="0000FF"/>
            <w:sz w:val="24"/>
            <w:szCs w:val="24"/>
            <w:u w:val="single"/>
          </w:rPr>
          <w:t>http://dx.doi.org/10.36348/gajhss.2022.v04i01.002</w:t>
        </w:r>
      </w:hyperlink>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 (</w:t>
      </w:r>
      <w:proofErr w:type="gramEnd"/>
      <w:r>
        <w:rPr>
          <w:rFonts w:ascii="Times New Roman" w:eastAsia="Times New Roman" w:hAnsi="Times New Roman" w:cs="Times New Roman"/>
          <w:color w:val="000000"/>
          <w:sz w:val="24"/>
          <w:szCs w:val="24"/>
        </w:rPr>
        <w:t>Accessed: 14 June 2023)</w:t>
      </w:r>
    </w:p>
    <w:p w14:paraId="063DB8A8" w14:textId="77777777" w:rsidR="00B06D92"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Kravariti</w:t>
      </w:r>
      <w:proofErr w:type="spellEnd"/>
      <w:r>
        <w:rPr>
          <w:rFonts w:ascii="Times New Roman" w:eastAsia="Times New Roman" w:hAnsi="Times New Roman" w:cs="Times New Roman"/>
          <w:color w:val="222222"/>
          <w:sz w:val="24"/>
          <w:szCs w:val="24"/>
          <w:highlight w:val="white"/>
        </w:rPr>
        <w:t xml:space="preserve">, F. and Johnston, K., (2020). ‘Talent management: a critical literature review and research agenda for public sector human resource management.’ </w:t>
      </w:r>
      <w:r>
        <w:rPr>
          <w:rFonts w:ascii="Times New Roman" w:eastAsia="Times New Roman" w:hAnsi="Times New Roman" w:cs="Times New Roman"/>
          <w:i/>
          <w:color w:val="222222"/>
          <w:sz w:val="24"/>
          <w:szCs w:val="24"/>
          <w:highlight w:val="white"/>
        </w:rPr>
        <w:t>Public Management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 xml:space="preserve">(1), pp.75-95. Available at: </w:t>
      </w:r>
      <w:hyperlink r:id="rId21">
        <w:r>
          <w:rPr>
            <w:rFonts w:ascii="Times New Roman" w:eastAsia="Times New Roman" w:hAnsi="Times New Roman" w:cs="Times New Roman"/>
            <w:color w:val="1155CC"/>
            <w:sz w:val="24"/>
            <w:szCs w:val="24"/>
            <w:highlight w:val="white"/>
            <w:u w:val="single"/>
          </w:rPr>
          <w:t>https://doi.org/10.1080/14719037.2019.1638439</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14 June 2023)</w:t>
      </w:r>
    </w:p>
    <w:p w14:paraId="063DB8A9" w14:textId="77777777" w:rsidR="00B06D92"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Ogutu</w:t>
      </w:r>
      <w:proofErr w:type="spellEnd"/>
      <w:r>
        <w:rPr>
          <w:rFonts w:ascii="Times New Roman" w:eastAsia="Times New Roman" w:hAnsi="Times New Roman" w:cs="Times New Roman"/>
          <w:color w:val="000000"/>
          <w:sz w:val="24"/>
          <w:szCs w:val="24"/>
        </w:rPr>
        <w:t xml:space="preserve">, H.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Theoretical nexus of Knowledge Management and tourism business enterprise competitiveness: An integrated overview</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MDPI</w:t>
      </w:r>
      <w:r>
        <w:rPr>
          <w:rFonts w:ascii="Times New Roman" w:eastAsia="Times New Roman" w:hAnsi="Times New Roman" w:cs="Times New Roman"/>
          <w:color w:val="000000"/>
          <w:sz w:val="24"/>
          <w:szCs w:val="24"/>
        </w:rPr>
        <w:t xml:space="preserve">. Available at: </w:t>
      </w:r>
      <w:hyperlink r:id="rId22">
        <w:r>
          <w:rPr>
            <w:rFonts w:ascii="Times New Roman" w:eastAsia="Times New Roman" w:hAnsi="Times New Roman" w:cs="Times New Roman"/>
            <w:color w:val="1155CC"/>
            <w:sz w:val="24"/>
            <w:szCs w:val="24"/>
            <w:u w:val="single"/>
          </w:rPr>
          <w:t>https://www.mdpi.com/2071-1050/15/3/1948</w:t>
        </w:r>
      </w:hyperlink>
      <w:r>
        <w:rPr>
          <w:rFonts w:ascii="Times New Roman" w:eastAsia="Times New Roman" w:hAnsi="Times New Roman" w:cs="Times New Roman"/>
          <w:color w:val="000000"/>
          <w:sz w:val="24"/>
          <w:szCs w:val="24"/>
        </w:rPr>
        <w:t xml:space="preserve"> (Accessed: 14 June 2023)</w:t>
      </w:r>
    </w:p>
    <w:p w14:paraId="063DB8AA" w14:textId="77777777" w:rsidR="00B06D92"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Oliveira, M., Sousa, M., Silva, R. and Santos, T., (2021). ‘Strategy and human resources management in non-</w:t>
      </w:r>
      <w:proofErr w:type="spellStart"/>
      <w:r>
        <w:rPr>
          <w:rFonts w:ascii="Times New Roman" w:eastAsia="Times New Roman" w:hAnsi="Times New Roman" w:cs="Times New Roman"/>
          <w:color w:val="222222"/>
          <w:sz w:val="24"/>
          <w:szCs w:val="24"/>
          <w:highlight w:val="white"/>
        </w:rPr>
        <w:t>profitnon</w:t>
      </w:r>
      <w:proofErr w:type="spellEnd"/>
      <w:r>
        <w:rPr>
          <w:rFonts w:ascii="Times New Roman" w:eastAsia="Times New Roman" w:hAnsi="Times New Roman" w:cs="Times New Roman"/>
          <w:color w:val="222222"/>
          <w:sz w:val="24"/>
          <w:szCs w:val="24"/>
          <w:highlight w:val="white"/>
        </w:rPr>
        <w:t xml:space="preserve">-profit </w:t>
      </w:r>
      <w:proofErr w:type="spellStart"/>
      <w:r>
        <w:rPr>
          <w:rFonts w:ascii="Times New Roman" w:eastAsia="Times New Roman" w:hAnsi="Times New Roman" w:cs="Times New Roman"/>
          <w:color w:val="222222"/>
          <w:sz w:val="24"/>
          <w:szCs w:val="24"/>
          <w:highlight w:val="white"/>
        </w:rPr>
        <w:t>organisations</w:t>
      </w:r>
      <w:proofErr w:type="spellEnd"/>
      <w:r>
        <w:rPr>
          <w:rFonts w:ascii="Times New Roman" w:eastAsia="Times New Roman" w:hAnsi="Times New Roman" w:cs="Times New Roman"/>
          <w:color w:val="222222"/>
          <w:sz w:val="24"/>
          <w:szCs w:val="24"/>
          <w:highlight w:val="white"/>
        </w:rPr>
        <w:t xml:space="preserve">: Its interaction with open innovation.’ </w:t>
      </w:r>
      <w:r>
        <w:rPr>
          <w:rFonts w:ascii="Times New Roman" w:eastAsia="Times New Roman" w:hAnsi="Times New Roman" w:cs="Times New Roman"/>
          <w:i/>
          <w:color w:val="222222"/>
          <w:sz w:val="24"/>
          <w:szCs w:val="24"/>
          <w:highlight w:val="white"/>
        </w:rPr>
        <w:t>Journal of Open Innovation: Technology, Market, and Complexity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 p.75</w:t>
      </w:r>
      <w:r>
        <w:rPr>
          <w:rFonts w:ascii="Times New Roman" w:eastAsia="Times New Roman" w:hAnsi="Times New Roman" w:cs="Times New Roman"/>
          <w:color w:val="222222"/>
          <w:sz w:val="20"/>
          <w:szCs w:val="20"/>
          <w:highlight w:val="white"/>
        </w:rPr>
        <w:t xml:space="preserve">. </w:t>
      </w:r>
      <w:r>
        <w:rPr>
          <w:rFonts w:ascii="Times New Roman" w:eastAsia="Times New Roman" w:hAnsi="Times New Roman" w:cs="Times New Roman"/>
          <w:color w:val="222222"/>
          <w:sz w:val="24"/>
          <w:szCs w:val="24"/>
          <w:highlight w:val="white"/>
        </w:rPr>
        <w:t xml:space="preserve">Available at: </w:t>
      </w:r>
      <w:hyperlink r:id="rId23">
        <w:r>
          <w:rPr>
            <w:rFonts w:ascii="Times New Roman" w:eastAsia="Times New Roman" w:hAnsi="Times New Roman" w:cs="Times New Roman"/>
            <w:color w:val="1155CC"/>
            <w:sz w:val="24"/>
            <w:szCs w:val="24"/>
            <w:highlight w:val="white"/>
            <w:u w:val="single"/>
          </w:rPr>
          <w:t>https://doi.org/10.3390/joitmc7010075</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14 June 2023)</w:t>
      </w:r>
    </w:p>
    <w:p w14:paraId="063DB8AB" w14:textId="77777777" w:rsidR="00B06D92"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Palacios-Marqués, D., García, M.G., Sánchez, M.M. and Mari, M.P.A., (2019). ‘Social entrepreneurship and </w:t>
      </w:r>
      <w:proofErr w:type="spellStart"/>
      <w:r>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performance: A study of the mediating role of distinctive competencies in marketing.’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101</w:t>
      </w:r>
      <w:r>
        <w:rPr>
          <w:rFonts w:ascii="Times New Roman" w:eastAsia="Times New Roman" w:hAnsi="Times New Roman" w:cs="Times New Roman"/>
          <w:color w:val="222222"/>
          <w:sz w:val="24"/>
          <w:szCs w:val="24"/>
          <w:highlight w:val="white"/>
        </w:rPr>
        <w:t>, pp.426-432.</w:t>
      </w:r>
      <w:r>
        <w:rPr>
          <w:rFonts w:ascii="Times New Roman" w:eastAsia="Times New Roman" w:hAnsi="Times New Roman" w:cs="Times New Roman"/>
          <w:color w:val="222222"/>
          <w:sz w:val="20"/>
          <w:szCs w:val="20"/>
          <w:highlight w:val="white"/>
        </w:rPr>
        <w:t xml:space="preserve"> </w:t>
      </w:r>
      <w:r>
        <w:rPr>
          <w:rFonts w:ascii="Times New Roman" w:eastAsia="Times New Roman" w:hAnsi="Times New Roman" w:cs="Times New Roman"/>
          <w:color w:val="222222"/>
          <w:sz w:val="24"/>
          <w:szCs w:val="24"/>
          <w:highlight w:val="white"/>
        </w:rPr>
        <w:t xml:space="preserve">Available at: </w:t>
      </w:r>
      <w:hyperlink r:id="rId24">
        <w:r>
          <w:rPr>
            <w:rFonts w:ascii="Times New Roman" w:eastAsia="Times New Roman" w:hAnsi="Times New Roman" w:cs="Times New Roman"/>
            <w:color w:val="1155CC"/>
            <w:sz w:val="24"/>
            <w:szCs w:val="24"/>
            <w:highlight w:val="white"/>
            <w:u w:val="single"/>
          </w:rPr>
          <w:t>https://doi.org/10.1016/j.jbusres.2019.02.004</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14 June 2023)</w:t>
      </w:r>
    </w:p>
    <w:p w14:paraId="063DB8AC" w14:textId="77777777" w:rsidR="00B06D92"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Published by                                    Statista Research Department and 6, J. (2022) </w:t>
      </w:r>
      <w:r>
        <w:rPr>
          <w:rFonts w:ascii="Times New Roman" w:eastAsia="Times New Roman" w:hAnsi="Times New Roman" w:cs="Times New Roman"/>
          <w:i/>
          <w:color w:val="000000"/>
          <w:sz w:val="24"/>
          <w:szCs w:val="24"/>
        </w:rPr>
        <w:t xml:space="preserve">Human Resource Management Systems (HRMS) distribution worldwide by </w:t>
      </w:r>
      <w:proofErr w:type="spellStart"/>
      <w:r>
        <w:rPr>
          <w:rFonts w:ascii="Times New Roman" w:eastAsia="Times New Roman" w:hAnsi="Times New Roman" w:cs="Times New Roman"/>
          <w:i/>
          <w:color w:val="000000"/>
          <w:sz w:val="24"/>
          <w:szCs w:val="24"/>
        </w:rPr>
        <w:t>organisational</w:t>
      </w:r>
      <w:proofErr w:type="spellEnd"/>
      <w:r>
        <w:rPr>
          <w:rFonts w:ascii="Times New Roman" w:eastAsia="Times New Roman" w:hAnsi="Times New Roman" w:cs="Times New Roman"/>
          <w:i/>
          <w:color w:val="000000"/>
          <w:sz w:val="24"/>
          <w:szCs w:val="24"/>
        </w:rPr>
        <w:t xml:space="preserve"> size 2019</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Statista</w:t>
      </w:r>
      <w:r>
        <w:rPr>
          <w:rFonts w:ascii="Times New Roman" w:eastAsia="Times New Roman" w:hAnsi="Times New Roman" w:cs="Times New Roman"/>
          <w:color w:val="000000"/>
          <w:sz w:val="24"/>
          <w:szCs w:val="24"/>
        </w:rPr>
        <w:t xml:space="preserve">. Available at: </w:t>
      </w:r>
      <w:hyperlink r:id="rId25">
        <w:r>
          <w:rPr>
            <w:rFonts w:ascii="Times New Roman" w:eastAsia="Times New Roman" w:hAnsi="Times New Roman" w:cs="Times New Roman"/>
            <w:color w:val="1155CC"/>
            <w:sz w:val="24"/>
            <w:szCs w:val="24"/>
            <w:u w:val="single"/>
          </w:rPr>
          <w:t>https://www.statista.com/statistics/1085422/hrms-distribution-organizational-size-worldwide/</w:t>
        </w:r>
      </w:hyperlink>
      <w:r>
        <w:rPr>
          <w:rFonts w:ascii="Times New Roman" w:eastAsia="Times New Roman" w:hAnsi="Times New Roman" w:cs="Times New Roman"/>
          <w:color w:val="000000"/>
          <w:sz w:val="24"/>
          <w:szCs w:val="24"/>
        </w:rPr>
        <w:t xml:space="preserve">  (Accessed: 14 June 2023)</w:t>
      </w:r>
    </w:p>
    <w:p w14:paraId="063DB8AD"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Roberts, K., Dowell, A. and </w:t>
      </w:r>
      <w:proofErr w:type="spellStart"/>
      <w:r>
        <w:rPr>
          <w:rFonts w:ascii="Times New Roman" w:eastAsia="Times New Roman" w:hAnsi="Times New Roman" w:cs="Times New Roman"/>
          <w:color w:val="000000"/>
          <w:sz w:val="24"/>
          <w:szCs w:val="24"/>
        </w:rPr>
        <w:t>Nie</w:t>
      </w:r>
      <w:proofErr w:type="spellEnd"/>
      <w:r>
        <w:rPr>
          <w:rFonts w:ascii="Times New Roman" w:eastAsia="Times New Roman" w:hAnsi="Times New Roman" w:cs="Times New Roman"/>
          <w:color w:val="000000"/>
          <w:sz w:val="24"/>
          <w:szCs w:val="24"/>
        </w:rPr>
        <w:t xml:space="preserve">, J.B. (2019). Attempting </w:t>
      </w:r>
      <w:proofErr w:type="spellStart"/>
      <w:r>
        <w:rPr>
          <w:rFonts w:ascii="Times New Roman" w:eastAsia="Times New Roman" w:hAnsi="Times New Roman" w:cs="Times New Roman"/>
          <w:color w:val="000000"/>
          <w:sz w:val="24"/>
          <w:szCs w:val="24"/>
        </w:rPr>
        <w:t>rigour</w:t>
      </w:r>
      <w:proofErr w:type="spellEnd"/>
      <w:r>
        <w:rPr>
          <w:rFonts w:ascii="Times New Roman" w:eastAsia="Times New Roman" w:hAnsi="Times New Roman" w:cs="Times New Roman"/>
          <w:color w:val="000000"/>
          <w:sz w:val="24"/>
          <w:szCs w:val="24"/>
        </w:rPr>
        <w:t xml:space="preserve"> and replicability in thematic analysis of qualitative research data; a case study of codebook development.' </w:t>
      </w:r>
      <w:r>
        <w:rPr>
          <w:rFonts w:ascii="Times New Roman" w:eastAsia="Times New Roman" w:hAnsi="Times New Roman" w:cs="Times New Roman"/>
          <w:i/>
          <w:color w:val="000000"/>
          <w:sz w:val="24"/>
          <w:szCs w:val="24"/>
        </w:rPr>
        <w:t>BMC medical research methodology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19</w:t>
      </w:r>
      <w:r>
        <w:rPr>
          <w:rFonts w:ascii="Times New Roman" w:eastAsia="Times New Roman" w:hAnsi="Times New Roman" w:cs="Times New Roman"/>
          <w:color w:val="000000"/>
          <w:sz w:val="24"/>
          <w:szCs w:val="24"/>
        </w:rPr>
        <w:t xml:space="preserve">, pp.1-8. Available at: </w:t>
      </w:r>
      <w:hyperlink r:id="rId26">
        <w:r>
          <w:rPr>
            <w:rFonts w:ascii="Times New Roman" w:eastAsia="Times New Roman" w:hAnsi="Times New Roman" w:cs="Times New Roman"/>
            <w:color w:val="0000FF"/>
            <w:sz w:val="24"/>
            <w:szCs w:val="24"/>
            <w:u w:val="single"/>
          </w:rPr>
          <w:t>https://ejournal2.undip.ac.id/index.php/anuva/article/download/3679/2059</w:t>
        </w:r>
      </w:hyperlink>
      <w:r>
        <w:rPr>
          <w:rFonts w:ascii="Times New Roman" w:eastAsia="Times New Roman" w:hAnsi="Times New Roman" w:cs="Times New Roman"/>
          <w:color w:val="000000"/>
          <w:sz w:val="24"/>
          <w:szCs w:val="24"/>
        </w:rPr>
        <w:t xml:space="preserve"> (Accessed: 14 June 2023)</w:t>
      </w:r>
    </w:p>
    <w:p w14:paraId="063DB8AE" w14:textId="77777777" w:rsidR="00B06D92"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Ruggiano</w:t>
      </w:r>
      <w:proofErr w:type="spellEnd"/>
      <w:r>
        <w:rPr>
          <w:rFonts w:ascii="Times New Roman" w:eastAsia="Times New Roman" w:hAnsi="Times New Roman" w:cs="Times New Roman"/>
          <w:color w:val="000000"/>
          <w:sz w:val="24"/>
          <w:szCs w:val="24"/>
        </w:rPr>
        <w:t xml:space="preserve">, N. and Perry, T.E., (2019). ‘Conducting secondary analysis of qualitative data: Should we, can we, and </w:t>
      </w:r>
      <w:proofErr w:type="gramStart"/>
      <w:r>
        <w:rPr>
          <w:rFonts w:ascii="Times New Roman" w:eastAsia="Times New Roman" w:hAnsi="Times New Roman" w:cs="Times New Roman"/>
          <w:color w:val="000000"/>
          <w:sz w:val="24"/>
          <w:szCs w:val="24"/>
        </w:rPr>
        <w:t>how?.</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Qualitative Social Work</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18</w:t>
      </w:r>
      <w:r>
        <w:rPr>
          <w:rFonts w:ascii="Times New Roman" w:eastAsia="Times New Roman" w:hAnsi="Times New Roman" w:cs="Times New Roman"/>
          <w:color w:val="000000"/>
          <w:sz w:val="24"/>
          <w:szCs w:val="24"/>
        </w:rPr>
        <w:t xml:space="preserve">(1), pp.81-97. Available at: </w:t>
      </w:r>
      <w:hyperlink r:id="rId27">
        <w:r>
          <w:rPr>
            <w:rFonts w:ascii="Times New Roman" w:eastAsia="Times New Roman" w:hAnsi="Times New Roman" w:cs="Times New Roman"/>
            <w:color w:val="0000FF"/>
            <w:sz w:val="24"/>
            <w:szCs w:val="24"/>
            <w:u w:val="single"/>
          </w:rPr>
          <w:t>https://journals.sagepub.com/doi/pdf/10.1177/1473325017700701</w:t>
        </w:r>
      </w:hyperlink>
      <w:r>
        <w:rPr>
          <w:rFonts w:ascii="Times New Roman" w:eastAsia="Times New Roman" w:hAnsi="Times New Roman" w:cs="Times New Roman"/>
          <w:color w:val="0B5394"/>
          <w:sz w:val="24"/>
          <w:szCs w:val="24"/>
        </w:rPr>
        <w:t xml:space="preserve"> </w:t>
      </w:r>
      <w:r>
        <w:rPr>
          <w:rFonts w:ascii="Times New Roman" w:eastAsia="Times New Roman" w:hAnsi="Times New Roman" w:cs="Times New Roman"/>
          <w:color w:val="000000"/>
          <w:sz w:val="24"/>
          <w:szCs w:val="24"/>
        </w:rPr>
        <w:t xml:space="preserve">(Accessed: 14 June 2023) </w:t>
      </w:r>
    </w:p>
    <w:p w14:paraId="063DB8AF" w14:textId="77777777" w:rsidR="00B06D92"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Snippert</w:t>
      </w:r>
      <w:proofErr w:type="spellEnd"/>
      <w:r>
        <w:rPr>
          <w:rFonts w:ascii="Times New Roman" w:eastAsia="Times New Roman" w:hAnsi="Times New Roman" w:cs="Times New Roman"/>
          <w:color w:val="222222"/>
          <w:sz w:val="24"/>
          <w:szCs w:val="24"/>
          <w:highlight w:val="white"/>
        </w:rPr>
        <w:t xml:space="preserve">, T., Witteveen, W., </w:t>
      </w:r>
      <w:proofErr w:type="spellStart"/>
      <w:r>
        <w:rPr>
          <w:rFonts w:ascii="Times New Roman" w:eastAsia="Times New Roman" w:hAnsi="Times New Roman" w:cs="Times New Roman"/>
          <w:color w:val="222222"/>
          <w:sz w:val="24"/>
          <w:szCs w:val="24"/>
          <w:highlight w:val="white"/>
        </w:rPr>
        <w:t>Boes</w:t>
      </w:r>
      <w:proofErr w:type="spellEnd"/>
      <w:r>
        <w:rPr>
          <w:rFonts w:ascii="Times New Roman" w:eastAsia="Times New Roman" w:hAnsi="Times New Roman" w:cs="Times New Roman"/>
          <w:color w:val="222222"/>
          <w:sz w:val="24"/>
          <w:szCs w:val="24"/>
          <w:highlight w:val="white"/>
        </w:rPr>
        <w:t xml:space="preserve">, H. and </w:t>
      </w:r>
      <w:proofErr w:type="spellStart"/>
      <w:r>
        <w:rPr>
          <w:rFonts w:ascii="Times New Roman" w:eastAsia="Times New Roman" w:hAnsi="Times New Roman" w:cs="Times New Roman"/>
          <w:color w:val="222222"/>
          <w:sz w:val="24"/>
          <w:szCs w:val="24"/>
          <w:highlight w:val="white"/>
        </w:rPr>
        <w:t>Voordijk</w:t>
      </w:r>
      <w:proofErr w:type="spellEnd"/>
      <w:r>
        <w:rPr>
          <w:rFonts w:ascii="Times New Roman" w:eastAsia="Times New Roman" w:hAnsi="Times New Roman" w:cs="Times New Roman"/>
          <w:color w:val="222222"/>
          <w:sz w:val="24"/>
          <w:szCs w:val="24"/>
          <w:highlight w:val="white"/>
        </w:rPr>
        <w:t xml:space="preserve">, H., (2015). Barriers to </w:t>
      </w:r>
      <w:proofErr w:type="spellStart"/>
      <w:r>
        <w:rPr>
          <w:rFonts w:ascii="Times New Roman" w:eastAsia="Times New Roman" w:hAnsi="Times New Roman" w:cs="Times New Roman"/>
          <w:color w:val="222222"/>
          <w:sz w:val="24"/>
          <w:szCs w:val="24"/>
          <w:highlight w:val="white"/>
        </w:rPr>
        <w:t>realising</w:t>
      </w:r>
      <w:proofErr w:type="spellEnd"/>
      <w:r>
        <w:rPr>
          <w:rFonts w:ascii="Times New Roman" w:eastAsia="Times New Roman" w:hAnsi="Times New Roman" w:cs="Times New Roman"/>
          <w:color w:val="222222"/>
          <w:sz w:val="24"/>
          <w:szCs w:val="24"/>
          <w:highlight w:val="white"/>
        </w:rPr>
        <w:t xml:space="preserve"> a stewardship relation between client and vendor: the Best Value approach. </w:t>
      </w:r>
      <w:r>
        <w:rPr>
          <w:rFonts w:ascii="Times New Roman" w:eastAsia="Times New Roman" w:hAnsi="Times New Roman" w:cs="Times New Roman"/>
          <w:i/>
          <w:color w:val="222222"/>
          <w:sz w:val="24"/>
          <w:szCs w:val="24"/>
          <w:highlight w:val="white"/>
        </w:rPr>
        <w:t>Construction Management and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 xml:space="preserve">(7), pp.569-586. Available at: </w:t>
      </w:r>
      <w:hyperlink r:id="rId28">
        <w:r>
          <w:rPr>
            <w:rFonts w:ascii="Times New Roman" w:eastAsia="Times New Roman" w:hAnsi="Times New Roman" w:cs="Times New Roman"/>
            <w:color w:val="1155CC"/>
            <w:sz w:val="24"/>
            <w:szCs w:val="24"/>
            <w:highlight w:val="white"/>
            <w:u w:val="single"/>
          </w:rPr>
          <w:t>https://doi.org/10.1080/01446193.2015.1078902</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14 June 2023)</w:t>
      </w:r>
    </w:p>
    <w:p w14:paraId="063DB8B0" w14:textId="77777777" w:rsidR="00B06D92"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0"/>
          <w:szCs w:val="20"/>
          <w:highlight w:val="white"/>
        </w:rPr>
      </w:pPr>
      <w:r>
        <w:rPr>
          <w:rFonts w:ascii="Times New Roman" w:eastAsia="Times New Roman" w:hAnsi="Times New Roman" w:cs="Times New Roman"/>
          <w:color w:val="000000"/>
          <w:sz w:val="24"/>
          <w:szCs w:val="24"/>
        </w:rPr>
        <w:t xml:space="preserve">Walter, D. and Ophir, Y. (2019). 'News frame analysis: An inductive mixed-method computational approach.' </w:t>
      </w:r>
      <w:r>
        <w:rPr>
          <w:rFonts w:ascii="Times New Roman" w:eastAsia="Times New Roman" w:hAnsi="Times New Roman" w:cs="Times New Roman"/>
          <w:i/>
          <w:color w:val="000000"/>
          <w:sz w:val="24"/>
          <w:szCs w:val="24"/>
        </w:rPr>
        <w:t>Communication Methods and Measures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13</w:t>
      </w:r>
      <w:r>
        <w:rPr>
          <w:rFonts w:ascii="Times New Roman" w:eastAsia="Times New Roman" w:hAnsi="Times New Roman" w:cs="Times New Roman"/>
          <w:color w:val="000000"/>
          <w:sz w:val="24"/>
          <w:szCs w:val="24"/>
        </w:rPr>
        <w:t xml:space="preserve">(4), pp.248-266. Available at: </w:t>
      </w:r>
      <w:hyperlink r:id="rId29">
        <w:r>
          <w:rPr>
            <w:rFonts w:ascii="Times New Roman" w:eastAsia="Times New Roman" w:hAnsi="Times New Roman" w:cs="Times New Roman"/>
            <w:color w:val="0000FF"/>
            <w:sz w:val="24"/>
            <w:szCs w:val="24"/>
            <w:u w:val="single"/>
          </w:rPr>
          <w:t>https://doi.org/10.1080/19312458.2019.1639145</w:t>
        </w:r>
      </w:hyperlink>
      <w:r>
        <w:rPr>
          <w:rFonts w:ascii="Times New Roman" w:eastAsia="Times New Roman" w:hAnsi="Times New Roman" w:cs="Times New Roman"/>
          <w:color w:val="000000"/>
          <w:sz w:val="24"/>
          <w:szCs w:val="24"/>
        </w:rPr>
        <w:t xml:space="preserve"> (Accessed: 14 June 2023)</w:t>
      </w:r>
    </w:p>
    <w:p w14:paraId="063DB8B1" w14:textId="77777777" w:rsidR="00B06D92" w:rsidRDefault="00B06D9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
    <w:p w14:paraId="063DB8B2" w14:textId="77777777" w:rsidR="00B06D92" w:rsidRDefault="00B06D9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
    <w:p w14:paraId="063DB8B3" w14:textId="77777777" w:rsidR="00B06D92" w:rsidRDefault="00B06D9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
    <w:p w14:paraId="063DB8B4" w14:textId="77777777" w:rsidR="00B06D92" w:rsidRDefault="00B06D9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
    <w:p w14:paraId="063DB8B5"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63DB8B6"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63DB8B7" w14:textId="77777777" w:rsidR="00B06D92" w:rsidRDefault="00B06D9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63DB8B8" w14:textId="77777777" w:rsidR="00B06D92" w:rsidRDefault="00B06D92">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p w14:paraId="063DB8B9" w14:textId="77777777" w:rsidR="00B06D92" w:rsidRDefault="00B06D92">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p w14:paraId="063DB8BA" w14:textId="77777777" w:rsidR="00B06D92" w:rsidRDefault="00B06D92">
      <w:pPr>
        <w:pStyle w:val="Heading1"/>
        <w:spacing w:line="360" w:lineRule="auto"/>
        <w:jc w:val="both"/>
      </w:pPr>
      <w:bookmarkStart w:id="31" w:name="_heading=h.23ckvvd" w:colFirst="0" w:colLast="0"/>
      <w:bookmarkEnd w:id="31"/>
    </w:p>
    <w:sectPr w:rsidR="00B06D92">
      <w:footerReference w:type="default" r:id="rId3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E187F" w14:textId="77777777" w:rsidR="006A2F03" w:rsidRDefault="006A2F03">
      <w:pPr>
        <w:spacing w:line="240" w:lineRule="auto"/>
      </w:pPr>
      <w:r>
        <w:separator/>
      </w:r>
    </w:p>
  </w:endnote>
  <w:endnote w:type="continuationSeparator" w:id="0">
    <w:p w14:paraId="2D3101B4" w14:textId="77777777" w:rsidR="006A2F03" w:rsidRDefault="006A2F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DB8C1" w14:textId="131BDF08" w:rsidR="00B06D92"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0F449E">
      <w:rPr>
        <w:b/>
        <w:noProof/>
        <w:color w:val="000000"/>
        <w:sz w:val="24"/>
        <w:szCs w:val="24"/>
      </w:rPr>
      <w:t>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0F449E">
      <w:rPr>
        <w:b/>
        <w:noProof/>
        <w:color w:val="000000"/>
        <w:sz w:val="24"/>
        <w:szCs w:val="24"/>
      </w:rPr>
      <w:t>3</w:t>
    </w:r>
    <w:r>
      <w:rPr>
        <w:b/>
        <w:color w:val="000000"/>
        <w:sz w:val="24"/>
        <w:szCs w:val="24"/>
      </w:rPr>
      <w:fldChar w:fldCharType="end"/>
    </w:r>
  </w:p>
  <w:p w14:paraId="063DB8C2" w14:textId="77777777" w:rsidR="00B06D92" w:rsidRDefault="00B06D9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81604" w14:textId="77777777" w:rsidR="006A2F03" w:rsidRDefault="006A2F03">
      <w:pPr>
        <w:spacing w:line="240" w:lineRule="auto"/>
      </w:pPr>
      <w:r>
        <w:separator/>
      </w:r>
    </w:p>
  </w:footnote>
  <w:footnote w:type="continuationSeparator" w:id="0">
    <w:p w14:paraId="36D37F6B" w14:textId="77777777" w:rsidR="006A2F03" w:rsidRDefault="006A2F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24A35"/>
    <w:multiLevelType w:val="multilevel"/>
    <w:tmpl w:val="11C4D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B21FC9"/>
    <w:multiLevelType w:val="multilevel"/>
    <w:tmpl w:val="2D6849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9D34764"/>
    <w:multiLevelType w:val="multilevel"/>
    <w:tmpl w:val="1C08BB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68576141">
    <w:abstractNumId w:val="0"/>
  </w:num>
  <w:num w:numId="2" w16cid:durableId="1218934767">
    <w:abstractNumId w:val="2"/>
  </w:num>
  <w:num w:numId="3" w16cid:durableId="3748187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D92"/>
    <w:rsid w:val="000F449E"/>
    <w:rsid w:val="003A6443"/>
    <w:rsid w:val="006A2F03"/>
    <w:rsid w:val="006C220E"/>
    <w:rsid w:val="008706CD"/>
    <w:rsid w:val="00A543FB"/>
    <w:rsid w:val="00A86DD8"/>
    <w:rsid w:val="00B06D92"/>
    <w:rsid w:val="00BD0571"/>
    <w:rsid w:val="00DF5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DB76E"/>
  <w15:docId w15:val="{DC3718CE-070C-4885-9916-790DA5401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shd w:val="clear" w:color="auto" w:fill="FFFFFF"/>
      <w:spacing w:before="400" w:after="120"/>
      <w:outlineLvl w:val="0"/>
    </w:pPr>
    <w:rPr>
      <w:rFonts w:ascii="Times New Roman" w:eastAsia="Times New Roman" w:hAnsi="Times New Roman" w:cs="Times New Roman"/>
      <w:b/>
      <w:sz w:val="28"/>
      <w:szCs w:val="28"/>
    </w:rPr>
  </w:style>
  <w:style w:type="paragraph" w:styleId="Heading2">
    <w:name w:val="heading 2"/>
    <w:basedOn w:val="Normal1"/>
    <w:next w:val="Normal1"/>
    <w:uiPriority w:val="9"/>
    <w:unhideWhenUsed/>
    <w:qFormat/>
    <w:pPr>
      <w:keepNext/>
      <w:keepLines/>
      <w:shd w:val="clear" w:color="auto" w:fill="FFFFFF"/>
      <w:spacing w:before="360" w:after="120"/>
      <w:outlineLvl w:val="1"/>
    </w:pPr>
    <w:rPr>
      <w:rFonts w:ascii="Times New Roman" w:eastAsia="Times New Roman" w:hAnsi="Times New Roman" w:cs="Times New Roman"/>
      <w:b/>
      <w:sz w:val="26"/>
      <w:szCs w:val="26"/>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7737C"/>
    <w:pPr>
      <w:tabs>
        <w:tab w:val="center" w:pos="4513"/>
        <w:tab w:val="right" w:pos="9026"/>
      </w:tabs>
      <w:spacing w:line="240" w:lineRule="auto"/>
    </w:pPr>
  </w:style>
  <w:style w:type="character" w:customStyle="1" w:styleId="HeaderChar">
    <w:name w:val="Header Char"/>
    <w:basedOn w:val="DefaultParagraphFont"/>
    <w:link w:val="Header"/>
    <w:uiPriority w:val="99"/>
    <w:rsid w:val="00C7737C"/>
  </w:style>
  <w:style w:type="paragraph" w:styleId="Footer">
    <w:name w:val="footer"/>
    <w:basedOn w:val="Normal"/>
    <w:link w:val="FooterChar"/>
    <w:uiPriority w:val="99"/>
    <w:unhideWhenUsed/>
    <w:rsid w:val="00C7737C"/>
    <w:pPr>
      <w:tabs>
        <w:tab w:val="center" w:pos="4513"/>
        <w:tab w:val="right" w:pos="9026"/>
      </w:tabs>
      <w:spacing w:line="240" w:lineRule="auto"/>
    </w:pPr>
  </w:style>
  <w:style w:type="character" w:customStyle="1" w:styleId="FooterChar">
    <w:name w:val="Footer Char"/>
    <w:basedOn w:val="DefaultParagraphFont"/>
    <w:link w:val="Footer"/>
    <w:uiPriority w:val="99"/>
    <w:rsid w:val="00C7737C"/>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vesis.aybu.edu.tr/yayin/b525cd73-fc3e-4319-977b-2e196df3711f/research-performance-assessment-issues-the-case-of-kazakhstan" TargetMode="External"/><Relationship Id="rId18" Type="http://schemas.openxmlformats.org/officeDocument/2006/relationships/hyperlink" Target="https://pjms.zim.pcz.pl/api/files/view/657637.pdf" TargetMode="External"/><Relationship Id="rId26" Type="http://schemas.openxmlformats.org/officeDocument/2006/relationships/hyperlink" Target="https://ejournal2.undip.ac.id/index.php/anuva/article/download/3679/2059" TargetMode="External"/><Relationship Id="rId3" Type="http://schemas.openxmlformats.org/officeDocument/2006/relationships/styles" Target="styles.xml"/><Relationship Id="rId21" Type="http://schemas.openxmlformats.org/officeDocument/2006/relationships/hyperlink" Target="https://doi.org/10.1080/14719037.2019.1638439" TargetMode="External"/><Relationship Id="rId7" Type="http://schemas.openxmlformats.org/officeDocument/2006/relationships/endnotes" Target="endnotes.xml"/><Relationship Id="rId12" Type="http://schemas.openxmlformats.org/officeDocument/2006/relationships/hyperlink" Target="https://www.researchgate.net/figure/The-agency-theory-with-the-assignment-of-work-from-the-principal-to-the-agent-Slyke_fig3_283172754" TargetMode="External"/><Relationship Id="rId17" Type="http://schemas.openxmlformats.org/officeDocument/2006/relationships/hyperlink" Target="https://www.researchgate.net/profile/Mehrangiz-Abadi/publication/342876269_Leadership_competencies_and_the_essential_role_of_human_resource_development_in_times_of_crisis_a_response_to_Covid-19_pandemic/links/5f681fc8a6fdcc008631d32f/Leadership-competencies-and-the-essential-role-of-human-resource-development-in-times-of-crisis-a-response-to-Covid-19-pandemic.pdf" TargetMode="External"/><Relationship Id="rId25" Type="http://schemas.openxmlformats.org/officeDocument/2006/relationships/hyperlink" Target="https://www.statista.com/statistics/1085422/hrms-distribution-organizational-size-worldwide/" TargetMode="External"/><Relationship Id="rId2" Type="http://schemas.openxmlformats.org/officeDocument/2006/relationships/numbering" Target="numbering.xml"/><Relationship Id="rId16" Type="http://schemas.openxmlformats.org/officeDocument/2006/relationships/hyperlink" Target="https://doi.org/10.3390/ijerph16204035" TargetMode="External"/><Relationship Id="rId20" Type="http://schemas.openxmlformats.org/officeDocument/2006/relationships/hyperlink" Target="http://dx.doi.org/10.36348/gajhss.2022.v04i01.002" TargetMode="External"/><Relationship Id="rId29" Type="http://schemas.openxmlformats.org/officeDocument/2006/relationships/hyperlink" Target="https://doi.org/10.1080/19312458.2019.16391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jbusres.2019.02.004"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jms.zim.pcz.pl/api/files/view/657637.pdf" TargetMode="External"/><Relationship Id="rId23" Type="http://schemas.openxmlformats.org/officeDocument/2006/relationships/hyperlink" Target="https://doi.org/10.3390/joitmc7010075" TargetMode="External"/><Relationship Id="rId28" Type="http://schemas.openxmlformats.org/officeDocument/2006/relationships/hyperlink" Target="https://doi.org/10.1080/01446193.2015.1078902" TargetMode="External"/><Relationship Id="rId10" Type="http://schemas.openxmlformats.org/officeDocument/2006/relationships/image" Target="media/image3.png"/><Relationship Id="rId19" Type="http://schemas.openxmlformats.org/officeDocument/2006/relationships/hyperlink" Target="http://dx.doi.org/10.3390/educsci10080206"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journal-repository.theshillonga.com/index.php/ijebm/article/view/3409/3213" TargetMode="External"/><Relationship Id="rId22" Type="http://schemas.openxmlformats.org/officeDocument/2006/relationships/hyperlink" Target="https://www.mdpi.com/2071-1050/15/3/1948" TargetMode="External"/><Relationship Id="rId27" Type="http://schemas.openxmlformats.org/officeDocument/2006/relationships/hyperlink" Target="https://journals.sagepub.com/doi/pdf/10.1177/1473325017700701"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ytaq+t2Rk/S96buiJZdgmkBreg==">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4672</Words>
  <Characters>26633</Characters>
  <Application>Microsoft Office Word</Application>
  <DocSecurity>0</DocSecurity>
  <Lines>221</Lines>
  <Paragraphs>62</Paragraphs>
  <ScaleCrop>false</ScaleCrop>
  <Company/>
  <LinksUpToDate>false</LinksUpToDate>
  <CharactersWithSpaces>31243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ARJUN MURALEEDHARAN</dc:creator>
  <cp:lastModifiedBy>ARJUN MURALEEDHARAN</cp:lastModifiedBy>
  <cp:revision>4</cp:revision>
  <dcterms:created xsi:type="dcterms:W3CDTF">2023-06-26T23:16:00Z</dcterms:created>
  <dcterms:modified xsi:type="dcterms:W3CDTF">2023-06-26T23:20:00Z</dcterms:modified>
</cp:coreProperties>
</file>