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B43929" w14:textId="77777777" w:rsidR="006E34A6" w:rsidRDefault="006E34A6" w:rsidP="006E34A6">
      <w:pPr>
        <w:spacing w:line="259" w:lineRule="auto"/>
        <w:rPr>
          <w:b/>
        </w:rPr>
      </w:pPr>
      <w:r w:rsidRPr="00964953">
        <w:rPr>
          <w:noProof/>
          <w:lang w:val="en-IN" w:eastAsia="en-IN"/>
        </w:rPr>
        <w:drawing>
          <wp:inline distT="0" distB="0" distL="0" distR="0" wp14:anchorId="2A612622" wp14:editId="637E159F">
            <wp:extent cx="5730240" cy="2200275"/>
            <wp:effectExtent l="0" t="0" r="3810" b="9525"/>
            <wp:docPr id="811205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205320"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5741694" cy="2204673"/>
                    </a:xfrm>
                    <a:prstGeom prst="rect">
                      <a:avLst/>
                    </a:prstGeom>
                  </pic:spPr>
                </pic:pic>
              </a:graphicData>
            </a:graphic>
          </wp:inline>
        </w:drawing>
      </w:r>
    </w:p>
    <w:p w14:paraId="62101821" w14:textId="590C4094" w:rsidR="006E34A6" w:rsidRPr="003B7471" w:rsidRDefault="006E34A6" w:rsidP="006E34A6">
      <w:pPr>
        <w:rPr>
          <w:b/>
          <w:bCs/>
          <w:sz w:val="40"/>
          <w:szCs w:val="40"/>
        </w:rPr>
      </w:pPr>
      <w:r>
        <w:rPr>
          <w:b/>
        </w:rPr>
        <w:t xml:space="preserve">              </w:t>
      </w:r>
      <w:r w:rsidRPr="003B7471">
        <w:rPr>
          <w:b/>
          <w:bCs/>
          <w:sz w:val="40"/>
          <w:szCs w:val="40"/>
        </w:rPr>
        <w:t>Program: Master of Business Administration</w:t>
      </w:r>
    </w:p>
    <w:p w14:paraId="1E7A8926" w14:textId="51056C0B" w:rsidR="006E34A6" w:rsidRPr="003763B2" w:rsidRDefault="006E34A6" w:rsidP="003763B2">
      <w:pPr>
        <w:jc w:val="center"/>
        <w:rPr>
          <w:b/>
          <w:bCs/>
          <w:sz w:val="32"/>
          <w:szCs w:val="32"/>
        </w:rPr>
      </w:pPr>
      <w:r w:rsidRPr="003763B2">
        <w:rPr>
          <w:b/>
          <w:bCs/>
          <w:color w:val="806000" w:themeColor="accent4" w:themeShade="80"/>
          <w:sz w:val="32"/>
          <w:szCs w:val="32"/>
        </w:rPr>
        <w:t xml:space="preserve">Module Name and Code: </w:t>
      </w:r>
      <w:proofErr w:type="gramStart"/>
      <w:r w:rsidRPr="003763B2">
        <w:rPr>
          <w:b/>
          <w:bCs/>
          <w:color w:val="806000" w:themeColor="accent4" w:themeShade="80"/>
          <w:sz w:val="32"/>
          <w:szCs w:val="32"/>
        </w:rPr>
        <w:t>Marketing  Management</w:t>
      </w:r>
      <w:proofErr w:type="gramEnd"/>
      <w:r w:rsidRPr="003763B2">
        <w:rPr>
          <w:b/>
          <w:bCs/>
          <w:color w:val="806000" w:themeColor="accent4" w:themeShade="80"/>
          <w:sz w:val="32"/>
          <w:szCs w:val="32"/>
        </w:rPr>
        <w:t xml:space="preserve">  (LCMB7024)</w:t>
      </w:r>
    </w:p>
    <w:p w14:paraId="2C91C9F9" w14:textId="3E295E02" w:rsidR="006E34A6" w:rsidRPr="003763B2" w:rsidRDefault="006E34A6" w:rsidP="003F29E9">
      <w:pPr>
        <w:jc w:val="center"/>
        <w:rPr>
          <w:b/>
          <w:bCs/>
          <w:color w:val="385623" w:themeColor="accent6" w:themeShade="80"/>
          <w:sz w:val="36"/>
          <w:szCs w:val="36"/>
        </w:rPr>
      </w:pPr>
      <w:r w:rsidRPr="003763B2">
        <w:rPr>
          <w:b/>
          <w:bCs/>
          <w:color w:val="385623" w:themeColor="accent6" w:themeShade="80"/>
          <w:sz w:val="36"/>
          <w:szCs w:val="36"/>
        </w:rPr>
        <w:t xml:space="preserve">Assessment Title: Component 1: </w:t>
      </w:r>
      <w:r w:rsidR="003553C1" w:rsidRPr="003763B2">
        <w:rPr>
          <w:b/>
          <w:bCs/>
          <w:color w:val="385623" w:themeColor="accent6" w:themeShade="80"/>
          <w:sz w:val="36"/>
          <w:szCs w:val="36"/>
        </w:rPr>
        <w:t xml:space="preserve">Marketing Environment Analysis </w:t>
      </w:r>
      <w:r w:rsidRPr="003763B2">
        <w:rPr>
          <w:b/>
          <w:bCs/>
          <w:color w:val="385623" w:themeColor="accent6" w:themeShade="80"/>
          <w:sz w:val="36"/>
          <w:szCs w:val="36"/>
        </w:rPr>
        <w:t xml:space="preserve"> </w:t>
      </w:r>
    </w:p>
    <w:p w14:paraId="0AD4B510" w14:textId="77777777" w:rsidR="006E34A6" w:rsidRDefault="006E34A6" w:rsidP="006E34A6">
      <w:pPr>
        <w:rPr>
          <w:b/>
          <w:bCs/>
          <w:sz w:val="32"/>
          <w:szCs w:val="32"/>
        </w:rPr>
      </w:pPr>
      <w:r>
        <w:rPr>
          <w:b/>
          <w:bCs/>
          <w:sz w:val="32"/>
          <w:szCs w:val="32"/>
        </w:rPr>
        <w:t xml:space="preserve">                  </w:t>
      </w:r>
    </w:p>
    <w:p w14:paraId="2865CD90" w14:textId="571B0DE3" w:rsidR="006E34A6" w:rsidRPr="003763B2" w:rsidRDefault="006E34A6" w:rsidP="006E34A6">
      <w:pPr>
        <w:jc w:val="center"/>
        <w:rPr>
          <w:b/>
          <w:bCs/>
          <w:sz w:val="36"/>
          <w:szCs w:val="36"/>
        </w:rPr>
      </w:pPr>
      <w:r w:rsidRPr="003763B2">
        <w:rPr>
          <w:b/>
          <w:bCs/>
          <w:sz w:val="36"/>
          <w:szCs w:val="36"/>
        </w:rPr>
        <w:t>Lecturer Name: Dr Laila Maazouz</w:t>
      </w:r>
    </w:p>
    <w:p w14:paraId="100C3EA1" w14:textId="43F0B0B4" w:rsidR="006E34A6" w:rsidRPr="003763B2" w:rsidRDefault="006E34A6" w:rsidP="006E34A6">
      <w:pPr>
        <w:jc w:val="center"/>
        <w:rPr>
          <w:b/>
          <w:bCs/>
          <w:sz w:val="36"/>
          <w:szCs w:val="36"/>
        </w:rPr>
      </w:pPr>
      <w:r w:rsidRPr="003763B2">
        <w:rPr>
          <w:b/>
          <w:bCs/>
          <w:sz w:val="36"/>
          <w:szCs w:val="36"/>
        </w:rPr>
        <w:t>Student Name: Hari Mohan Singh</w:t>
      </w:r>
    </w:p>
    <w:p w14:paraId="40CB72EA" w14:textId="77777777" w:rsidR="006E34A6" w:rsidRPr="003763B2" w:rsidRDefault="006E34A6" w:rsidP="006E34A6">
      <w:pPr>
        <w:jc w:val="center"/>
        <w:rPr>
          <w:b/>
          <w:bCs/>
          <w:sz w:val="36"/>
          <w:szCs w:val="36"/>
        </w:rPr>
      </w:pPr>
      <w:r w:rsidRPr="003763B2">
        <w:rPr>
          <w:b/>
          <w:bCs/>
          <w:sz w:val="36"/>
          <w:szCs w:val="36"/>
        </w:rPr>
        <w:t>Student ID: 2506569</w:t>
      </w:r>
    </w:p>
    <w:p w14:paraId="58045F56" w14:textId="71B8209C" w:rsidR="006E34A6" w:rsidRPr="003763B2" w:rsidRDefault="006E34A6" w:rsidP="006E34A6">
      <w:pPr>
        <w:jc w:val="center"/>
        <w:rPr>
          <w:b/>
          <w:bCs/>
          <w:sz w:val="36"/>
          <w:szCs w:val="36"/>
          <w:lang w:val="en-IN"/>
        </w:rPr>
      </w:pPr>
      <w:r w:rsidRPr="003763B2">
        <w:rPr>
          <w:b/>
          <w:bCs/>
          <w:sz w:val="36"/>
          <w:szCs w:val="36"/>
        </w:rPr>
        <w:t>Word Count: 25</w:t>
      </w:r>
      <w:r w:rsidR="003763B2" w:rsidRPr="003763B2">
        <w:rPr>
          <w:b/>
          <w:bCs/>
          <w:sz w:val="36"/>
          <w:szCs w:val="36"/>
        </w:rPr>
        <w:t>81</w:t>
      </w:r>
    </w:p>
    <w:p w14:paraId="3ACA4866" w14:textId="65587BC4" w:rsidR="006E34A6" w:rsidRPr="003763B2" w:rsidRDefault="006E34A6" w:rsidP="00E149B1">
      <w:pPr>
        <w:rPr>
          <w:b/>
          <w:bCs/>
          <w:sz w:val="36"/>
          <w:szCs w:val="36"/>
        </w:rPr>
      </w:pPr>
    </w:p>
    <w:p w14:paraId="7D4848F1" w14:textId="77777777" w:rsidR="006E34A6" w:rsidRPr="006E34A6" w:rsidRDefault="006E34A6" w:rsidP="006E34A6">
      <w:pPr>
        <w:jc w:val="center"/>
        <w:rPr>
          <w:rFonts w:cs="Times New Roman"/>
          <w:b/>
          <w:bCs/>
          <w:sz w:val="32"/>
          <w:szCs w:val="32"/>
        </w:rPr>
      </w:pPr>
    </w:p>
    <w:p w14:paraId="59234839" w14:textId="77777777" w:rsidR="006E34A6" w:rsidRPr="008138D7" w:rsidRDefault="006E34A6" w:rsidP="006E34A6">
      <w:pPr>
        <w:jc w:val="center"/>
        <w:rPr>
          <w:rFonts w:cs="Times New Roman"/>
          <w:b/>
          <w:bCs/>
          <w:szCs w:val="24"/>
        </w:rPr>
      </w:pPr>
    </w:p>
    <w:p w14:paraId="55C1BA8B" w14:textId="6001A01A" w:rsidR="00781497" w:rsidRPr="00781497" w:rsidRDefault="00781497" w:rsidP="006E34A6">
      <w:pPr>
        <w:spacing w:line="259" w:lineRule="auto"/>
        <w:rPr>
          <w:b/>
        </w:rPr>
      </w:pPr>
      <w:r w:rsidRPr="00781497">
        <w:rPr>
          <w:b/>
        </w:rPr>
        <w:br w:type="page"/>
      </w:r>
    </w:p>
    <w:sdt>
      <w:sdtPr>
        <w:rPr>
          <w:rFonts w:ascii="Times New Roman" w:eastAsiaTheme="minorHAnsi" w:hAnsi="Times New Roman" w:cstheme="minorBidi"/>
          <w:color w:val="auto"/>
          <w:sz w:val="24"/>
          <w:szCs w:val="22"/>
          <w:lang w:val="en-GB"/>
        </w:rPr>
        <w:id w:val="-2030326911"/>
        <w:docPartObj>
          <w:docPartGallery w:val="Table of Contents"/>
          <w:docPartUnique/>
        </w:docPartObj>
      </w:sdtPr>
      <w:sdtEndPr>
        <w:rPr>
          <w:b/>
          <w:bCs/>
          <w:noProof/>
        </w:rPr>
      </w:sdtEndPr>
      <w:sdtContent>
        <w:p w14:paraId="041E5219" w14:textId="77777777" w:rsidR="00781497" w:rsidRDefault="00781497" w:rsidP="00781497">
          <w:pPr>
            <w:pStyle w:val="TOCHeading"/>
            <w:jc w:val="center"/>
            <w:rPr>
              <w:rFonts w:ascii="Times New Roman" w:hAnsi="Times New Roman" w:cs="Times New Roman"/>
              <w:b/>
              <w:color w:val="auto"/>
              <w:sz w:val="24"/>
              <w:szCs w:val="24"/>
            </w:rPr>
          </w:pPr>
          <w:r w:rsidRPr="00781497">
            <w:rPr>
              <w:rFonts w:ascii="Times New Roman" w:hAnsi="Times New Roman" w:cs="Times New Roman"/>
              <w:b/>
              <w:color w:val="auto"/>
              <w:sz w:val="24"/>
              <w:szCs w:val="24"/>
            </w:rPr>
            <w:t>Table of Contents</w:t>
          </w:r>
        </w:p>
        <w:p w14:paraId="1A403644" w14:textId="77777777" w:rsidR="00781497" w:rsidRPr="00781497" w:rsidRDefault="00781497" w:rsidP="00781497">
          <w:pPr>
            <w:rPr>
              <w:lang w:val="en-US"/>
            </w:rPr>
          </w:pPr>
        </w:p>
        <w:p w14:paraId="2C6E967C" w14:textId="77777777" w:rsidR="00781497" w:rsidRDefault="00781497">
          <w:pPr>
            <w:pStyle w:val="TOC1"/>
            <w:tabs>
              <w:tab w:val="right" w:leader="dot" w:pos="9016"/>
            </w:tabs>
            <w:rPr>
              <w:noProof/>
            </w:rPr>
          </w:pPr>
          <w:r>
            <w:fldChar w:fldCharType="begin"/>
          </w:r>
          <w:r>
            <w:instrText xml:space="preserve"> TOC \o "1-3" \h \z \u </w:instrText>
          </w:r>
          <w:r>
            <w:fldChar w:fldCharType="separate"/>
          </w:r>
          <w:hyperlink w:anchor="_Toc225460228" w:history="1">
            <w:r w:rsidRPr="005B4B9B">
              <w:rPr>
                <w:rStyle w:val="Hyperlink"/>
                <w:noProof/>
              </w:rPr>
              <w:t>Task 1</w:t>
            </w:r>
            <w:r>
              <w:rPr>
                <w:noProof/>
                <w:webHidden/>
              </w:rPr>
              <w:tab/>
            </w:r>
            <w:r>
              <w:rPr>
                <w:noProof/>
                <w:webHidden/>
              </w:rPr>
              <w:fldChar w:fldCharType="begin"/>
            </w:r>
            <w:r>
              <w:rPr>
                <w:noProof/>
                <w:webHidden/>
              </w:rPr>
              <w:instrText xml:space="preserve"> PAGEREF _Toc225460228 \h </w:instrText>
            </w:r>
            <w:r>
              <w:rPr>
                <w:noProof/>
                <w:webHidden/>
              </w:rPr>
            </w:r>
            <w:r>
              <w:rPr>
                <w:noProof/>
                <w:webHidden/>
              </w:rPr>
              <w:fldChar w:fldCharType="separate"/>
            </w:r>
            <w:r>
              <w:rPr>
                <w:noProof/>
                <w:webHidden/>
              </w:rPr>
              <w:t>3</w:t>
            </w:r>
            <w:r>
              <w:rPr>
                <w:noProof/>
                <w:webHidden/>
              </w:rPr>
              <w:fldChar w:fldCharType="end"/>
            </w:r>
          </w:hyperlink>
        </w:p>
        <w:p w14:paraId="298FED56" w14:textId="77777777" w:rsidR="00781497" w:rsidRDefault="00781497">
          <w:pPr>
            <w:pStyle w:val="TOC1"/>
            <w:tabs>
              <w:tab w:val="right" w:leader="dot" w:pos="9016"/>
            </w:tabs>
            <w:rPr>
              <w:noProof/>
            </w:rPr>
          </w:pPr>
          <w:hyperlink w:anchor="_Toc225460229" w:history="1">
            <w:r w:rsidRPr="005B4B9B">
              <w:rPr>
                <w:rStyle w:val="Hyperlink"/>
                <w:noProof/>
              </w:rPr>
              <w:t>Introduction</w:t>
            </w:r>
            <w:r>
              <w:rPr>
                <w:noProof/>
                <w:webHidden/>
              </w:rPr>
              <w:tab/>
            </w:r>
            <w:r>
              <w:rPr>
                <w:noProof/>
                <w:webHidden/>
              </w:rPr>
              <w:fldChar w:fldCharType="begin"/>
            </w:r>
            <w:r>
              <w:rPr>
                <w:noProof/>
                <w:webHidden/>
              </w:rPr>
              <w:instrText xml:space="preserve"> PAGEREF _Toc225460229 \h </w:instrText>
            </w:r>
            <w:r>
              <w:rPr>
                <w:noProof/>
                <w:webHidden/>
              </w:rPr>
            </w:r>
            <w:r>
              <w:rPr>
                <w:noProof/>
                <w:webHidden/>
              </w:rPr>
              <w:fldChar w:fldCharType="separate"/>
            </w:r>
            <w:r>
              <w:rPr>
                <w:noProof/>
                <w:webHidden/>
              </w:rPr>
              <w:t>3</w:t>
            </w:r>
            <w:r>
              <w:rPr>
                <w:noProof/>
                <w:webHidden/>
              </w:rPr>
              <w:fldChar w:fldCharType="end"/>
            </w:r>
          </w:hyperlink>
        </w:p>
        <w:p w14:paraId="1190D15D" w14:textId="77777777" w:rsidR="00781497" w:rsidRDefault="00781497">
          <w:pPr>
            <w:pStyle w:val="TOC1"/>
            <w:tabs>
              <w:tab w:val="right" w:leader="dot" w:pos="9016"/>
            </w:tabs>
            <w:rPr>
              <w:noProof/>
            </w:rPr>
          </w:pPr>
          <w:hyperlink w:anchor="_Toc225460230" w:history="1">
            <w:r w:rsidRPr="005B4B9B">
              <w:rPr>
                <w:rStyle w:val="Hyperlink"/>
                <w:noProof/>
              </w:rPr>
              <w:t>Critical Analysis of the Macro Marketing Environment in Strategic Marketing Management</w:t>
            </w:r>
            <w:r>
              <w:rPr>
                <w:noProof/>
                <w:webHidden/>
              </w:rPr>
              <w:tab/>
            </w:r>
            <w:r>
              <w:rPr>
                <w:noProof/>
                <w:webHidden/>
              </w:rPr>
              <w:fldChar w:fldCharType="begin"/>
            </w:r>
            <w:r>
              <w:rPr>
                <w:noProof/>
                <w:webHidden/>
              </w:rPr>
              <w:instrText xml:space="preserve"> PAGEREF _Toc225460230 \h </w:instrText>
            </w:r>
            <w:r>
              <w:rPr>
                <w:noProof/>
                <w:webHidden/>
              </w:rPr>
            </w:r>
            <w:r>
              <w:rPr>
                <w:noProof/>
                <w:webHidden/>
              </w:rPr>
              <w:fldChar w:fldCharType="separate"/>
            </w:r>
            <w:r>
              <w:rPr>
                <w:noProof/>
                <w:webHidden/>
              </w:rPr>
              <w:t>3</w:t>
            </w:r>
            <w:r>
              <w:rPr>
                <w:noProof/>
                <w:webHidden/>
              </w:rPr>
              <w:fldChar w:fldCharType="end"/>
            </w:r>
          </w:hyperlink>
        </w:p>
        <w:p w14:paraId="7BBC9D72" w14:textId="77777777" w:rsidR="00781497" w:rsidRDefault="00781497">
          <w:pPr>
            <w:pStyle w:val="TOC2"/>
            <w:tabs>
              <w:tab w:val="right" w:leader="dot" w:pos="9016"/>
            </w:tabs>
            <w:rPr>
              <w:noProof/>
            </w:rPr>
          </w:pPr>
          <w:hyperlink w:anchor="_Toc225460231" w:history="1">
            <w:r w:rsidRPr="005B4B9B">
              <w:rPr>
                <w:rStyle w:val="Hyperlink"/>
                <w:noProof/>
              </w:rPr>
              <w:t>Customers</w:t>
            </w:r>
            <w:r>
              <w:rPr>
                <w:noProof/>
                <w:webHidden/>
              </w:rPr>
              <w:tab/>
            </w:r>
            <w:r>
              <w:rPr>
                <w:noProof/>
                <w:webHidden/>
              </w:rPr>
              <w:fldChar w:fldCharType="begin"/>
            </w:r>
            <w:r>
              <w:rPr>
                <w:noProof/>
                <w:webHidden/>
              </w:rPr>
              <w:instrText xml:space="preserve"> PAGEREF _Toc225460231 \h </w:instrText>
            </w:r>
            <w:r>
              <w:rPr>
                <w:noProof/>
                <w:webHidden/>
              </w:rPr>
            </w:r>
            <w:r>
              <w:rPr>
                <w:noProof/>
                <w:webHidden/>
              </w:rPr>
              <w:fldChar w:fldCharType="separate"/>
            </w:r>
            <w:r>
              <w:rPr>
                <w:noProof/>
                <w:webHidden/>
              </w:rPr>
              <w:t>4</w:t>
            </w:r>
            <w:r>
              <w:rPr>
                <w:noProof/>
                <w:webHidden/>
              </w:rPr>
              <w:fldChar w:fldCharType="end"/>
            </w:r>
          </w:hyperlink>
        </w:p>
        <w:p w14:paraId="0DF11541" w14:textId="77777777" w:rsidR="00781497" w:rsidRDefault="00781497">
          <w:pPr>
            <w:pStyle w:val="TOC2"/>
            <w:tabs>
              <w:tab w:val="right" w:leader="dot" w:pos="9016"/>
            </w:tabs>
            <w:rPr>
              <w:noProof/>
            </w:rPr>
          </w:pPr>
          <w:hyperlink w:anchor="_Toc225460232" w:history="1">
            <w:r w:rsidRPr="005B4B9B">
              <w:rPr>
                <w:rStyle w:val="Hyperlink"/>
                <w:noProof/>
              </w:rPr>
              <w:t>Competitors</w:t>
            </w:r>
            <w:r>
              <w:rPr>
                <w:noProof/>
                <w:webHidden/>
              </w:rPr>
              <w:tab/>
            </w:r>
            <w:r>
              <w:rPr>
                <w:noProof/>
                <w:webHidden/>
              </w:rPr>
              <w:fldChar w:fldCharType="begin"/>
            </w:r>
            <w:r>
              <w:rPr>
                <w:noProof/>
                <w:webHidden/>
              </w:rPr>
              <w:instrText xml:space="preserve"> PAGEREF _Toc225460232 \h </w:instrText>
            </w:r>
            <w:r>
              <w:rPr>
                <w:noProof/>
                <w:webHidden/>
              </w:rPr>
            </w:r>
            <w:r>
              <w:rPr>
                <w:noProof/>
                <w:webHidden/>
              </w:rPr>
              <w:fldChar w:fldCharType="separate"/>
            </w:r>
            <w:r>
              <w:rPr>
                <w:noProof/>
                <w:webHidden/>
              </w:rPr>
              <w:t>5</w:t>
            </w:r>
            <w:r>
              <w:rPr>
                <w:noProof/>
                <w:webHidden/>
              </w:rPr>
              <w:fldChar w:fldCharType="end"/>
            </w:r>
          </w:hyperlink>
        </w:p>
        <w:p w14:paraId="74C9153C" w14:textId="77777777" w:rsidR="00781497" w:rsidRDefault="00781497">
          <w:pPr>
            <w:pStyle w:val="TOC1"/>
            <w:tabs>
              <w:tab w:val="right" w:leader="dot" w:pos="9016"/>
            </w:tabs>
            <w:rPr>
              <w:noProof/>
            </w:rPr>
          </w:pPr>
          <w:hyperlink w:anchor="_Toc225460233" w:history="1">
            <w:r w:rsidRPr="005B4B9B">
              <w:rPr>
                <w:rStyle w:val="Hyperlink"/>
                <w:noProof/>
              </w:rPr>
              <w:t>Task 2</w:t>
            </w:r>
            <w:r>
              <w:rPr>
                <w:noProof/>
                <w:webHidden/>
              </w:rPr>
              <w:tab/>
            </w:r>
            <w:r>
              <w:rPr>
                <w:noProof/>
                <w:webHidden/>
              </w:rPr>
              <w:fldChar w:fldCharType="begin"/>
            </w:r>
            <w:r>
              <w:rPr>
                <w:noProof/>
                <w:webHidden/>
              </w:rPr>
              <w:instrText xml:space="preserve"> PAGEREF _Toc225460233 \h </w:instrText>
            </w:r>
            <w:r>
              <w:rPr>
                <w:noProof/>
                <w:webHidden/>
              </w:rPr>
            </w:r>
            <w:r>
              <w:rPr>
                <w:noProof/>
                <w:webHidden/>
              </w:rPr>
              <w:fldChar w:fldCharType="separate"/>
            </w:r>
            <w:r>
              <w:rPr>
                <w:noProof/>
                <w:webHidden/>
              </w:rPr>
              <w:t>6</w:t>
            </w:r>
            <w:r>
              <w:rPr>
                <w:noProof/>
                <w:webHidden/>
              </w:rPr>
              <w:fldChar w:fldCharType="end"/>
            </w:r>
          </w:hyperlink>
        </w:p>
        <w:p w14:paraId="61408898" w14:textId="77777777" w:rsidR="00781497" w:rsidRDefault="00781497">
          <w:pPr>
            <w:pStyle w:val="TOC1"/>
            <w:tabs>
              <w:tab w:val="right" w:leader="dot" w:pos="9016"/>
            </w:tabs>
            <w:rPr>
              <w:noProof/>
            </w:rPr>
          </w:pPr>
          <w:hyperlink w:anchor="_Toc225460234" w:history="1">
            <w:r w:rsidRPr="005B4B9B">
              <w:rPr>
                <w:rStyle w:val="Hyperlink"/>
                <w:noProof/>
              </w:rPr>
              <w:t>Strategic Responses of Pioneering and Follower Organisations</w:t>
            </w:r>
            <w:r>
              <w:rPr>
                <w:noProof/>
                <w:webHidden/>
              </w:rPr>
              <w:tab/>
            </w:r>
            <w:r>
              <w:rPr>
                <w:noProof/>
                <w:webHidden/>
              </w:rPr>
              <w:fldChar w:fldCharType="begin"/>
            </w:r>
            <w:r>
              <w:rPr>
                <w:noProof/>
                <w:webHidden/>
              </w:rPr>
              <w:instrText xml:space="preserve"> PAGEREF _Toc225460234 \h </w:instrText>
            </w:r>
            <w:r>
              <w:rPr>
                <w:noProof/>
                <w:webHidden/>
              </w:rPr>
            </w:r>
            <w:r>
              <w:rPr>
                <w:noProof/>
                <w:webHidden/>
              </w:rPr>
              <w:fldChar w:fldCharType="separate"/>
            </w:r>
            <w:r>
              <w:rPr>
                <w:noProof/>
                <w:webHidden/>
              </w:rPr>
              <w:t>6</w:t>
            </w:r>
            <w:r>
              <w:rPr>
                <w:noProof/>
                <w:webHidden/>
              </w:rPr>
              <w:fldChar w:fldCharType="end"/>
            </w:r>
          </w:hyperlink>
        </w:p>
        <w:p w14:paraId="03C51B58" w14:textId="77777777" w:rsidR="00781497" w:rsidRDefault="00781497">
          <w:pPr>
            <w:pStyle w:val="TOC2"/>
            <w:tabs>
              <w:tab w:val="right" w:leader="dot" w:pos="9016"/>
            </w:tabs>
            <w:rPr>
              <w:noProof/>
            </w:rPr>
          </w:pPr>
          <w:hyperlink w:anchor="_Toc225460235" w:history="1">
            <w:r w:rsidRPr="005B4B9B">
              <w:rPr>
                <w:rStyle w:val="Hyperlink"/>
                <w:noProof/>
              </w:rPr>
              <w:t>Strategic Responses to Changing Customers’ Dynamics</w:t>
            </w:r>
            <w:r>
              <w:rPr>
                <w:noProof/>
                <w:webHidden/>
              </w:rPr>
              <w:tab/>
            </w:r>
            <w:r>
              <w:rPr>
                <w:noProof/>
                <w:webHidden/>
              </w:rPr>
              <w:fldChar w:fldCharType="begin"/>
            </w:r>
            <w:r>
              <w:rPr>
                <w:noProof/>
                <w:webHidden/>
              </w:rPr>
              <w:instrText xml:space="preserve"> PAGEREF _Toc225460235 \h </w:instrText>
            </w:r>
            <w:r>
              <w:rPr>
                <w:noProof/>
                <w:webHidden/>
              </w:rPr>
            </w:r>
            <w:r>
              <w:rPr>
                <w:noProof/>
                <w:webHidden/>
              </w:rPr>
              <w:fldChar w:fldCharType="separate"/>
            </w:r>
            <w:r>
              <w:rPr>
                <w:noProof/>
                <w:webHidden/>
              </w:rPr>
              <w:t>6</w:t>
            </w:r>
            <w:r>
              <w:rPr>
                <w:noProof/>
                <w:webHidden/>
              </w:rPr>
              <w:fldChar w:fldCharType="end"/>
            </w:r>
          </w:hyperlink>
        </w:p>
        <w:p w14:paraId="3BB6B691" w14:textId="77777777" w:rsidR="00781497" w:rsidRDefault="00781497">
          <w:pPr>
            <w:pStyle w:val="TOC3"/>
            <w:tabs>
              <w:tab w:val="right" w:leader="dot" w:pos="9016"/>
            </w:tabs>
            <w:rPr>
              <w:noProof/>
            </w:rPr>
          </w:pPr>
          <w:hyperlink w:anchor="_Toc225460236" w:history="1">
            <w:r w:rsidRPr="005B4B9B">
              <w:rPr>
                <w:rStyle w:val="Hyperlink"/>
                <w:noProof/>
              </w:rPr>
              <w:t>Pioneer Organisation: Market Shaping and Customer Education</w:t>
            </w:r>
            <w:r>
              <w:rPr>
                <w:noProof/>
                <w:webHidden/>
              </w:rPr>
              <w:tab/>
            </w:r>
            <w:r>
              <w:rPr>
                <w:noProof/>
                <w:webHidden/>
              </w:rPr>
              <w:fldChar w:fldCharType="begin"/>
            </w:r>
            <w:r>
              <w:rPr>
                <w:noProof/>
                <w:webHidden/>
              </w:rPr>
              <w:instrText xml:space="preserve"> PAGEREF _Toc225460236 \h </w:instrText>
            </w:r>
            <w:r>
              <w:rPr>
                <w:noProof/>
                <w:webHidden/>
              </w:rPr>
            </w:r>
            <w:r>
              <w:rPr>
                <w:noProof/>
                <w:webHidden/>
              </w:rPr>
              <w:fldChar w:fldCharType="separate"/>
            </w:r>
            <w:r>
              <w:rPr>
                <w:noProof/>
                <w:webHidden/>
              </w:rPr>
              <w:t>6</w:t>
            </w:r>
            <w:r>
              <w:rPr>
                <w:noProof/>
                <w:webHidden/>
              </w:rPr>
              <w:fldChar w:fldCharType="end"/>
            </w:r>
          </w:hyperlink>
        </w:p>
        <w:p w14:paraId="6B86A9F8" w14:textId="77777777" w:rsidR="00781497" w:rsidRDefault="00781497">
          <w:pPr>
            <w:pStyle w:val="TOC3"/>
            <w:tabs>
              <w:tab w:val="right" w:leader="dot" w:pos="9016"/>
            </w:tabs>
            <w:rPr>
              <w:noProof/>
            </w:rPr>
          </w:pPr>
          <w:hyperlink w:anchor="_Toc225460237" w:history="1">
            <w:r w:rsidRPr="005B4B9B">
              <w:rPr>
                <w:rStyle w:val="Hyperlink"/>
                <w:noProof/>
              </w:rPr>
              <w:t>Follower Organisations: Market Adaptation and Customer Centric Refinement</w:t>
            </w:r>
            <w:r>
              <w:rPr>
                <w:noProof/>
                <w:webHidden/>
              </w:rPr>
              <w:tab/>
            </w:r>
            <w:r>
              <w:rPr>
                <w:noProof/>
                <w:webHidden/>
              </w:rPr>
              <w:fldChar w:fldCharType="begin"/>
            </w:r>
            <w:r>
              <w:rPr>
                <w:noProof/>
                <w:webHidden/>
              </w:rPr>
              <w:instrText xml:space="preserve"> PAGEREF _Toc225460237 \h </w:instrText>
            </w:r>
            <w:r>
              <w:rPr>
                <w:noProof/>
                <w:webHidden/>
              </w:rPr>
            </w:r>
            <w:r>
              <w:rPr>
                <w:noProof/>
                <w:webHidden/>
              </w:rPr>
              <w:fldChar w:fldCharType="separate"/>
            </w:r>
            <w:r>
              <w:rPr>
                <w:noProof/>
                <w:webHidden/>
              </w:rPr>
              <w:t>7</w:t>
            </w:r>
            <w:r>
              <w:rPr>
                <w:noProof/>
                <w:webHidden/>
              </w:rPr>
              <w:fldChar w:fldCharType="end"/>
            </w:r>
          </w:hyperlink>
        </w:p>
        <w:p w14:paraId="2833925F" w14:textId="77777777" w:rsidR="00781497" w:rsidRDefault="00781497">
          <w:pPr>
            <w:pStyle w:val="TOC2"/>
            <w:tabs>
              <w:tab w:val="right" w:leader="dot" w:pos="9016"/>
            </w:tabs>
            <w:rPr>
              <w:noProof/>
            </w:rPr>
          </w:pPr>
          <w:hyperlink w:anchor="_Toc225460238" w:history="1">
            <w:r w:rsidRPr="005B4B9B">
              <w:rPr>
                <w:rStyle w:val="Hyperlink"/>
                <w:noProof/>
              </w:rPr>
              <w:t>Strategic Responses to Competitive Dynamics</w:t>
            </w:r>
            <w:r>
              <w:rPr>
                <w:noProof/>
                <w:webHidden/>
              </w:rPr>
              <w:tab/>
            </w:r>
            <w:r>
              <w:rPr>
                <w:noProof/>
                <w:webHidden/>
              </w:rPr>
              <w:fldChar w:fldCharType="begin"/>
            </w:r>
            <w:r>
              <w:rPr>
                <w:noProof/>
                <w:webHidden/>
              </w:rPr>
              <w:instrText xml:space="preserve"> PAGEREF _Toc225460238 \h </w:instrText>
            </w:r>
            <w:r>
              <w:rPr>
                <w:noProof/>
                <w:webHidden/>
              </w:rPr>
            </w:r>
            <w:r>
              <w:rPr>
                <w:noProof/>
                <w:webHidden/>
              </w:rPr>
              <w:fldChar w:fldCharType="separate"/>
            </w:r>
            <w:r>
              <w:rPr>
                <w:noProof/>
                <w:webHidden/>
              </w:rPr>
              <w:t>8</w:t>
            </w:r>
            <w:r>
              <w:rPr>
                <w:noProof/>
                <w:webHidden/>
              </w:rPr>
              <w:fldChar w:fldCharType="end"/>
            </w:r>
          </w:hyperlink>
        </w:p>
        <w:p w14:paraId="5D8302FA" w14:textId="77777777" w:rsidR="00781497" w:rsidRDefault="00781497">
          <w:pPr>
            <w:pStyle w:val="TOC3"/>
            <w:tabs>
              <w:tab w:val="right" w:leader="dot" w:pos="9016"/>
            </w:tabs>
            <w:rPr>
              <w:noProof/>
            </w:rPr>
          </w:pPr>
          <w:hyperlink w:anchor="_Toc225460239" w:history="1">
            <w:r w:rsidRPr="005B4B9B">
              <w:rPr>
                <w:rStyle w:val="Hyperlink"/>
                <w:noProof/>
              </w:rPr>
              <w:t>Pioneering Organisations: Continuous Innovation and Brand Reinforcement</w:t>
            </w:r>
            <w:r>
              <w:rPr>
                <w:noProof/>
                <w:webHidden/>
              </w:rPr>
              <w:tab/>
            </w:r>
            <w:r>
              <w:rPr>
                <w:noProof/>
                <w:webHidden/>
              </w:rPr>
              <w:fldChar w:fldCharType="begin"/>
            </w:r>
            <w:r>
              <w:rPr>
                <w:noProof/>
                <w:webHidden/>
              </w:rPr>
              <w:instrText xml:space="preserve"> PAGEREF _Toc225460239 \h </w:instrText>
            </w:r>
            <w:r>
              <w:rPr>
                <w:noProof/>
                <w:webHidden/>
              </w:rPr>
            </w:r>
            <w:r>
              <w:rPr>
                <w:noProof/>
                <w:webHidden/>
              </w:rPr>
              <w:fldChar w:fldCharType="separate"/>
            </w:r>
            <w:r>
              <w:rPr>
                <w:noProof/>
                <w:webHidden/>
              </w:rPr>
              <w:t>8</w:t>
            </w:r>
            <w:r>
              <w:rPr>
                <w:noProof/>
                <w:webHidden/>
              </w:rPr>
              <w:fldChar w:fldCharType="end"/>
            </w:r>
          </w:hyperlink>
        </w:p>
        <w:p w14:paraId="06162111" w14:textId="77777777" w:rsidR="00781497" w:rsidRDefault="00781497">
          <w:pPr>
            <w:pStyle w:val="TOC3"/>
            <w:tabs>
              <w:tab w:val="right" w:leader="dot" w:pos="9016"/>
            </w:tabs>
            <w:rPr>
              <w:noProof/>
            </w:rPr>
          </w:pPr>
          <w:hyperlink w:anchor="_Toc225460240" w:history="1">
            <w:r w:rsidRPr="005B4B9B">
              <w:rPr>
                <w:rStyle w:val="Hyperlink"/>
                <w:noProof/>
              </w:rPr>
              <w:t>Follower Organisations: Competitive Positioning and Strategic Differentiation</w:t>
            </w:r>
            <w:r>
              <w:rPr>
                <w:noProof/>
                <w:webHidden/>
              </w:rPr>
              <w:tab/>
            </w:r>
            <w:r>
              <w:rPr>
                <w:noProof/>
                <w:webHidden/>
              </w:rPr>
              <w:fldChar w:fldCharType="begin"/>
            </w:r>
            <w:r>
              <w:rPr>
                <w:noProof/>
                <w:webHidden/>
              </w:rPr>
              <w:instrText xml:space="preserve"> PAGEREF _Toc225460240 \h </w:instrText>
            </w:r>
            <w:r>
              <w:rPr>
                <w:noProof/>
                <w:webHidden/>
              </w:rPr>
            </w:r>
            <w:r>
              <w:rPr>
                <w:noProof/>
                <w:webHidden/>
              </w:rPr>
              <w:fldChar w:fldCharType="separate"/>
            </w:r>
            <w:r>
              <w:rPr>
                <w:noProof/>
                <w:webHidden/>
              </w:rPr>
              <w:t>9</w:t>
            </w:r>
            <w:r>
              <w:rPr>
                <w:noProof/>
                <w:webHidden/>
              </w:rPr>
              <w:fldChar w:fldCharType="end"/>
            </w:r>
          </w:hyperlink>
        </w:p>
        <w:p w14:paraId="19FF4067" w14:textId="77777777" w:rsidR="00781497" w:rsidRDefault="00781497">
          <w:pPr>
            <w:pStyle w:val="TOC1"/>
            <w:tabs>
              <w:tab w:val="right" w:leader="dot" w:pos="9016"/>
            </w:tabs>
            <w:rPr>
              <w:noProof/>
            </w:rPr>
          </w:pPr>
          <w:hyperlink w:anchor="_Toc225460241" w:history="1">
            <w:r w:rsidRPr="005B4B9B">
              <w:rPr>
                <w:rStyle w:val="Hyperlink"/>
                <w:noProof/>
              </w:rPr>
              <w:t>Conclusion</w:t>
            </w:r>
            <w:r>
              <w:rPr>
                <w:noProof/>
                <w:webHidden/>
              </w:rPr>
              <w:tab/>
            </w:r>
            <w:r>
              <w:rPr>
                <w:noProof/>
                <w:webHidden/>
              </w:rPr>
              <w:fldChar w:fldCharType="begin"/>
            </w:r>
            <w:r>
              <w:rPr>
                <w:noProof/>
                <w:webHidden/>
              </w:rPr>
              <w:instrText xml:space="preserve"> PAGEREF _Toc225460241 \h </w:instrText>
            </w:r>
            <w:r>
              <w:rPr>
                <w:noProof/>
                <w:webHidden/>
              </w:rPr>
            </w:r>
            <w:r>
              <w:rPr>
                <w:noProof/>
                <w:webHidden/>
              </w:rPr>
              <w:fldChar w:fldCharType="separate"/>
            </w:r>
            <w:r>
              <w:rPr>
                <w:noProof/>
                <w:webHidden/>
              </w:rPr>
              <w:t>9</w:t>
            </w:r>
            <w:r>
              <w:rPr>
                <w:noProof/>
                <w:webHidden/>
              </w:rPr>
              <w:fldChar w:fldCharType="end"/>
            </w:r>
          </w:hyperlink>
        </w:p>
        <w:p w14:paraId="70565DDF" w14:textId="77777777" w:rsidR="00781497" w:rsidRDefault="00781497">
          <w:pPr>
            <w:pStyle w:val="TOC1"/>
            <w:tabs>
              <w:tab w:val="right" w:leader="dot" w:pos="9016"/>
            </w:tabs>
            <w:rPr>
              <w:noProof/>
            </w:rPr>
          </w:pPr>
          <w:hyperlink w:anchor="_Toc225460242" w:history="1">
            <w:r w:rsidRPr="005B4B9B">
              <w:rPr>
                <w:rStyle w:val="Hyperlink"/>
                <w:noProof/>
              </w:rPr>
              <w:t>References</w:t>
            </w:r>
            <w:r>
              <w:rPr>
                <w:noProof/>
                <w:webHidden/>
              </w:rPr>
              <w:tab/>
            </w:r>
            <w:r>
              <w:rPr>
                <w:noProof/>
                <w:webHidden/>
              </w:rPr>
              <w:fldChar w:fldCharType="begin"/>
            </w:r>
            <w:r>
              <w:rPr>
                <w:noProof/>
                <w:webHidden/>
              </w:rPr>
              <w:instrText xml:space="preserve"> PAGEREF _Toc225460242 \h </w:instrText>
            </w:r>
            <w:r>
              <w:rPr>
                <w:noProof/>
                <w:webHidden/>
              </w:rPr>
            </w:r>
            <w:r>
              <w:rPr>
                <w:noProof/>
                <w:webHidden/>
              </w:rPr>
              <w:fldChar w:fldCharType="separate"/>
            </w:r>
            <w:r>
              <w:rPr>
                <w:noProof/>
                <w:webHidden/>
              </w:rPr>
              <w:t>11</w:t>
            </w:r>
            <w:r>
              <w:rPr>
                <w:noProof/>
                <w:webHidden/>
              </w:rPr>
              <w:fldChar w:fldCharType="end"/>
            </w:r>
          </w:hyperlink>
        </w:p>
        <w:p w14:paraId="3C5C2587" w14:textId="77777777" w:rsidR="00781497" w:rsidRDefault="00781497">
          <w:r>
            <w:rPr>
              <w:b/>
              <w:bCs/>
              <w:noProof/>
            </w:rPr>
            <w:fldChar w:fldCharType="end"/>
          </w:r>
        </w:p>
      </w:sdtContent>
    </w:sdt>
    <w:p w14:paraId="36188D13" w14:textId="77777777" w:rsidR="00781497" w:rsidRDefault="00781497">
      <w:pPr>
        <w:spacing w:line="259" w:lineRule="auto"/>
        <w:jc w:val="left"/>
        <w:rPr>
          <w:rFonts w:eastAsiaTheme="majorEastAsia" w:cstheme="majorBidi"/>
          <w:b/>
          <w:szCs w:val="32"/>
        </w:rPr>
      </w:pPr>
      <w:r>
        <w:br w:type="page"/>
      </w:r>
    </w:p>
    <w:p w14:paraId="66E8F45B" w14:textId="77777777" w:rsidR="00C44213" w:rsidRPr="0001243D" w:rsidRDefault="00C44213" w:rsidP="00E05F14">
      <w:pPr>
        <w:pStyle w:val="Heading1"/>
      </w:pPr>
      <w:bookmarkStart w:id="0" w:name="_Toc225460228"/>
      <w:r w:rsidRPr="0001243D">
        <w:lastRenderedPageBreak/>
        <w:t>Task 1</w:t>
      </w:r>
      <w:bookmarkEnd w:id="0"/>
      <w:r w:rsidRPr="0001243D">
        <w:t xml:space="preserve"> </w:t>
      </w:r>
    </w:p>
    <w:p w14:paraId="11F33AD3" w14:textId="77777777" w:rsidR="00505BFD" w:rsidRPr="0001243D" w:rsidRDefault="00ED289A" w:rsidP="00E05F14">
      <w:pPr>
        <w:pStyle w:val="Heading1"/>
      </w:pPr>
      <w:bookmarkStart w:id="1" w:name="_Toc225460229"/>
      <w:r w:rsidRPr="0001243D">
        <w:t>Introduction</w:t>
      </w:r>
      <w:bookmarkEnd w:id="1"/>
      <w:r w:rsidRPr="0001243D">
        <w:t xml:space="preserve"> </w:t>
      </w:r>
    </w:p>
    <w:p w14:paraId="3B247C7B" w14:textId="46AC443D" w:rsidR="00143062" w:rsidRDefault="00ED289A">
      <w:r w:rsidRPr="00ED289A">
        <w:t xml:space="preserve">In strategic marketing management, macro marketing environmental factors are regarded as fundamental elements, because they determine the conditions under which organisations </w:t>
      </w:r>
      <w:r>
        <w:t>can recognise customers’ needs, position the brands, allocate resources and obtain competitive advantages. It comprises external forces that are beyond the control of organisations, but can i</w:t>
      </w:r>
      <w:r w:rsidR="00143062">
        <w:t xml:space="preserve">mpact market attractiveness, demand patterns and strategic flexibility. In reality, </w:t>
      </w:r>
      <w:r w:rsidR="00D267DA">
        <w:t xml:space="preserve">the </w:t>
      </w:r>
      <w:r w:rsidR="00143062">
        <w:t xml:space="preserve">macro environment is not just the background of an organisation, </w:t>
      </w:r>
      <w:r w:rsidR="00D267DA">
        <w:t>but</w:t>
      </w:r>
      <w:r w:rsidR="00143062">
        <w:t xml:space="preserve"> it can disrupt the entire industry or give opportunit</w:t>
      </w:r>
      <w:r w:rsidR="00D267DA">
        <w:t>ies</w:t>
      </w:r>
      <w:r w:rsidR="00143062">
        <w:t xml:space="preserve"> to the industry players. Thus, it is important for organisations to develop </w:t>
      </w:r>
      <w:r w:rsidR="00D267DA">
        <w:t xml:space="preserve">a </w:t>
      </w:r>
      <w:r w:rsidR="00143062">
        <w:t xml:space="preserve">strategic marketing plan that can constantly scan, interpret and react </w:t>
      </w:r>
      <w:r w:rsidR="00D267DA">
        <w:t>to</w:t>
      </w:r>
      <w:r w:rsidR="00143062">
        <w:t xml:space="preserve"> any changes in the industry in macro environmental level, rather than depending on static market assumptions.  </w:t>
      </w:r>
      <w:r>
        <w:t xml:space="preserve"> </w:t>
      </w:r>
    </w:p>
    <w:p w14:paraId="01C84DA2" w14:textId="77777777" w:rsidR="00143062" w:rsidRPr="0001243D" w:rsidRDefault="00143062" w:rsidP="00E05F14">
      <w:pPr>
        <w:pStyle w:val="Heading1"/>
      </w:pPr>
      <w:bookmarkStart w:id="2" w:name="_Toc225460230"/>
      <w:r w:rsidRPr="0001243D">
        <w:t xml:space="preserve">Critical </w:t>
      </w:r>
      <w:r w:rsidR="0001243D" w:rsidRPr="0001243D">
        <w:t>Analysis of the Macro Marketing Environment in Strategic Marketing Management</w:t>
      </w:r>
      <w:bookmarkEnd w:id="2"/>
    </w:p>
    <w:p w14:paraId="7C56F63F" w14:textId="4D141074" w:rsidR="00421CA6" w:rsidRDefault="00D267DA">
      <w:r>
        <w:t>The m</w:t>
      </w:r>
      <w:r w:rsidR="00143062">
        <w:t>acro marketing environment is critical to understand because not all organisations are being affected by these factors equally. For one organisation, the external environmental aspects can strengthen the performance, while for other</w:t>
      </w:r>
      <w:r>
        <w:t>s,</w:t>
      </w:r>
      <w:r w:rsidR="00143062">
        <w:t xml:space="preserve"> they can weaken the performance. Whether these factors can strengthen or weaken an organisation’s performance is subject to the entry timing, brand position, resource base, capabilities and strategic posture</w:t>
      </w:r>
      <w:r w:rsidR="0001243D">
        <w:t xml:space="preserve"> (Gini and Agala, 2023)</w:t>
      </w:r>
      <w:r w:rsidR="00143062">
        <w:t>. This is particularly visible when a pioneer organisation that has entered a market in early sta</w:t>
      </w:r>
      <w:r>
        <w:t>g</w:t>
      </w:r>
      <w:r w:rsidR="00143062">
        <w:t>es is being compared with follower organisations, wh</w:t>
      </w:r>
      <w:r>
        <w:t>ich</w:t>
      </w:r>
      <w:r w:rsidR="00143062">
        <w:t xml:space="preserve"> have entered at later phases and built on </w:t>
      </w:r>
      <w:r>
        <w:t xml:space="preserve">the </w:t>
      </w:r>
      <w:r w:rsidR="00143062">
        <w:t xml:space="preserve">performance </w:t>
      </w:r>
      <w:r>
        <w:t>i</w:t>
      </w:r>
      <w:r w:rsidR="00143062">
        <w:t>n the market developed by the pioneer organisation.</w:t>
      </w:r>
      <w:r w:rsidR="00DA30B8">
        <w:t xml:space="preserve"> Pioneers can obtain benefits from first mover advantage in terms of brand recognition, better control o</w:t>
      </w:r>
      <w:r>
        <w:t>f</w:t>
      </w:r>
      <w:r w:rsidR="00DA30B8">
        <w:t xml:space="preserve"> channels and development of </w:t>
      </w:r>
      <w:r>
        <w:t xml:space="preserve">a </w:t>
      </w:r>
      <w:r w:rsidR="00DA30B8">
        <w:t xml:space="preserve">loyal customer base, but they face high uncertainties and </w:t>
      </w:r>
      <w:r>
        <w:t>are required</w:t>
      </w:r>
      <w:r w:rsidR="00DA30B8">
        <w:t xml:space="preserve"> to bear development cost</w:t>
      </w:r>
      <w:r>
        <w:t>s</w:t>
      </w:r>
      <w:r w:rsidR="00DA30B8">
        <w:t xml:space="preserve"> and take risks for innovation, while follower organisations can simply learn from the mistakes made by pioneer organisations. They can exploit the market and improve the targeting based on pioneers</w:t>
      </w:r>
      <w:r>
        <w:t>’</w:t>
      </w:r>
      <w:r w:rsidR="00DA30B8">
        <w:t xml:space="preserve"> strategies</w:t>
      </w:r>
      <w:r w:rsidR="0001243D">
        <w:t xml:space="preserve"> (</w:t>
      </w:r>
      <w:proofErr w:type="spellStart"/>
      <w:r w:rsidR="0001243D">
        <w:t>Suntsova</w:t>
      </w:r>
      <w:proofErr w:type="spellEnd"/>
      <w:r w:rsidR="0001243D">
        <w:t>, 2024)</w:t>
      </w:r>
      <w:r w:rsidR="00DA30B8">
        <w:t xml:space="preserve">. However, follower organisations face difficulties </w:t>
      </w:r>
      <w:r>
        <w:t>in</w:t>
      </w:r>
      <w:r w:rsidR="00DA30B8">
        <w:t xml:space="preserve"> differentiat</w:t>
      </w:r>
      <w:r>
        <w:t>ing</w:t>
      </w:r>
      <w:r w:rsidR="00DA30B8">
        <w:t xml:space="preserve"> and to overcome the established perceptions of customers regarding pioneer brands. This makes macro environmental analysis integral for strategic marketing, as it reveals not only what is changing in the market, but also who is likely to gain or lose due to the changes. In order to demonstrate the impact of macro marketing actors on strategic marketing, two important actors are selected, which are customers and competitors. They are central to strategic marketing outcomes and any changes in their behaviours or </w:t>
      </w:r>
      <w:r w:rsidR="00DA30B8">
        <w:lastRenderedPageBreak/>
        <w:t xml:space="preserve">activities can create opportunities or threats for both pioneer and follower organisations operating within </w:t>
      </w:r>
      <w:r>
        <w:t xml:space="preserve">the </w:t>
      </w:r>
      <w:r w:rsidR="00DA30B8">
        <w:t xml:space="preserve">same industry.       </w:t>
      </w:r>
    </w:p>
    <w:p w14:paraId="2F31CA26" w14:textId="77777777" w:rsidR="00421CA6" w:rsidRPr="0024329A" w:rsidRDefault="00421CA6" w:rsidP="00E05F14">
      <w:pPr>
        <w:pStyle w:val="Heading2"/>
      </w:pPr>
      <w:bookmarkStart w:id="3" w:name="_Toc225460231"/>
      <w:r w:rsidRPr="0024329A">
        <w:t>Customers</w:t>
      </w:r>
      <w:bookmarkEnd w:id="3"/>
    </w:p>
    <w:p w14:paraId="2424D691" w14:textId="1FE94270" w:rsidR="00ED289A" w:rsidRDefault="00421CA6">
      <w:r>
        <w:t xml:space="preserve">Customers are regarded as the most influential external actors for strategic marketing, because their preferences evolve constantly and they play </w:t>
      </w:r>
      <w:r w:rsidR="00D267DA">
        <w:t xml:space="preserve">a </w:t>
      </w:r>
      <w:r>
        <w:t>vital part in value co-creation. On the basis of service</w:t>
      </w:r>
      <w:r w:rsidR="00D267DA">
        <w:t>-</w:t>
      </w:r>
      <w:r>
        <w:t>dominant logic marketing theory, customers are the active participants in the value creation process, rather than passive recipients</w:t>
      </w:r>
      <w:r w:rsidR="0024329A">
        <w:t xml:space="preserve"> (Xu et al., 2024)</w:t>
      </w:r>
      <w:r>
        <w:t xml:space="preserve">. This shift has profound implications on pioneering and follower organisations. In pioneering organisations, changes in customers’ behaviour can create opportunities for fulfilling their desires. They can identify the latent needs and emerging trends and accordingly shape market expectations and establish a leadership position in the market. For example, one of the pioneers of electric vehicles (EVs), </w:t>
      </w:r>
      <w:r w:rsidR="00D267DA">
        <w:t>T</w:t>
      </w:r>
      <w:r>
        <w:t>esla</w:t>
      </w:r>
      <w:r w:rsidR="00D267DA">
        <w:t>,</w:t>
      </w:r>
      <w:r>
        <w:t xml:space="preserve"> has capitalised on growing environmental awareness among customers and has created </w:t>
      </w:r>
      <w:r w:rsidR="00D267DA">
        <w:t xml:space="preserve">a </w:t>
      </w:r>
      <w:r>
        <w:t xml:space="preserve">narrative around sustainability and innovation in </w:t>
      </w:r>
      <w:r w:rsidR="00D267DA">
        <w:t xml:space="preserve">the </w:t>
      </w:r>
      <w:r>
        <w:t xml:space="preserve">automobile segment. </w:t>
      </w:r>
      <w:r w:rsidR="00D82198">
        <w:t xml:space="preserve">According to the evidence of </w:t>
      </w:r>
      <w:proofErr w:type="spellStart"/>
      <w:r w:rsidR="0024329A">
        <w:t>Noppers</w:t>
      </w:r>
      <w:proofErr w:type="spellEnd"/>
      <w:r w:rsidR="0024329A">
        <w:t xml:space="preserve"> et al. </w:t>
      </w:r>
      <w:r w:rsidR="00D82198">
        <w:t>(</w:t>
      </w:r>
      <w:r w:rsidR="0024329A">
        <w:t>2015</w:t>
      </w:r>
      <w:r w:rsidR="00D82198">
        <w:t xml:space="preserve">), early adopters of innovative cars evaluate the symbolic attributes, rather than the instrumental attributes. This indicates that pioneers can leverage this shift in customers’ behaviour to create strong brand associations and emotional engagement. </w:t>
      </w:r>
      <w:r>
        <w:t xml:space="preserve">        </w:t>
      </w:r>
      <w:r w:rsidR="00DA30B8">
        <w:t xml:space="preserve">     </w:t>
      </w:r>
      <w:r w:rsidR="00143062">
        <w:t xml:space="preserve">            </w:t>
      </w:r>
      <w:r w:rsidR="00ED289A">
        <w:t xml:space="preserve"> </w:t>
      </w:r>
      <w:r w:rsidR="00ED289A" w:rsidRPr="00ED289A">
        <w:t xml:space="preserve">  </w:t>
      </w:r>
    </w:p>
    <w:p w14:paraId="34484C72" w14:textId="6C3EC316" w:rsidR="00E16D04" w:rsidRDefault="00D82198">
      <w:r>
        <w:t xml:space="preserve">Nevertheless, this advantage is not stable for long term. </w:t>
      </w:r>
      <w:r w:rsidR="0024329A">
        <w:t xml:space="preserve">Min et al. </w:t>
      </w:r>
      <w:r>
        <w:t>(</w:t>
      </w:r>
      <w:r w:rsidR="0024329A">
        <w:t>2006</w:t>
      </w:r>
      <w:r>
        <w:t xml:space="preserve">) argue that pioneers frequently misinterpret the requirements of customers due to dependence on incomplete or uncertain signals from the market. This is a critical limitation faced by pioneers in new and emerging markets, where </w:t>
      </w:r>
      <w:r w:rsidR="00D267DA">
        <w:t xml:space="preserve">the </w:t>
      </w:r>
      <w:r>
        <w:t xml:space="preserve">preferences of customers are fluid, </w:t>
      </w:r>
      <w:r w:rsidR="00D267DA">
        <w:t xml:space="preserve">and </w:t>
      </w:r>
      <w:r>
        <w:t>the long</w:t>
      </w:r>
      <w:r w:rsidR="00D267DA">
        <w:t>-</w:t>
      </w:r>
      <w:r>
        <w:t xml:space="preserve">term demand cannot be predicted properly. This critique is supported by </w:t>
      </w:r>
      <w:r w:rsidR="001700F8">
        <w:t xml:space="preserve">Tellis and Golder </w:t>
      </w:r>
      <w:r>
        <w:t>(</w:t>
      </w:r>
      <w:r w:rsidR="001700F8">
        <w:t>1996</w:t>
      </w:r>
      <w:r>
        <w:t xml:space="preserve">), who stated that pioneers can fail irrespective of early entry, because of premature market development and marginalised value propositions. Thus, while changes in customers’ behaviour can create opportunities, </w:t>
      </w:r>
      <w:r w:rsidR="00D267DA">
        <w:t>they</w:t>
      </w:r>
      <w:r>
        <w:t xml:space="preserve"> can also expose pioneers to </w:t>
      </w:r>
      <w:r w:rsidR="00D267DA">
        <w:t xml:space="preserve">the </w:t>
      </w:r>
      <w:r>
        <w:t>uncertainty of demand. In contrast, follower organisations obtain benefits from low uncertainty, as the market was already established by pioneers, which give</w:t>
      </w:r>
      <w:r w:rsidR="00D267DA">
        <w:t>s</w:t>
      </w:r>
      <w:r>
        <w:t xml:space="preserve"> them better customer insight. They learn from the performance of pioneers and accordingly refine their offerings to better align with the customers’ preferences. For example, popular EV brands like BYD and NIO have capitalised on clear customers’ expectations about preferred price, range and infrastructure. </w:t>
      </w:r>
      <w:r w:rsidR="00475BF3">
        <w:t>Later entrants in the EV market have accomplished rapid growth by targeting underserved segments and offering competitive pricing</w:t>
      </w:r>
      <w:r w:rsidR="001700F8">
        <w:t xml:space="preserve"> (Li, 2024)</w:t>
      </w:r>
      <w:r w:rsidR="00475BF3">
        <w:t>. It is evidenced from the performance of pioneer</w:t>
      </w:r>
      <w:r w:rsidR="00D267DA">
        <w:t>s</w:t>
      </w:r>
      <w:r w:rsidR="00475BF3">
        <w:t xml:space="preserve"> like Tesla and follower</w:t>
      </w:r>
      <w:r w:rsidR="00D267DA">
        <w:t>s</w:t>
      </w:r>
      <w:r w:rsidR="00475BF3">
        <w:t xml:space="preserve"> like BYD, where </w:t>
      </w:r>
      <w:r w:rsidR="00097825">
        <w:t xml:space="preserve">in 2024, the total revenue of BYD was $464.99 billion, which was more than </w:t>
      </w:r>
      <w:r w:rsidR="00097825">
        <w:lastRenderedPageBreak/>
        <w:t xml:space="preserve">Tesla’s $95.32 billion. BYD also earned </w:t>
      </w:r>
      <w:r w:rsidR="00D267DA">
        <w:t xml:space="preserve">a </w:t>
      </w:r>
      <w:r w:rsidR="00097825">
        <w:t>higher gross profit of $99.28 billion in comparison with Tesla’s $16.89 billion</w:t>
      </w:r>
      <w:r w:rsidR="001700F8">
        <w:t xml:space="preserve"> (</w:t>
      </w:r>
      <w:proofErr w:type="spellStart"/>
      <w:r w:rsidR="001700F8">
        <w:t>Kavout</w:t>
      </w:r>
      <w:proofErr w:type="spellEnd"/>
      <w:r w:rsidR="001700F8">
        <w:t>, 2024)</w:t>
      </w:r>
      <w:r w:rsidR="00097825">
        <w:t>. This suggest</w:t>
      </w:r>
      <w:r w:rsidR="00D267DA">
        <w:t>s</w:t>
      </w:r>
      <w:r w:rsidR="00097825">
        <w:t xml:space="preserve"> that evolving customers’ preferences frequently provide advantages to followers over rigid pioneers. </w:t>
      </w:r>
      <w:r w:rsidR="00D35CD7">
        <w:t>However, critiques argues that pioneers can successfully establish strong brand equity, while followers face significant barriers to acquir</w:t>
      </w:r>
      <w:r w:rsidR="00D267DA">
        <w:t>ing</w:t>
      </w:r>
      <w:r w:rsidR="00D35CD7">
        <w:t xml:space="preserve"> new customers. According to </w:t>
      </w:r>
      <w:r w:rsidR="001700F8">
        <w:t xml:space="preserve">Phong et al., </w:t>
      </w:r>
      <w:r w:rsidR="00D35CD7">
        <w:t>(</w:t>
      </w:r>
      <w:r w:rsidR="001700F8">
        <w:t>2020</w:t>
      </w:r>
      <w:r w:rsidR="00D35CD7">
        <w:t>), brand associations and customer loyalty can create cognitive lock</w:t>
      </w:r>
      <w:r w:rsidR="00D267DA">
        <w:t>-</w:t>
      </w:r>
      <w:r w:rsidR="00D35CD7">
        <w:t xml:space="preserve">in, which makes it difficult for new entrants to displace the established players. For example, in the EV market, Tesla has </w:t>
      </w:r>
      <w:r w:rsidR="00E16D04">
        <w:t xml:space="preserve">strong </w:t>
      </w:r>
      <w:r w:rsidR="00D35CD7">
        <w:t>brand dominance that illustrate</w:t>
      </w:r>
      <w:r w:rsidR="00D267DA">
        <w:t>s</w:t>
      </w:r>
      <w:r w:rsidR="00D35CD7">
        <w:t xml:space="preserve"> that customers’ perceptions can entrench </w:t>
      </w:r>
      <w:r w:rsidR="00D267DA">
        <w:t xml:space="preserve">a </w:t>
      </w:r>
      <w:r w:rsidR="00D35CD7">
        <w:t>pioneer advantage</w:t>
      </w:r>
      <w:r w:rsidR="00E16D04">
        <w:t xml:space="preserve"> irrespective of the availability of alternative brands. </w:t>
      </w:r>
    </w:p>
    <w:p w14:paraId="54A98E19" w14:textId="77777777" w:rsidR="00E16D04" w:rsidRPr="001700F8" w:rsidRDefault="00E16D04" w:rsidP="00E05F14">
      <w:pPr>
        <w:pStyle w:val="Heading2"/>
      </w:pPr>
      <w:bookmarkStart w:id="4" w:name="_Toc225460232"/>
      <w:r w:rsidRPr="001700F8">
        <w:t>Competitors</w:t>
      </w:r>
      <w:bookmarkEnd w:id="4"/>
    </w:p>
    <w:p w14:paraId="07BD4960" w14:textId="77EE94CA" w:rsidR="00B2033F" w:rsidRDefault="00E16D04">
      <w:r>
        <w:t>Competitors are another external actor in strategic marketing decision</w:t>
      </w:r>
      <w:r w:rsidR="00D267DA">
        <w:t>s</w:t>
      </w:r>
      <w:r>
        <w:t>, which influence industry structure, pricing strategies, innovation rates and expectations of customers. Competition is regarded as the fundamental determinant of industry attractiveness</w:t>
      </w:r>
      <w:r w:rsidR="00B2033F">
        <w:t xml:space="preserve">, but competitors’ behaviour </w:t>
      </w:r>
      <w:r w:rsidR="00D267DA">
        <w:t>is</w:t>
      </w:r>
      <w:r w:rsidR="00B2033F">
        <w:t xml:space="preserve"> dynamic and interdependent in nature. Pioneer organisations face no competitor in the market, which </w:t>
      </w:r>
      <w:r w:rsidR="00D267DA">
        <w:t>allows</w:t>
      </w:r>
      <w:r w:rsidR="00B2033F">
        <w:t xml:space="preserve"> them to increase their presence, to build brand reputation and to secure early adopters. This creates significant advantages like technological leadership and </w:t>
      </w:r>
      <w:r w:rsidR="00D267DA">
        <w:t xml:space="preserve">a </w:t>
      </w:r>
      <w:r w:rsidR="00B2033F">
        <w:t>better distribution network. However, these advantages are temporary and can erode quickly due to imitation and technological diffusion. To maintain constant advantages, pioneer organisations require to innovate constantly</w:t>
      </w:r>
      <w:r w:rsidR="001700F8">
        <w:t xml:space="preserve"> (Covin et al., 2000)</w:t>
      </w:r>
      <w:r w:rsidR="00B2033F">
        <w:t xml:space="preserve">. For example, in </w:t>
      </w:r>
      <w:r w:rsidR="00D267DA">
        <w:t xml:space="preserve">the </w:t>
      </w:r>
      <w:r w:rsidR="00B2033F">
        <w:t xml:space="preserve">automobile segment, while Tesla has enjoyed pioneering advantages, the entry of followers like Geely and SAIC </w:t>
      </w:r>
      <w:r w:rsidR="00D267DA">
        <w:t>M</w:t>
      </w:r>
      <w:r w:rsidR="00B2033F">
        <w:t>otors in this industry has intensified competition and therefore resulted in price wars, indicating that the activities of competitors can reduce early advantages and creates pressure for pioneers to maintain profit margin</w:t>
      </w:r>
      <w:r w:rsidR="00966DB1">
        <w:t xml:space="preserve"> (The Business Times, 2026)</w:t>
      </w:r>
      <w:r w:rsidR="00B2033F">
        <w:t>.</w:t>
      </w:r>
    </w:p>
    <w:p w14:paraId="03B497C2" w14:textId="77777777" w:rsidR="00384DF4" w:rsidRDefault="00B2033F">
      <w:r>
        <w:t>With respect to follower organisations, pioneers act as valuable sources for market validation. If pioneer become successful in the market, it acts as signal for followers to understand the demand is viable, which reduces market uncertainty. This knowledge assist followers to develop their strategic position by identifying and targeting the niche market segments</w:t>
      </w:r>
      <w:r w:rsidR="00966DB1">
        <w:t xml:space="preserve"> (Villanueva and Ramirez-Solis, 2013)</w:t>
      </w:r>
      <w:r>
        <w:t>. For example, in automobile industry, follower like Xpeng Motors has differentiated itself by developing advanced driver assistance technologies, which becomes a basis for competitive advantage fo</w:t>
      </w:r>
      <w:r w:rsidR="001D75E7">
        <w:t>r the brand</w:t>
      </w:r>
      <w:r w:rsidR="0040368A">
        <w:t xml:space="preserve"> (Xpeng, 2025)</w:t>
      </w:r>
      <w:r w:rsidR="001D75E7">
        <w:t xml:space="preserve">. </w:t>
      </w:r>
      <w:r>
        <w:t>Nevertheless, intense competition can also generate threat for followers</w:t>
      </w:r>
      <w:r w:rsidR="000E0B29">
        <w:t xml:space="preserve">. If the pioneer organisations develop strong brand equity, technological capabilities and achieve economies of scale, the followers </w:t>
      </w:r>
      <w:r w:rsidR="000E0B29">
        <w:lastRenderedPageBreak/>
        <w:t xml:space="preserve">are forced to involve in price based competition, which reduces profit margin. </w:t>
      </w:r>
      <w:r w:rsidR="00384DF4">
        <w:t xml:space="preserve">For example, the following table demonstrates the net profit margin of </w:t>
      </w:r>
      <w:r w:rsidR="00D246CF">
        <w:t xml:space="preserve">pioneers and </w:t>
      </w:r>
      <w:r w:rsidR="00384DF4">
        <w:t xml:space="preserve">follower organisations in EV segment for five years.  </w:t>
      </w:r>
    </w:p>
    <w:tbl>
      <w:tblPr>
        <w:tblStyle w:val="TableGrid"/>
        <w:tblW w:w="5000" w:type="pct"/>
        <w:tblLook w:val="04A0" w:firstRow="1" w:lastRow="0" w:firstColumn="1" w:lastColumn="0" w:noHBand="0" w:noVBand="1"/>
      </w:tblPr>
      <w:tblGrid>
        <w:gridCol w:w="3404"/>
        <w:gridCol w:w="1158"/>
        <w:gridCol w:w="1158"/>
        <w:gridCol w:w="1158"/>
        <w:gridCol w:w="1069"/>
        <w:gridCol w:w="1069"/>
      </w:tblGrid>
      <w:tr w:rsidR="00D246CF" w:rsidRPr="00D246CF" w14:paraId="67C1457A" w14:textId="77777777" w:rsidTr="00D246CF">
        <w:trPr>
          <w:trHeight w:val="300"/>
        </w:trPr>
        <w:tc>
          <w:tcPr>
            <w:tcW w:w="1887" w:type="pct"/>
            <w:noWrap/>
            <w:hideMark/>
          </w:tcPr>
          <w:p w14:paraId="422EA393" w14:textId="77777777" w:rsidR="00D246CF" w:rsidRPr="0040368A" w:rsidRDefault="00D246CF" w:rsidP="00D246CF">
            <w:pPr>
              <w:jc w:val="left"/>
              <w:rPr>
                <w:rFonts w:eastAsia="Times New Roman" w:cs="Times New Roman"/>
                <w:b/>
                <w:color w:val="000000"/>
                <w:szCs w:val="24"/>
                <w:lang w:val="en-IN" w:eastAsia="en-IN"/>
              </w:rPr>
            </w:pPr>
            <w:r w:rsidRPr="0040368A">
              <w:rPr>
                <w:rFonts w:eastAsia="Times New Roman" w:cs="Times New Roman"/>
                <w:b/>
                <w:color w:val="000000"/>
                <w:szCs w:val="24"/>
                <w:lang w:val="en-IN" w:eastAsia="en-IN"/>
              </w:rPr>
              <w:t>Net profit margin (%)</w:t>
            </w:r>
          </w:p>
        </w:tc>
        <w:tc>
          <w:tcPr>
            <w:tcW w:w="642" w:type="pct"/>
            <w:noWrap/>
            <w:hideMark/>
          </w:tcPr>
          <w:p w14:paraId="12461DCA" w14:textId="77777777" w:rsidR="00D246CF" w:rsidRPr="0040368A" w:rsidRDefault="00D246CF" w:rsidP="00D246CF">
            <w:pPr>
              <w:jc w:val="right"/>
              <w:rPr>
                <w:rFonts w:eastAsia="Times New Roman" w:cs="Times New Roman"/>
                <w:b/>
                <w:color w:val="000000"/>
                <w:szCs w:val="24"/>
                <w:lang w:val="en-IN" w:eastAsia="en-IN"/>
              </w:rPr>
            </w:pPr>
            <w:r w:rsidRPr="0040368A">
              <w:rPr>
                <w:rFonts w:eastAsia="Times New Roman" w:cs="Times New Roman"/>
                <w:b/>
                <w:color w:val="000000"/>
                <w:szCs w:val="24"/>
                <w:lang w:val="en-IN" w:eastAsia="en-IN"/>
              </w:rPr>
              <w:t>2021</w:t>
            </w:r>
          </w:p>
        </w:tc>
        <w:tc>
          <w:tcPr>
            <w:tcW w:w="642" w:type="pct"/>
            <w:noWrap/>
            <w:hideMark/>
          </w:tcPr>
          <w:p w14:paraId="26F18AA1" w14:textId="77777777" w:rsidR="00D246CF" w:rsidRPr="0040368A" w:rsidRDefault="00D246CF" w:rsidP="00D246CF">
            <w:pPr>
              <w:jc w:val="right"/>
              <w:rPr>
                <w:rFonts w:eastAsia="Times New Roman" w:cs="Times New Roman"/>
                <w:b/>
                <w:color w:val="000000"/>
                <w:szCs w:val="24"/>
                <w:lang w:val="en-IN" w:eastAsia="en-IN"/>
              </w:rPr>
            </w:pPr>
            <w:r w:rsidRPr="0040368A">
              <w:rPr>
                <w:rFonts w:eastAsia="Times New Roman" w:cs="Times New Roman"/>
                <w:b/>
                <w:color w:val="000000"/>
                <w:szCs w:val="24"/>
                <w:lang w:val="en-IN" w:eastAsia="en-IN"/>
              </w:rPr>
              <w:t>2022</w:t>
            </w:r>
          </w:p>
        </w:tc>
        <w:tc>
          <w:tcPr>
            <w:tcW w:w="642" w:type="pct"/>
            <w:noWrap/>
            <w:hideMark/>
          </w:tcPr>
          <w:p w14:paraId="1B5FF777" w14:textId="77777777" w:rsidR="00D246CF" w:rsidRPr="0040368A" w:rsidRDefault="00D246CF" w:rsidP="00D246CF">
            <w:pPr>
              <w:jc w:val="right"/>
              <w:rPr>
                <w:rFonts w:eastAsia="Times New Roman" w:cs="Times New Roman"/>
                <w:b/>
                <w:color w:val="000000"/>
                <w:szCs w:val="24"/>
                <w:lang w:val="en-IN" w:eastAsia="en-IN"/>
              </w:rPr>
            </w:pPr>
            <w:r w:rsidRPr="0040368A">
              <w:rPr>
                <w:rFonts w:eastAsia="Times New Roman" w:cs="Times New Roman"/>
                <w:b/>
                <w:color w:val="000000"/>
                <w:szCs w:val="24"/>
                <w:lang w:val="en-IN" w:eastAsia="en-IN"/>
              </w:rPr>
              <w:t>2023</w:t>
            </w:r>
          </w:p>
        </w:tc>
        <w:tc>
          <w:tcPr>
            <w:tcW w:w="593" w:type="pct"/>
            <w:noWrap/>
            <w:hideMark/>
          </w:tcPr>
          <w:p w14:paraId="4BA553D1" w14:textId="77777777" w:rsidR="00D246CF" w:rsidRPr="0040368A" w:rsidRDefault="00D246CF" w:rsidP="00D246CF">
            <w:pPr>
              <w:jc w:val="right"/>
              <w:rPr>
                <w:rFonts w:eastAsia="Times New Roman" w:cs="Times New Roman"/>
                <w:b/>
                <w:color w:val="000000"/>
                <w:szCs w:val="24"/>
                <w:lang w:val="en-IN" w:eastAsia="en-IN"/>
              </w:rPr>
            </w:pPr>
            <w:r w:rsidRPr="0040368A">
              <w:rPr>
                <w:rFonts w:eastAsia="Times New Roman" w:cs="Times New Roman"/>
                <w:b/>
                <w:color w:val="000000"/>
                <w:szCs w:val="24"/>
                <w:lang w:val="en-IN" w:eastAsia="en-IN"/>
              </w:rPr>
              <w:t>2024</w:t>
            </w:r>
          </w:p>
        </w:tc>
        <w:tc>
          <w:tcPr>
            <w:tcW w:w="593" w:type="pct"/>
            <w:noWrap/>
            <w:hideMark/>
          </w:tcPr>
          <w:p w14:paraId="208D4C9F" w14:textId="77777777" w:rsidR="00D246CF" w:rsidRPr="0040368A" w:rsidRDefault="00D246CF" w:rsidP="00D246CF">
            <w:pPr>
              <w:jc w:val="right"/>
              <w:rPr>
                <w:rFonts w:eastAsia="Times New Roman" w:cs="Times New Roman"/>
                <w:b/>
                <w:color w:val="000000"/>
                <w:szCs w:val="24"/>
                <w:lang w:val="en-IN" w:eastAsia="en-IN"/>
              </w:rPr>
            </w:pPr>
            <w:r w:rsidRPr="0040368A">
              <w:rPr>
                <w:rFonts w:eastAsia="Times New Roman" w:cs="Times New Roman"/>
                <w:b/>
                <w:color w:val="000000"/>
                <w:szCs w:val="24"/>
                <w:lang w:val="en-IN" w:eastAsia="en-IN"/>
              </w:rPr>
              <w:t>2025</w:t>
            </w:r>
          </w:p>
        </w:tc>
      </w:tr>
      <w:tr w:rsidR="00D246CF" w:rsidRPr="00D246CF" w14:paraId="59239644" w14:textId="77777777" w:rsidTr="00D246CF">
        <w:trPr>
          <w:trHeight w:val="300"/>
        </w:trPr>
        <w:tc>
          <w:tcPr>
            <w:tcW w:w="1887" w:type="pct"/>
            <w:noWrap/>
            <w:hideMark/>
          </w:tcPr>
          <w:p w14:paraId="7C9351BA" w14:textId="77777777" w:rsidR="00D246CF" w:rsidRPr="00D246CF" w:rsidRDefault="00D246CF" w:rsidP="00D246CF">
            <w:pPr>
              <w:jc w:val="left"/>
              <w:rPr>
                <w:rFonts w:eastAsia="Times New Roman" w:cs="Times New Roman"/>
                <w:color w:val="000000"/>
                <w:szCs w:val="24"/>
                <w:lang w:val="en-IN" w:eastAsia="en-IN"/>
              </w:rPr>
            </w:pPr>
            <w:r w:rsidRPr="00D246CF">
              <w:rPr>
                <w:rFonts w:eastAsia="Times New Roman" w:cs="Times New Roman"/>
                <w:color w:val="000000"/>
                <w:szCs w:val="24"/>
                <w:lang w:val="en-IN" w:eastAsia="en-IN"/>
              </w:rPr>
              <w:t>Tesla</w:t>
            </w:r>
          </w:p>
        </w:tc>
        <w:tc>
          <w:tcPr>
            <w:tcW w:w="642" w:type="pct"/>
            <w:noWrap/>
            <w:hideMark/>
          </w:tcPr>
          <w:p w14:paraId="3AB348CD" w14:textId="77777777" w:rsidR="00D246CF" w:rsidRPr="00D246CF" w:rsidRDefault="00D246CF" w:rsidP="00D246CF">
            <w:pPr>
              <w:jc w:val="right"/>
              <w:rPr>
                <w:rFonts w:eastAsia="Times New Roman" w:cs="Times New Roman"/>
                <w:color w:val="000000"/>
                <w:szCs w:val="24"/>
                <w:lang w:val="en-IN" w:eastAsia="en-IN"/>
              </w:rPr>
            </w:pPr>
            <w:r w:rsidRPr="00D246CF">
              <w:rPr>
                <w:rFonts w:eastAsia="Times New Roman" w:cs="Times New Roman"/>
                <w:color w:val="000000"/>
                <w:szCs w:val="24"/>
                <w:lang w:val="en-IN" w:eastAsia="en-IN"/>
              </w:rPr>
              <w:t>10.49</w:t>
            </w:r>
          </w:p>
        </w:tc>
        <w:tc>
          <w:tcPr>
            <w:tcW w:w="642" w:type="pct"/>
            <w:noWrap/>
            <w:hideMark/>
          </w:tcPr>
          <w:p w14:paraId="0AFCC076" w14:textId="77777777" w:rsidR="00D246CF" w:rsidRPr="00D246CF" w:rsidRDefault="00D246CF" w:rsidP="00D246CF">
            <w:pPr>
              <w:jc w:val="right"/>
              <w:rPr>
                <w:rFonts w:eastAsia="Times New Roman" w:cs="Times New Roman"/>
                <w:color w:val="000000"/>
                <w:szCs w:val="24"/>
                <w:lang w:val="en-IN" w:eastAsia="en-IN"/>
              </w:rPr>
            </w:pPr>
            <w:r w:rsidRPr="00D246CF">
              <w:rPr>
                <w:rFonts w:eastAsia="Times New Roman" w:cs="Times New Roman"/>
                <w:color w:val="000000"/>
                <w:szCs w:val="24"/>
                <w:lang w:val="en-IN" w:eastAsia="en-IN"/>
              </w:rPr>
              <w:t>15.45</w:t>
            </w:r>
          </w:p>
        </w:tc>
        <w:tc>
          <w:tcPr>
            <w:tcW w:w="642" w:type="pct"/>
            <w:noWrap/>
            <w:hideMark/>
          </w:tcPr>
          <w:p w14:paraId="1D701622" w14:textId="77777777" w:rsidR="00D246CF" w:rsidRPr="00D246CF" w:rsidRDefault="00D246CF" w:rsidP="00D246CF">
            <w:pPr>
              <w:jc w:val="right"/>
              <w:rPr>
                <w:rFonts w:eastAsia="Times New Roman" w:cs="Times New Roman"/>
                <w:color w:val="000000"/>
                <w:szCs w:val="24"/>
                <w:lang w:val="en-IN" w:eastAsia="en-IN"/>
              </w:rPr>
            </w:pPr>
            <w:r w:rsidRPr="00D246CF">
              <w:rPr>
                <w:rFonts w:eastAsia="Times New Roman" w:cs="Times New Roman"/>
                <w:color w:val="000000"/>
                <w:szCs w:val="24"/>
                <w:lang w:val="en-IN" w:eastAsia="en-IN"/>
              </w:rPr>
              <w:t>15.47</w:t>
            </w:r>
          </w:p>
        </w:tc>
        <w:tc>
          <w:tcPr>
            <w:tcW w:w="593" w:type="pct"/>
            <w:noWrap/>
            <w:hideMark/>
          </w:tcPr>
          <w:p w14:paraId="700DD0B8" w14:textId="77777777" w:rsidR="00D246CF" w:rsidRPr="00D246CF" w:rsidRDefault="00D246CF" w:rsidP="00D246CF">
            <w:pPr>
              <w:jc w:val="right"/>
              <w:rPr>
                <w:rFonts w:eastAsia="Times New Roman" w:cs="Times New Roman"/>
                <w:color w:val="000000"/>
                <w:szCs w:val="24"/>
                <w:lang w:val="en-IN" w:eastAsia="en-IN"/>
              </w:rPr>
            </w:pPr>
            <w:r w:rsidRPr="00D246CF">
              <w:rPr>
                <w:rFonts w:eastAsia="Times New Roman" w:cs="Times New Roman"/>
                <w:color w:val="000000"/>
                <w:szCs w:val="24"/>
                <w:lang w:val="en-IN" w:eastAsia="en-IN"/>
              </w:rPr>
              <w:t>7.23</w:t>
            </w:r>
          </w:p>
        </w:tc>
        <w:tc>
          <w:tcPr>
            <w:tcW w:w="593" w:type="pct"/>
            <w:noWrap/>
            <w:hideMark/>
          </w:tcPr>
          <w:p w14:paraId="5D0D0FCA" w14:textId="77777777" w:rsidR="00D246CF" w:rsidRPr="00D246CF" w:rsidRDefault="00D246CF" w:rsidP="00D246CF">
            <w:pPr>
              <w:jc w:val="right"/>
              <w:rPr>
                <w:rFonts w:eastAsia="Times New Roman" w:cs="Times New Roman"/>
                <w:color w:val="000000"/>
                <w:szCs w:val="24"/>
                <w:lang w:val="en-IN" w:eastAsia="en-IN"/>
              </w:rPr>
            </w:pPr>
            <w:r w:rsidRPr="00D246CF">
              <w:rPr>
                <w:rFonts w:eastAsia="Times New Roman" w:cs="Times New Roman"/>
                <w:color w:val="000000"/>
                <w:szCs w:val="24"/>
                <w:lang w:val="en-IN" w:eastAsia="en-IN"/>
              </w:rPr>
              <w:t>4.07</w:t>
            </w:r>
          </w:p>
        </w:tc>
      </w:tr>
      <w:tr w:rsidR="00D246CF" w:rsidRPr="00D246CF" w14:paraId="36C93CEE" w14:textId="77777777" w:rsidTr="00D246CF">
        <w:trPr>
          <w:trHeight w:val="300"/>
        </w:trPr>
        <w:tc>
          <w:tcPr>
            <w:tcW w:w="1887" w:type="pct"/>
            <w:noWrap/>
            <w:hideMark/>
          </w:tcPr>
          <w:p w14:paraId="45489F65" w14:textId="77777777" w:rsidR="00D246CF" w:rsidRPr="00D246CF" w:rsidRDefault="00D246CF" w:rsidP="00D246CF">
            <w:pPr>
              <w:jc w:val="left"/>
              <w:rPr>
                <w:rFonts w:eastAsia="Times New Roman" w:cs="Times New Roman"/>
                <w:color w:val="000000"/>
                <w:szCs w:val="24"/>
                <w:lang w:val="en-IN" w:eastAsia="en-IN"/>
              </w:rPr>
            </w:pPr>
            <w:r w:rsidRPr="00D246CF">
              <w:rPr>
                <w:rFonts w:eastAsia="Times New Roman" w:cs="Times New Roman"/>
                <w:color w:val="000000"/>
                <w:szCs w:val="24"/>
                <w:lang w:val="en-IN" w:eastAsia="en-IN"/>
              </w:rPr>
              <w:t>SAIC Motor</w:t>
            </w:r>
          </w:p>
        </w:tc>
        <w:tc>
          <w:tcPr>
            <w:tcW w:w="642" w:type="pct"/>
            <w:noWrap/>
            <w:hideMark/>
          </w:tcPr>
          <w:p w14:paraId="0E17C6BA" w14:textId="77777777" w:rsidR="00D246CF" w:rsidRPr="00D246CF" w:rsidRDefault="00D246CF" w:rsidP="00D246CF">
            <w:pPr>
              <w:jc w:val="right"/>
              <w:rPr>
                <w:rFonts w:eastAsia="Times New Roman" w:cs="Times New Roman"/>
                <w:color w:val="000000"/>
                <w:szCs w:val="24"/>
                <w:lang w:val="en-IN" w:eastAsia="en-IN"/>
              </w:rPr>
            </w:pPr>
            <w:r w:rsidRPr="00D246CF">
              <w:rPr>
                <w:rFonts w:eastAsia="Times New Roman" w:cs="Times New Roman"/>
                <w:color w:val="000000"/>
                <w:szCs w:val="24"/>
                <w:lang w:val="en-IN" w:eastAsia="en-IN"/>
              </w:rPr>
              <w:t>4.35</w:t>
            </w:r>
          </w:p>
        </w:tc>
        <w:tc>
          <w:tcPr>
            <w:tcW w:w="642" w:type="pct"/>
            <w:noWrap/>
            <w:hideMark/>
          </w:tcPr>
          <w:p w14:paraId="412F89AA" w14:textId="77777777" w:rsidR="00D246CF" w:rsidRPr="00D246CF" w:rsidRDefault="00D246CF" w:rsidP="00D246CF">
            <w:pPr>
              <w:jc w:val="right"/>
              <w:rPr>
                <w:rFonts w:eastAsia="Times New Roman" w:cs="Times New Roman"/>
                <w:color w:val="000000"/>
                <w:szCs w:val="24"/>
                <w:lang w:val="en-IN" w:eastAsia="en-IN"/>
              </w:rPr>
            </w:pPr>
            <w:r w:rsidRPr="00D246CF">
              <w:rPr>
                <w:rFonts w:eastAsia="Times New Roman" w:cs="Times New Roman"/>
                <w:color w:val="000000"/>
                <w:szCs w:val="24"/>
                <w:lang w:val="en-IN" w:eastAsia="en-IN"/>
              </w:rPr>
              <w:t>3.07</w:t>
            </w:r>
          </w:p>
        </w:tc>
        <w:tc>
          <w:tcPr>
            <w:tcW w:w="642" w:type="pct"/>
            <w:noWrap/>
            <w:hideMark/>
          </w:tcPr>
          <w:p w14:paraId="57C10C28" w14:textId="77777777" w:rsidR="00D246CF" w:rsidRPr="00D246CF" w:rsidRDefault="00D246CF" w:rsidP="00D246CF">
            <w:pPr>
              <w:jc w:val="right"/>
              <w:rPr>
                <w:rFonts w:eastAsia="Times New Roman" w:cs="Times New Roman"/>
                <w:color w:val="000000"/>
                <w:szCs w:val="24"/>
                <w:lang w:val="en-IN" w:eastAsia="en-IN"/>
              </w:rPr>
            </w:pPr>
            <w:r w:rsidRPr="00D246CF">
              <w:rPr>
                <w:rFonts w:eastAsia="Times New Roman" w:cs="Times New Roman"/>
                <w:color w:val="000000"/>
                <w:szCs w:val="24"/>
                <w:lang w:val="en-IN" w:eastAsia="en-IN"/>
              </w:rPr>
              <w:t>2.69</w:t>
            </w:r>
          </w:p>
        </w:tc>
        <w:tc>
          <w:tcPr>
            <w:tcW w:w="593" w:type="pct"/>
            <w:noWrap/>
            <w:hideMark/>
          </w:tcPr>
          <w:p w14:paraId="23FC4CB9" w14:textId="77777777" w:rsidR="00D246CF" w:rsidRPr="00D246CF" w:rsidRDefault="00D246CF" w:rsidP="00D246CF">
            <w:pPr>
              <w:jc w:val="right"/>
              <w:rPr>
                <w:rFonts w:eastAsia="Times New Roman" w:cs="Times New Roman"/>
                <w:color w:val="000000"/>
                <w:szCs w:val="24"/>
                <w:lang w:val="en-IN" w:eastAsia="en-IN"/>
              </w:rPr>
            </w:pPr>
            <w:r w:rsidRPr="00D246CF">
              <w:rPr>
                <w:rFonts w:eastAsia="Times New Roman" w:cs="Times New Roman"/>
                <w:color w:val="000000"/>
                <w:szCs w:val="24"/>
                <w:lang w:val="en-IN" w:eastAsia="en-IN"/>
              </w:rPr>
              <w:t>0.93</w:t>
            </w:r>
          </w:p>
        </w:tc>
        <w:tc>
          <w:tcPr>
            <w:tcW w:w="593" w:type="pct"/>
            <w:noWrap/>
            <w:hideMark/>
          </w:tcPr>
          <w:p w14:paraId="21182828" w14:textId="77777777" w:rsidR="00D246CF" w:rsidRPr="00D246CF" w:rsidRDefault="00D246CF" w:rsidP="00D246CF">
            <w:pPr>
              <w:jc w:val="right"/>
              <w:rPr>
                <w:rFonts w:eastAsia="Times New Roman" w:cs="Times New Roman"/>
                <w:color w:val="000000"/>
                <w:szCs w:val="24"/>
                <w:lang w:val="en-IN" w:eastAsia="en-IN"/>
              </w:rPr>
            </w:pPr>
            <w:r w:rsidRPr="00D246CF">
              <w:rPr>
                <w:rFonts w:eastAsia="Times New Roman" w:cs="Times New Roman"/>
                <w:color w:val="000000"/>
                <w:szCs w:val="24"/>
                <w:lang w:val="en-IN" w:eastAsia="en-IN"/>
              </w:rPr>
              <w:t>1.41</w:t>
            </w:r>
          </w:p>
        </w:tc>
      </w:tr>
      <w:tr w:rsidR="00D246CF" w:rsidRPr="00D246CF" w14:paraId="33BBE592" w14:textId="77777777" w:rsidTr="00D246CF">
        <w:trPr>
          <w:trHeight w:val="300"/>
        </w:trPr>
        <w:tc>
          <w:tcPr>
            <w:tcW w:w="1887" w:type="pct"/>
            <w:noWrap/>
            <w:hideMark/>
          </w:tcPr>
          <w:p w14:paraId="61334B5A" w14:textId="77777777" w:rsidR="00D246CF" w:rsidRPr="00D246CF" w:rsidRDefault="00D246CF" w:rsidP="00D246CF">
            <w:pPr>
              <w:jc w:val="left"/>
              <w:rPr>
                <w:rFonts w:eastAsia="Times New Roman" w:cs="Times New Roman"/>
                <w:color w:val="000000"/>
                <w:szCs w:val="24"/>
                <w:lang w:val="en-IN" w:eastAsia="en-IN"/>
              </w:rPr>
            </w:pPr>
            <w:r w:rsidRPr="00D246CF">
              <w:rPr>
                <w:rFonts w:eastAsia="Times New Roman" w:cs="Times New Roman"/>
                <w:color w:val="000000"/>
                <w:szCs w:val="24"/>
                <w:lang w:val="en-IN" w:eastAsia="en-IN"/>
              </w:rPr>
              <w:t>Geely</w:t>
            </w:r>
          </w:p>
        </w:tc>
        <w:tc>
          <w:tcPr>
            <w:tcW w:w="642" w:type="pct"/>
            <w:noWrap/>
            <w:hideMark/>
          </w:tcPr>
          <w:p w14:paraId="07DEB42F" w14:textId="77777777" w:rsidR="00D246CF" w:rsidRPr="00D246CF" w:rsidRDefault="00D246CF" w:rsidP="00D246CF">
            <w:pPr>
              <w:jc w:val="right"/>
              <w:rPr>
                <w:rFonts w:eastAsia="Times New Roman" w:cs="Times New Roman"/>
                <w:color w:val="000000"/>
                <w:szCs w:val="24"/>
                <w:lang w:val="en-IN" w:eastAsia="en-IN"/>
              </w:rPr>
            </w:pPr>
            <w:r w:rsidRPr="00D246CF">
              <w:rPr>
                <w:rFonts w:eastAsia="Times New Roman" w:cs="Times New Roman"/>
                <w:color w:val="000000"/>
                <w:szCs w:val="24"/>
                <w:lang w:val="en-IN" w:eastAsia="en-IN"/>
              </w:rPr>
              <w:t>4.28</w:t>
            </w:r>
          </w:p>
        </w:tc>
        <w:tc>
          <w:tcPr>
            <w:tcW w:w="642" w:type="pct"/>
            <w:noWrap/>
            <w:hideMark/>
          </w:tcPr>
          <w:p w14:paraId="05B3258D" w14:textId="77777777" w:rsidR="00D246CF" w:rsidRPr="00D246CF" w:rsidRDefault="00D246CF" w:rsidP="00D246CF">
            <w:pPr>
              <w:jc w:val="right"/>
              <w:rPr>
                <w:rFonts w:eastAsia="Times New Roman" w:cs="Times New Roman"/>
                <w:color w:val="000000"/>
                <w:szCs w:val="24"/>
                <w:lang w:val="en-IN" w:eastAsia="en-IN"/>
              </w:rPr>
            </w:pPr>
            <w:r w:rsidRPr="00D246CF">
              <w:rPr>
                <w:rFonts w:eastAsia="Times New Roman" w:cs="Times New Roman"/>
                <w:color w:val="000000"/>
                <w:szCs w:val="24"/>
                <w:lang w:val="en-IN" w:eastAsia="en-IN"/>
              </w:rPr>
              <w:t>3.14</w:t>
            </w:r>
          </w:p>
        </w:tc>
        <w:tc>
          <w:tcPr>
            <w:tcW w:w="642" w:type="pct"/>
            <w:noWrap/>
            <w:hideMark/>
          </w:tcPr>
          <w:p w14:paraId="44B447B9" w14:textId="77777777" w:rsidR="00D246CF" w:rsidRPr="00D246CF" w:rsidRDefault="00D246CF" w:rsidP="00D246CF">
            <w:pPr>
              <w:jc w:val="right"/>
              <w:rPr>
                <w:rFonts w:eastAsia="Times New Roman" w:cs="Times New Roman"/>
                <w:color w:val="000000"/>
                <w:szCs w:val="24"/>
                <w:lang w:val="en-IN" w:eastAsia="en-IN"/>
              </w:rPr>
            </w:pPr>
            <w:r w:rsidRPr="00D246CF">
              <w:rPr>
                <w:rFonts w:eastAsia="Times New Roman" w:cs="Times New Roman"/>
                <w:color w:val="000000"/>
                <w:szCs w:val="24"/>
                <w:lang w:val="en-IN" w:eastAsia="en-IN"/>
              </w:rPr>
              <w:t>2.75</w:t>
            </w:r>
          </w:p>
        </w:tc>
        <w:tc>
          <w:tcPr>
            <w:tcW w:w="593" w:type="pct"/>
            <w:noWrap/>
            <w:hideMark/>
          </w:tcPr>
          <w:p w14:paraId="53305235" w14:textId="77777777" w:rsidR="00D246CF" w:rsidRPr="00D246CF" w:rsidRDefault="00D246CF" w:rsidP="00D246CF">
            <w:pPr>
              <w:jc w:val="right"/>
              <w:rPr>
                <w:rFonts w:eastAsia="Times New Roman" w:cs="Times New Roman"/>
                <w:color w:val="000000"/>
                <w:szCs w:val="24"/>
                <w:lang w:val="en-IN" w:eastAsia="en-IN"/>
              </w:rPr>
            </w:pPr>
            <w:r w:rsidRPr="00D246CF">
              <w:rPr>
                <w:rFonts w:eastAsia="Times New Roman" w:cs="Times New Roman"/>
                <w:color w:val="000000"/>
                <w:szCs w:val="24"/>
                <w:lang w:val="en-IN" w:eastAsia="en-IN"/>
              </w:rPr>
              <w:t>6.99</w:t>
            </w:r>
          </w:p>
        </w:tc>
        <w:tc>
          <w:tcPr>
            <w:tcW w:w="593" w:type="pct"/>
            <w:noWrap/>
            <w:hideMark/>
          </w:tcPr>
          <w:p w14:paraId="7FCE9876" w14:textId="77777777" w:rsidR="00D246CF" w:rsidRPr="00D246CF" w:rsidRDefault="00D246CF" w:rsidP="00D246CF">
            <w:pPr>
              <w:jc w:val="right"/>
              <w:rPr>
                <w:rFonts w:eastAsia="Times New Roman" w:cs="Times New Roman"/>
                <w:color w:val="000000"/>
                <w:szCs w:val="24"/>
                <w:lang w:val="en-IN" w:eastAsia="en-IN"/>
              </w:rPr>
            </w:pPr>
            <w:r w:rsidRPr="00D246CF">
              <w:rPr>
                <w:rFonts w:eastAsia="Times New Roman" w:cs="Times New Roman"/>
                <w:color w:val="000000"/>
                <w:szCs w:val="24"/>
                <w:lang w:val="en-IN" w:eastAsia="en-IN"/>
              </w:rPr>
              <w:t>5.81</w:t>
            </w:r>
          </w:p>
        </w:tc>
      </w:tr>
      <w:tr w:rsidR="00D246CF" w:rsidRPr="00D246CF" w14:paraId="1D83ED94" w14:textId="77777777" w:rsidTr="00D246CF">
        <w:trPr>
          <w:trHeight w:val="300"/>
        </w:trPr>
        <w:tc>
          <w:tcPr>
            <w:tcW w:w="1887" w:type="pct"/>
            <w:noWrap/>
            <w:hideMark/>
          </w:tcPr>
          <w:p w14:paraId="4A62F1DF" w14:textId="77777777" w:rsidR="00D246CF" w:rsidRPr="00D246CF" w:rsidRDefault="00D246CF" w:rsidP="00D246CF">
            <w:pPr>
              <w:jc w:val="left"/>
              <w:rPr>
                <w:rFonts w:eastAsia="Times New Roman" w:cs="Times New Roman"/>
                <w:color w:val="000000"/>
                <w:szCs w:val="24"/>
                <w:lang w:val="en-IN" w:eastAsia="en-IN"/>
              </w:rPr>
            </w:pPr>
            <w:r w:rsidRPr="00D246CF">
              <w:rPr>
                <w:rFonts w:eastAsia="Times New Roman" w:cs="Times New Roman"/>
                <w:color w:val="000000"/>
                <w:szCs w:val="24"/>
                <w:lang w:val="en-IN" w:eastAsia="en-IN"/>
              </w:rPr>
              <w:t>BYD</w:t>
            </w:r>
          </w:p>
        </w:tc>
        <w:tc>
          <w:tcPr>
            <w:tcW w:w="642" w:type="pct"/>
            <w:noWrap/>
            <w:hideMark/>
          </w:tcPr>
          <w:p w14:paraId="50E5DE10" w14:textId="77777777" w:rsidR="00D246CF" w:rsidRPr="00D246CF" w:rsidRDefault="00D246CF" w:rsidP="00D246CF">
            <w:pPr>
              <w:jc w:val="right"/>
              <w:rPr>
                <w:rFonts w:eastAsia="Times New Roman" w:cs="Times New Roman"/>
                <w:color w:val="000000"/>
                <w:szCs w:val="24"/>
                <w:lang w:val="en-IN" w:eastAsia="en-IN"/>
              </w:rPr>
            </w:pPr>
            <w:r w:rsidRPr="00D246CF">
              <w:rPr>
                <w:rFonts w:eastAsia="Times New Roman" w:cs="Times New Roman"/>
                <w:color w:val="000000"/>
                <w:szCs w:val="24"/>
                <w:lang w:val="en-IN" w:eastAsia="en-IN"/>
              </w:rPr>
              <w:t>1.84</w:t>
            </w:r>
          </w:p>
        </w:tc>
        <w:tc>
          <w:tcPr>
            <w:tcW w:w="642" w:type="pct"/>
            <w:noWrap/>
            <w:hideMark/>
          </w:tcPr>
          <w:p w14:paraId="1D84F4CA" w14:textId="77777777" w:rsidR="00D246CF" w:rsidRPr="00D246CF" w:rsidRDefault="00D246CF" w:rsidP="00D246CF">
            <w:pPr>
              <w:jc w:val="right"/>
              <w:rPr>
                <w:rFonts w:eastAsia="Times New Roman" w:cs="Times New Roman"/>
                <w:color w:val="000000"/>
                <w:szCs w:val="24"/>
                <w:lang w:val="en-IN" w:eastAsia="en-IN"/>
              </w:rPr>
            </w:pPr>
            <w:r w:rsidRPr="00D246CF">
              <w:rPr>
                <w:rFonts w:eastAsia="Times New Roman" w:cs="Times New Roman"/>
                <w:color w:val="000000"/>
                <w:szCs w:val="24"/>
                <w:lang w:val="en-IN" w:eastAsia="en-IN"/>
              </w:rPr>
              <w:t>4.18</w:t>
            </w:r>
          </w:p>
        </w:tc>
        <w:tc>
          <w:tcPr>
            <w:tcW w:w="642" w:type="pct"/>
            <w:noWrap/>
            <w:hideMark/>
          </w:tcPr>
          <w:p w14:paraId="10AFAF38" w14:textId="77777777" w:rsidR="00D246CF" w:rsidRPr="00D246CF" w:rsidRDefault="00D246CF" w:rsidP="00D246CF">
            <w:pPr>
              <w:jc w:val="right"/>
              <w:rPr>
                <w:rFonts w:eastAsia="Times New Roman" w:cs="Times New Roman"/>
                <w:color w:val="000000"/>
                <w:szCs w:val="24"/>
                <w:lang w:val="en-IN" w:eastAsia="en-IN"/>
              </w:rPr>
            </w:pPr>
            <w:r w:rsidRPr="00D246CF">
              <w:rPr>
                <w:rFonts w:eastAsia="Times New Roman" w:cs="Times New Roman"/>
                <w:color w:val="000000"/>
                <w:szCs w:val="24"/>
                <w:lang w:val="en-IN" w:eastAsia="en-IN"/>
              </w:rPr>
              <w:t>5.2</w:t>
            </w:r>
          </w:p>
        </w:tc>
        <w:tc>
          <w:tcPr>
            <w:tcW w:w="593" w:type="pct"/>
            <w:noWrap/>
            <w:hideMark/>
          </w:tcPr>
          <w:p w14:paraId="3EE1B5E9" w14:textId="77777777" w:rsidR="00D246CF" w:rsidRPr="00D246CF" w:rsidRDefault="00D246CF" w:rsidP="00D246CF">
            <w:pPr>
              <w:jc w:val="right"/>
              <w:rPr>
                <w:rFonts w:eastAsia="Times New Roman" w:cs="Times New Roman"/>
                <w:color w:val="000000"/>
                <w:szCs w:val="24"/>
                <w:lang w:val="en-IN" w:eastAsia="en-IN"/>
              </w:rPr>
            </w:pPr>
            <w:r w:rsidRPr="00D246CF">
              <w:rPr>
                <w:rFonts w:eastAsia="Times New Roman" w:cs="Times New Roman"/>
                <w:color w:val="000000"/>
                <w:szCs w:val="24"/>
                <w:lang w:val="en-IN" w:eastAsia="en-IN"/>
              </w:rPr>
              <w:t>5.35</w:t>
            </w:r>
          </w:p>
        </w:tc>
        <w:tc>
          <w:tcPr>
            <w:tcW w:w="593" w:type="pct"/>
            <w:noWrap/>
            <w:hideMark/>
          </w:tcPr>
          <w:p w14:paraId="740C78D1" w14:textId="77777777" w:rsidR="00D246CF" w:rsidRPr="00D246CF" w:rsidRDefault="00D246CF" w:rsidP="00D246CF">
            <w:pPr>
              <w:jc w:val="right"/>
              <w:rPr>
                <w:rFonts w:eastAsia="Times New Roman" w:cs="Times New Roman"/>
                <w:color w:val="000000"/>
                <w:szCs w:val="24"/>
                <w:lang w:val="en-IN" w:eastAsia="en-IN"/>
              </w:rPr>
            </w:pPr>
            <w:r w:rsidRPr="00D246CF">
              <w:rPr>
                <w:rFonts w:eastAsia="Times New Roman" w:cs="Times New Roman"/>
                <w:color w:val="000000"/>
                <w:szCs w:val="24"/>
                <w:lang w:val="en-IN" w:eastAsia="en-IN"/>
              </w:rPr>
              <w:t>4.7</w:t>
            </w:r>
          </w:p>
        </w:tc>
      </w:tr>
    </w:tbl>
    <w:p w14:paraId="693DFFC9" w14:textId="77777777" w:rsidR="00D246CF" w:rsidRDefault="00E05F14" w:rsidP="00E05F14">
      <w:pPr>
        <w:jc w:val="center"/>
      </w:pPr>
      <w:r>
        <w:t>(Morningstar, 2025a; 2025b; 2025c; 2025d)</w:t>
      </w:r>
    </w:p>
    <w:p w14:paraId="0A8AA4A1" w14:textId="77777777" w:rsidR="001D75E7" w:rsidRDefault="00D246CF">
      <w:r>
        <w:t xml:space="preserve">As from the above table, it can be observed that the profit margin of Tesla has reduced from 10.49% in 2021 to 4.07% in 2025. In follower organisations, specifically SAIC motors, the profit margin has reduced from 4.35% in 2021 to 1.41% in 2025, while Geely has </w:t>
      </w:r>
      <w:r w:rsidR="001D75E7">
        <w:t>demonstrated</w:t>
      </w:r>
      <w:r>
        <w:t xml:space="preserve"> </w:t>
      </w:r>
      <w:r w:rsidR="001D75E7">
        <w:t xml:space="preserve">fluctuations in profit margin. </w:t>
      </w:r>
      <w:proofErr w:type="spellStart"/>
      <w:r w:rsidR="0040368A" w:rsidRPr="0040368A">
        <w:t>Dyduch</w:t>
      </w:r>
      <w:proofErr w:type="spellEnd"/>
      <w:r w:rsidR="0040368A" w:rsidRPr="0040368A">
        <w:t xml:space="preserve"> </w:t>
      </w:r>
      <w:r w:rsidR="0040368A">
        <w:t xml:space="preserve">et al., </w:t>
      </w:r>
      <w:r w:rsidR="001D75E7">
        <w:t>(</w:t>
      </w:r>
      <w:r w:rsidR="0040368A">
        <w:t>2021</w:t>
      </w:r>
      <w:r w:rsidR="001D75E7">
        <w:t xml:space="preserve">) argues that organisations require to develop dynamic capabilities to react properly to competition. Sustainable competitive advantage is not subject to the initial market position, but is dependent on the capability to constantly innovate and adapt.  </w:t>
      </w:r>
    </w:p>
    <w:p w14:paraId="03DA6977" w14:textId="77777777" w:rsidR="00E5624B" w:rsidRPr="0040368A" w:rsidRDefault="00E5624B" w:rsidP="00E05F14">
      <w:pPr>
        <w:pStyle w:val="Heading1"/>
      </w:pPr>
      <w:bookmarkStart w:id="5" w:name="_Toc225460233"/>
      <w:r w:rsidRPr="0040368A">
        <w:t>Task 2</w:t>
      </w:r>
      <w:bookmarkEnd w:id="5"/>
    </w:p>
    <w:p w14:paraId="6D0CBDD0" w14:textId="77777777" w:rsidR="00E5624B" w:rsidRPr="0040368A" w:rsidRDefault="00E5624B" w:rsidP="00E05F14">
      <w:pPr>
        <w:pStyle w:val="Heading1"/>
      </w:pPr>
      <w:bookmarkStart w:id="6" w:name="_Toc225460234"/>
      <w:r w:rsidRPr="0040368A">
        <w:t>Strategic Responses of Pioneering and Follower Organisations</w:t>
      </w:r>
      <w:bookmarkEnd w:id="6"/>
      <w:r w:rsidRPr="0040368A">
        <w:t xml:space="preserve"> </w:t>
      </w:r>
    </w:p>
    <w:p w14:paraId="1CDACEA0" w14:textId="77777777" w:rsidR="00E5624B" w:rsidRDefault="00E5624B">
      <w:r>
        <w:t xml:space="preserve">Strategic marketing requires organisations not only to evaluate the macro environmental factors, but also to react effectively to external actors like customers and competitors. On the basis of the critical analysis, these actors can generate opportunities and threats. However, the key argument is that how pioneers and followers can strategically react to such changes in order to sustain competitive advantages. </w:t>
      </w:r>
    </w:p>
    <w:p w14:paraId="11357F8F" w14:textId="77777777" w:rsidR="00E5624B" w:rsidRPr="0040368A" w:rsidRDefault="00E5624B" w:rsidP="00E05F14">
      <w:pPr>
        <w:pStyle w:val="Heading2"/>
      </w:pPr>
      <w:bookmarkStart w:id="7" w:name="_Toc225460235"/>
      <w:r w:rsidRPr="0040368A">
        <w:t>Strategic Responses to Changing Customers’ Dynamics</w:t>
      </w:r>
      <w:bookmarkEnd w:id="7"/>
      <w:r w:rsidRPr="0040368A">
        <w:t xml:space="preserve"> </w:t>
      </w:r>
    </w:p>
    <w:p w14:paraId="4C6B439A" w14:textId="77777777" w:rsidR="00E5624B" w:rsidRPr="0040368A" w:rsidRDefault="009407F0" w:rsidP="00E05F14">
      <w:pPr>
        <w:pStyle w:val="Heading3"/>
      </w:pPr>
      <w:bookmarkStart w:id="8" w:name="_Toc225460236"/>
      <w:r w:rsidRPr="0040368A">
        <w:t xml:space="preserve">Pioneer Organisation: </w:t>
      </w:r>
      <w:r w:rsidR="00E5624B" w:rsidRPr="0040368A">
        <w:t>Market Shaping and Customer Education</w:t>
      </w:r>
      <w:bookmarkEnd w:id="8"/>
      <w:r w:rsidR="00E5624B" w:rsidRPr="0040368A">
        <w:t xml:space="preserve"> </w:t>
      </w:r>
    </w:p>
    <w:p w14:paraId="4A0D3CB1" w14:textId="77777777" w:rsidR="00C44213" w:rsidRDefault="00E5624B">
      <w:r>
        <w:t xml:space="preserve">In order to react to customers’ behaviour, pioneer organisations intend to use market shaping strategies to influence the preferences of customers. </w:t>
      </w:r>
      <w:r w:rsidR="00C44213">
        <w:t xml:space="preserve">According to </w:t>
      </w:r>
      <w:r w:rsidR="00075CE8">
        <w:t xml:space="preserve">Zhang and Watson </w:t>
      </w:r>
      <w:r w:rsidR="00C44213">
        <w:t>(</w:t>
      </w:r>
      <w:r w:rsidR="00075CE8">
        <w:t>2020</w:t>
      </w:r>
      <w:r w:rsidR="00C44213">
        <w:t xml:space="preserve">), pioneers uses the outside in strategies that focuses on recognising latent needs and redefining the expectations of customers. Such strategies help to differentiate the brand, where firms create unique value propositions that create competitive advantages. For example, Tesla has </w:t>
      </w:r>
      <w:r w:rsidR="00C44213">
        <w:lastRenderedPageBreak/>
        <w:t xml:space="preserve">strategically responded to increasing environmental awareness among customers by positioning its EV products as premium and high performance, rather than just depicting it as sustainable alternatives. This can also be considered as blue ocean strategy, where Tesla avoided direct competition with the traditional fuel based automobile companies by redefining the value dimensions. </w:t>
      </w:r>
    </w:p>
    <w:p w14:paraId="78DE32A8" w14:textId="77777777" w:rsidR="00084095" w:rsidRDefault="00C44213">
      <w:r>
        <w:t>However, there are certain limitations of this strategy. Through using market shaping strategy, pioneers can influence customers’ perceptions, but effectiveness of this strategy is dependent on significant investment in customers’ education and development of infrastructure</w:t>
      </w:r>
      <w:r w:rsidR="00075CE8">
        <w:t xml:space="preserve"> (Flaig et al., 2021)</w:t>
      </w:r>
      <w:r>
        <w:t xml:space="preserve">. </w:t>
      </w:r>
      <w:r w:rsidR="00075CE8">
        <w:t xml:space="preserve">Hooley et al., </w:t>
      </w:r>
      <w:r w:rsidR="009407F0">
        <w:t>(</w:t>
      </w:r>
      <w:r w:rsidR="00075CE8">
        <w:t>2024</w:t>
      </w:r>
      <w:r w:rsidR="009407F0">
        <w:t xml:space="preserve">) argues that such strategies can fail if the organisations overestimate the readiness of customers or misinterpret the demand signals, indicating that pioneering strategies are highly dependent on market sensing capabilities. With respect to Tesla, its early success in the EV market was supported by favourable socio cultural trends and government incentives towards sustainability, which suggest that it is important for pioneers to align the strategy according to external actors. Furthermore, pioneers also require to constantly adapt their strategies according to changes in customers’ expectations. The research of </w:t>
      </w:r>
      <w:r w:rsidR="00075CE8">
        <w:t xml:space="preserve">Morgan </w:t>
      </w:r>
      <w:r w:rsidR="009407F0">
        <w:t>(</w:t>
      </w:r>
      <w:r w:rsidR="00075CE8">
        <w:t>2020</w:t>
      </w:r>
      <w:r w:rsidR="009407F0">
        <w:t xml:space="preserve">) highlights that customers’ purchasing journey is complicated, where various factors impact on their decisions like digital touch points and real time feedback among others. Therefore, pioneers require to integrate customer relationship management (CRM), data analytics and omnichannel marketing to sustain brand relevance. Failure to adapt can result in loss of competitive advantage, where pioneers can be overtaken by more agile competitors.  </w:t>
      </w:r>
    </w:p>
    <w:p w14:paraId="7F4A477F" w14:textId="77777777" w:rsidR="00E75893" w:rsidRPr="00075CE8" w:rsidRDefault="00084095" w:rsidP="00E05F14">
      <w:pPr>
        <w:pStyle w:val="Heading3"/>
      </w:pPr>
      <w:bookmarkStart w:id="9" w:name="_Toc225460237"/>
      <w:r w:rsidRPr="00075CE8">
        <w:t>Follower Organisations: Market Adaptation and Customer Centric Refinement</w:t>
      </w:r>
      <w:bookmarkEnd w:id="9"/>
      <w:r w:rsidRPr="00075CE8">
        <w:t xml:space="preserve"> </w:t>
      </w:r>
      <w:r w:rsidR="009407F0" w:rsidRPr="00075CE8">
        <w:t xml:space="preserve"> </w:t>
      </w:r>
    </w:p>
    <w:p w14:paraId="5FA5C5B3" w14:textId="77777777" w:rsidR="003C4E1F" w:rsidRDefault="00E75893">
      <w:r>
        <w:t>Follower organisations</w:t>
      </w:r>
      <w:r w:rsidR="003C4E1F">
        <w:t xml:space="preserve"> usually adopt the market adaptive strategies to react to the external </w:t>
      </w:r>
      <w:r w:rsidR="000C4D55">
        <w:t>factor, customers</w:t>
      </w:r>
      <w:r w:rsidR="003C4E1F">
        <w:t xml:space="preserve"> by focusing on refining the existing offerings so that they can better align with the observed customers’ preferences. Follower organisations obtain benefits from reduced market uncertainty and can implement more targeted segmentations, positioning and pricing strategies</w:t>
      </w:r>
      <w:r w:rsidR="00D24B65">
        <w:t xml:space="preserve"> (</w:t>
      </w:r>
      <w:proofErr w:type="spellStart"/>
      <w:r w:rsidR="00D24B65" w:rsidRPr="00D24B65">
        <w:t>Kalicanin</w:t>
      </w:r>
      <w:proofErr w:type="spellEnd"/>
      <w:r w:rsidR="00D24B65">
        <w:t>, 2008)</w:t>
      </w:r>
      <w:r w:rsidR="003C4E1F">
        <w:t>. For example, with respect to customers’ demand towards sustainability and their purchasing ability, BYD has strategically responded by offering affordable EVs in contrast to Tesla’s premium EVs</w:t>
      </w:r>
      <w:r w:rsidR="00D24B65">
        <w:t xml:space="preserve"> (Carbon Click, 2025)</w:t>
      </w:r>
      <w:r w:rsidR="003C4E1F">
        <w:t>. In the similar context, NIO has differentiated its products through providing innovative services like battery swapping, which demonstrates that the organisation follows a service dominant logic approach</w:t>
      </w:r>
      <w:r w:rsidR="00D24B65">
        <w:t xml:space="preserve"> (NIO, 2021)</w:t>
      </w:r>
      <w:r w:rsidR="003C4E1F">
        <w:t xml:space="preserve">. These strategies reflect the use of market orientation strategy, which focuses on responsiveness to customers’ needs in order to obtain competitive advantage. Industry evidence </w:t>
      </w:r>
      <w:r w:rsidR="003C4E1F">
        <w:lastRenderedPageBreak/>
        <w:t xml:space="preserve">suggest that EV followers have gained market share by focusing on affordability, localisation and user experience. </w:t>
      </w:r>
    </w:p>
    <w:p w14:paraId="759E59E3" w14:textId="77777777" w:rsidR="000C4D55" w:rsidRDefault="003C4E1F">
      <w:r>
        <w:t xml:space="preserve">However, there are various limitations of using market </w:t>
      </w:r>
      <w:r w:rsidR="000C4D55">
        <w:t xml:space="preserve">adaptation and </w:t>
      </w:r>
      <w:r>
        <w:t>orientation strategies. For example, competing primarily on price can result in commodification and low profitability. This can be evident in the EV market, where intense competition has triggers price wars, specifically in China. From the analysis, declining or fluctuating profit margins can be observed among the EV producers, which suggest that follower strategies can become unsustainable without innovation</w:t>
      </w:r>
      <w:r w:rsidR="00075CE8">
        <w:t xml:space="preserve"> (</w:t>
      </w:r>
      <w:r w:rsidR="00D24B65">
        <w:t xml:space="preserve">Mason and </w:t>
      </w:r>
      <w:proofErr w:type="spellStart"/>
      <w:r w:rsidR="00D24B65">
        <w:t>harris</w:t>
      </w:r>
      <w:proofErr w:type="spellEnd"/>
      <w:r w:rsidR="00D24B65">
        <w:t>, 2005)</w:t>
      </w:r>
      <w:r>
        <w:t xml:space="preserve">. </w:t>
      </w:r>
      <w:r w:rsidR="000C4D55">
        <w:t xml:space="preserve">Thus, while adaptation can reduce risk, it can also limit long terms </w:t>
      </w:r>
      <w:r w:rsidR="00D24B65">
        <w:t>strategic</w:t>
      </w:r>
      <w:r w:rsidR="000C4D55">
        <w:t xml:space="preserve"> control. This requires using hybrid strategies by combining imitation with selective innovation that can maintain balance between efficiency and differentiation. </w:t>
      </w:r>
    </w:p>
    <w:p w14:paraId="56EB4EF4" w14:textId="77777777" w:rsidR="000C4D55" w:rsidRPr="00A24873" w:rsidRDefault="000C4D55" w:rsidP="00E05F14">
      <w:pPr>
        <w:pStyle w:val="Heading2"/>
      </w:pPr>
      <w:bookmarkStart w:id="10" w:name="_Toc225460238"/>
      <w:r w:rsidRPr="00A24873">
        <w:t>Strategic Responses to Competitive Dynamics</w:t>
      </w:r>
      <w:bookmarkEnd w:id="10"/>
      <w:r w:rsidRPr="00A24873">
        <w:t xml:space="preserve"> </w:t>
      </w:r>
    </w:p>
    <w:p w14:paraId="1C40B94A" w14:textId="77777777" w:rsidR="000C4D55" w:rsidRPr="00A24873" w:rsidRDefault="000C4D55" w:rsidP="00E05F14">
      <w:pPr>
        <w:pStyle w:val="Heading3"/>
      </w:pPr>
      <w:bookmarkStart w:id="11" w:name="_Toc225460239"/>
      <w:r w:rsidRPr="00A24873">
        <w:t>Pioneering Organisations: Continuous Innovation and Brand Reinforcement</w:t>
      </w:r>
      <w:bookmarkEnd w:id="11"/>
    </w:p>
    <w:p w14:paraId="7A110CC4" w14:textId="77777777" w:rsidR="000C4D55" w:rsidRDefault="000C4D55">
      <w:r>
        <w:t xml:space="preserve">In response to external factor like competition, pioneers organisations shift from market creation to defensive and adaptive marketing strategies. </w:t>
      </w:r>
      <w:r w:rsidR="00A24873" w:rsidRPr="00A24873">
        <w:t xml:space="preserve">Lieberman </w:t>
      </w:r>
      <w:r>
        <w:t>(</w:t>
      </w:r>
      <w:r w:rsidR="00A24873">
        <w:t>2016</w:t>
      </w:r>
      <w:r>
        <w:t xml:space="preserve">) argues that sustaining first mover advantage requires constant innovation, accumulation of resources and customer lock in. The response of Tesla to increasing competition illustrates this approach, where it has invested heavily on integration of software, development of autonomous driving technologies and brand ecosystem. This </w:t>
      </w:r>
      <w:r w:rsidR="00781497">
        <w:t>supports the</w:t>
      </w:r>
      <w:r>
        <w:t xml:space="preserve"> dynamic capabilities theory, which emphasises that organisations should integrate, build and reconfigure competencies </w:t>
      </w:r>
      <w:r w:rsidR="00781497">
        <w:t>for reacting</w:t>
      </w:r>
      <w:r>
        <w:t xml:space="preserve"> to any changes in external environmental actors</w:t>
      </w:r>
      <w:r w:rsidR="00781497">
        <w:t xml:space="preserve"> (</w:t>
      </w:r>
      <w:proofErr w:type="spellStart"/>
      <w:r w:rsidR="00781497" w:rsidRPr="00781497">
        <w:t>Cavusgil</w:t>
      </w:r>
      <w:proofErr w:type="spellEnd"/>
      <w:r w:rsidR="00781497">
        <w:t xml:space="preserve"> and </w:t>
      </w:r>
      <w:proofErr w:type="spellStart"/>
      <w:r w:rsidR="00781497">
        <w:t>Deligonul</w:t>
      </w:r>
      <w:proofErr w:type="spellEnd"/>
      <w:r w:rsidR="00781497">
        <w:t>, 2024)</w:t>
      </w:r>
      <w:r>
        <w:t xml:space="preserve">. Furthermore, pioneers often leverage brand equity strategies to maintain customer loyalty. According to </w:t>
      </w:r>
      <w:proofErr w:type="spellStart"/>
      <w:r w:rsidR="00A24873" w:rsidRPr="00A24873">
        <w:t>Kordestani</w:t>
      </w:r>
      <w:proofErr w:type="spellEnd"/>
      <w:r w:rsidR="00A24873" w:rsidRPr="00A24873">
        <w:t xml:space="preserve"> </w:t>
      </w:r>
      <w:r w:rsidR="00A24873">
        <w:t xml:space="preserve">and Heydari </w:t>
      </w:r>
      <w:r>
        <w:t>(</w:t>
      </w:r>
      <w:r w:rsidR="00A24873">
        <w:t>2022</w:t>
      </w:r>
      <w:r>
        <w:t>), strong brand association can create entry barriers and reduce the impact of competitive threats. For example, tesla has maintained its brand identity as innovation leader, which continue to differentiate the brand despite the entry of other players in the industry.</w:t>
      </w:r>
    </w:p>
    <w:p w14:paraId="7B23C6F1" w14:textId="77777777" w:rsidR="00D466ED" w:rsidRDefault="000C4D55">
      <w:r>
        <w:t xml:space="preserve">However, there are various limitations of this strategy. Constant innovation requires constant investment and also expose the organisation towards technological risk. </w:t>
      </w:r>
      <w:r w:rsidR="00A24873">
        <w:t xml:space="preserve">Balzano and Giachetti </w:t>
      </w:r>
      <w:r>
        <w:t>(</w:t>
      </w:r>
      <w:r w:rsidR="00A24873">
        <w:t>2026</w:t>
      </w:r>
      <w:r>
        <w:t>) argues that in fast moving markets, competitors can quickly imitate innovations, which reduce their effectiveness.</w:t>
      </w:r>
      <w:r w:rsidR="00D466ED">
        <w:t xml:space="preserve"> Furthermore, over dependence on brand equity can lead to </w:t>
      </w:r>
      <w:r w:rsidR="00D466ED">
        <w:lastRenderedPageBreak/>
        <w:t xml:space="preserve">complacency, which makes pioneer organisations vulnerable against any disruptive followers offering superior values. </w:t>
      </w:r>
    </w:p>
    <w:p w14:paraId="2694029D" w14:textId="77777777" w:rsidR="00D466ED" w:rsidRPr="00A24873" w:rsidRDefault="00D466ED" w:rsidP="00E05F14">
      <w:pPr>
        <w:pStyle w:val="Heading3"/>
      </w:pPr>
      <w:bookmarkStart w:id="12" w:name="_Toc225460240"/>
      <w:r w:rsidRPr="00A24873">
        <w:t>Follower Organisations: Competitive Positioning and Strategic Differentiation</w:t>
      </w:r>
      <w:bookmarkEnd w:id="12"/>
    </w:p>
    <w:p w14:paraId="17350CA4" w14:textId="77777777" w:rsidR="000164D3" w:rsidRDefault="00D466ED">
      <w:r>
        <w:t>Follower organisations can react to external force like competitor by strategic positioning and differentiating the brands from pioneers. Rather than directly challenging the pioneer, they frequently target the niche customer segments or adapt cost leadership strategies for differentiation. For example, in order to differentiate itself from Tesla, Xpeng Motors has focused on advanced driver assistance technologies. On the other hand, Geely and SAIC motors tried to differentiate themselves through leveraging economies of scale and local market knowledge to compete with pioneer organisation</w:t>
      </w:r>
      <w:r w:rsidR="004B338F">
        <w:t xml:space="preserve"> (SAIC, 2025)</w:t>
      </w:r>
      <w:r>
        <w:t xml:space="preserve">. These strategies reflect the concept of strategic groups, where organisations operating in same industry adopt different competitive approaches to avoid directly rivalry. This strategy help multiple organisations to coexist in the EV industry irrespective of intense competition. </w:t>
      </w:r>
    </w:p>
    <w:p w14:paraId="6932AD9E" w14:textId="77777777" w:rsidR="00A86B4B" w:rsidRDefault="000164D3">
      <w:r>
        <w:t xml:space="preserve">There are various limitations also in this strategy. When the market reach to maturity stage, it becomes hard to differentiate and competitive advantages may erode. Thus, follower organisations require to evolve themselves beyond different positioning and need to innovate and develop new capabilities. </w:t>
      </w:r>
      <w:r w:rsidR="004B338F">
        <w:t xml:space="preserve">Farida and Setiawan </w:t>
      </w:r>
      <w:r>
        <w:t>(</w:t>
      </w:r>
      <w:r w:rsidR="004B338F">
        <w:t>2022</w:t>
      </w:r>
      <w:r>
        <w:t xml:space="preserve">) emphasises that long term competitiveness of organisations is subject to the capability to adapt in the competitive environment, rather than using static marketing strategies. </w:t>
      </w:r>
    </w:p>
    <w:p w14:paraId="583B6F86" w14:textId="77777777" w:rsidR="00A86B4B" w:rsidRDefault="00A86B4B" w:rsidP="00E05F14">
      <w:pPr>
        <w:pStyle w:val="Heading1"/>
      </w:pPr>
      <w:bookmarkStart w:id="13" w:name="_Toc225460241"/>
      <w:r>
        <w:t>Conclusion</w:t>
      </w:r>
      <w:bookmarkEnd w:id="13"/>
    </w:p>
    <w:p w14:paraId="7B323B72" w14:textId="77777777" w:rsidR="00E5624B" w:rsidRDefault="0001243D">
      <w:r>
        <w:t xml:space="preserve">The macro environment is a critical determinant of strategic marketing outcome, but its value lies in the way organisations interpret and react to the external actors. </w:t>
      </w:r>
      <w:r w:rsidR="00A86B4B">
        <w:t xml:space="preserve">On the basis of the critical analysis, it can be stated that pioneers and followers depend on different and complimentary approaches for maintaining competitive advantages. </w:t>
      </w:r>
      <w:r>
        <w:t xml:space="preserve">While pioneers focuses on using market shaping, innovation and brand leadership strategies that provide early advantages, followers uses market responsiveness, cost efficiency and selective differentiation strategies, which reduces risk. Pioneers intend to shape the markets through innovation and branding and followers focuses on adaptation and efficiency. However, both the approaches requires trade-offs and are subject to environmental uncertainties. The evaluation demonstrates that market entry timing does not determine sustainable competitiveness, rather the effectiveness of the organisations to react to the external actors determine competitiveness. Organisations require </w:t>
      </w:r>
      <w:r>
        <w:lastRenderedPageBreak/>
        <w:t xml:space="preserve">to develop dynamic capabilities, leverage customers; insights and constantly adjust their strategies to stay competitive.             </w:t>
      </w:r>
      <w:r w:rsidR="00A86B4B">
        <w:t xml:space="preserve">    </w:t>
      </w:r>
      <w:r w:rsidR="000164D3">
        <w:t xml:space="preserve">       </w:t>
      </w:r>
      <w:r w:rsidR="00D466ED">
        <w:t xml:space="preserve">              </w:t>
      </w:r>
      <w:r w:rsidR="000C4D55">
        <w:t xml:space="preserve">         </w:t>
      </w:r>
      <w:r w:rsidR="003C4E1F">
        <w:t xml:space="preserve">           </w:t>
      </w:r>
      <w:r w:rsidR="00E75893">
        <w:t xml:space="preserve"> </w:t>
      </w:r>
      <w:r w:rsidR="009407F0">
        <w:t xml:space="preserve">   </w:t>
      </w:r>
    </w:p>
    <w:p w14:paraId="511F8777" w14:textId="77777777" w:rsidR="0001243D" w:rsidRDefault="00E5624B">
      <w:r>
        <w:t xml:space="preserve">   </w:t>
      </w:r>
      <w:r w:rsidR="00D246CF">
        <w:t xml:space="preserve"> </w:t>
      </w:r>
      <w:r w:rsidR="00B2033F">
        <w:t xml:space="preserve">          </w:t>
      </w:r>
      <w:r w:rsidR="00E16D04">
        <w:t xml:space="preserve">  </w:t>
      </w:r>
      <w:r w:rsidR="00D35CD7">
        <w:t xml:space="preserve">     </w:t>
      </w:r>
      <w:r w:rsidR="00097825">
        <w:t xml:space="preserve">  </w:t>
      </w:r>
      <w:r w:rsidR="00475BF3">
        <w:t xml:space="preserve"> </w:t>
      </w:r>
      <w:r w:rsidR="00D82198">
        <w:t xml:space="preserve">     </w:t>
      </w:r>
    </w:p>
    <w:p w14:paraId="419CAE3B" w14:textId="77777777" w:rsidR="0001243D" w:rsidRDefault="0001243D">
      <w:pPr>
        <w:spacing w:line="259" w:lineRule="auto"/>
        <w:jc w:val="left"/>
      </w:pPr>
      <w:r>
        <w:br w:type="page"/>
      </w:r>
    </w:p>
    <w:p w14:paraId="1AB23CB4" w14:textId="77777777" w:rsidR="003F29E9" w:rsidRDefault="003F29E9">
      <w:pPr>
        <w:spacing w:line="259" w:lineRule="auto"/>
        <w:jc w:val="left"/>
      </w:pPr>
    </w:p>
    <w:p w14:paraId="32D4EAA5" w14:textId="77777777" w:rsidR="00D82198" w:rsidRDefault="0001243D" w:rsidP="00E05F14">
      <w:pPr>
        <w:pStyle w:val="Heading1"/>
      </w:pPr>
      <w:bookmarkStart w:id="14" w:name="_Toc225460242"/>
      <w:r>
        <w:t>References</w:t>
      </w:r>
      <w:bookmarkEnd w:id="14"/>
      <w:r>
        <w:t xml:space="preserve"> </w:t>
      </w:r>
    </w:p>
    <w:p w14:paraId="2D3A9449" w14:textId="77777777" w:rsidR="00A24873" w:rsidRDefault="00A24873">
      <w:r>
        <w:t>Balzano, M., and Giachetti, C. (2026) ‘</w:t>
      </w:r>
      <w:r w:rsidRPr="00A24873">
        <w:t>Revisiting speed of imitation from a competitive dynamics perspective</w:t>
      </w:r>
      <w:r>
        <w:t xml:space="preserve">’, </w:t>
      </w:r>
      <w:r w:rsidRPr="00A24873">
        <w:rPr>
          <w:i/>
        </w:rPr>
        <w:t>Research Policy</w:t>
      </w:r>
      <w:r>
        <w:t xml:space="preserve">, 55(1), pp. 1-19. </w:t>
      </w:r>
      <w:hyperlink r:id="rId6" w:history="1">
        <w:r w:rsidRPr="005824DE">
          <w:rPr>
            <w:rStyle w:val="Hyperlink"/>
          </w:rPr>
          <w:t>https://doi.org/10.1016/j.respol.2025.105341</w:t>
        </w:r>
      </w:hyperlink>
    </w:p>
    <w:p w14:paraId="3B576DEA" w14:textId="77777777" w:rsidR="00A24873" w:rsidRDefault="00A24873"/>
    <w:p w14:paraId="24208918" w14:textId="77777777" w:rsidR="00D24B65" w:rsidRDefault="00D24B65">
      <w:r>
        <w:t xml:space="preserve">Carbon Click. (2025) </w:t>
      </w:r>
      <w:r w:rsidRPr="00D24B65">
        <w:rPr>
          <w:i/>
        </w:rPr>
        <w:t>BYD: Revolutionising the electric vehicle market.</w:t>
      </w:r>
      <w:r>
        <w:t xml:space="preserve"> </w:t>
      </w:r>
      <w:r w:rsidR="00E05F14">
        <w:t xml:space="preserve">Available at: </w:t>
      </w:r>
      <w:hyperlink r:id="rId7" w:history="1">
        <w:r w:rsidRPr="005824DE">
          <w:rPr>
            <w:rStyle w:val="Hyperlink"/>
          </w:rPr>
          <w:t>https://www.carbonclick.com/news-views/byd-revolutionising-the-electric-vehicle-market</w:t>
        </w:r>
      </w:hyperlink>
      <w:r w:rsidR="00781497">
        <w:t xml:space="preserve"> (Accessed: 26 March 2026).</w:t>
      </w:r>
    </w:p>
    <w:p w14:paraId="0F382474" w14:textId="77777777" w:rsidR="00D24B65" w:rsidRDefault="00D24B65"/>
    <w:p w14:paraId="77DB3B99" w14:textId="77777777" w:rsidR="00781497" w:rsidRDefault="00781497">
      <w:proofErr w:type="spellStart"/>
      <w:r w:rsidRPr="00781497">
        <w:t>Cavusgil</w:t>
      </w:r>
      <w:proofErr w:type="spellEnd"/>
      <w:r>
        <w:t xml:space="preserve">, S. T., and </w:t>
      </w:r>
      <w:proofErr w:type="spellStart"/>
      <w:r>
        <w:t>Deligonul</w:t>
      </w:r>
      <w:proofErr w:type="spellEnd"/>
      <w:r>
        <w:t>, S. (2024) ‘</w:t>
      </w:r>
      <w:r w:rsidRPr="00781497">
        <w:t>Dynamic capabilities framework and its transformative contributions</w:t>
      </w:r>
      <w:r>
        <w:t xml:space="preserve">’, </w:t>
      </w:r>
      <w:r w:rsidRPr="00781497">
        <w:rPr>
          <w:i/>
        </w:rPr>
        <w:t>Journal of International Business Studies</w:t>
      </w:r>
      <w:r>
        <w:t>,</w:t>
      </w:r>
      <w:r w:rsidRPr="00781497">
        <w:t xml:space="preserve"> 56(6)</w:t>
      </w:r>
      <w:r>
        <w:t xml:space="preserve">, pp. 1-12. </w:t>
      </w:r>
      <w:hyperlink r:id="rId8" w:history="1">
        <w:r w:rsidRPr="005824DE">
          <w:rPr>
            <w:rStyle w:val="Hyperlink"/>
          </w:rPr>
          <w:t>https://doi.org/10.1057/s41267-024-00758-8</w:t>
        </w:r>
      </w:hyperlink>
    </w:p>
    <w:p w14:paraId="308A4509" w14:textId="77777777" w:rsidR="00781497" w:rsidRDefault="00781497"/>
    <w:p w14:paraId="438725B0" w14:textId="77777777" w:rsidR="001700F8" w:rsidRDefault="001700F8">
      <w:r>
        <w:t>Covin, J. G., Slevin, D. P., and Heeley, M. B. (2000) ‘</w:t>
      </w:r>
      <w:r w:rsidRPr="001700F8">
        <w:t>Pioneers and followers: Competitive tactics, environment, and firm growth</w:t>
      </w:r>
      <w:r>
        <w:t xml:space="preserve">’, </w:t>
      </w:r>
      <w:r w:rsidRPr="001700F8">
        <w:rPr>
          <w:i/>
        </w:rPr>
        <w:t>Journal of Business Venturing</w:t>
      </w:r>
      <w:r>
        <w:t>,</w:t>
      </w:r>
      <w:r w:rsidRPr="001700F8">
        <w:t xml:space="preserve"> 15(2</w:t>
      </w:r>
      <w:r>
        <w:t xml:space="preserve">), pp. </w:t>
      </w:r>
      <w:r w:rsidRPr="001700F8">
        <w:t>175-210</w:t>
      </w:r>
      <w:r>
        <w:t xml:space="preserve">. </w:t>
      </w:r>
    </w:p>
    <w:p w14:paraId="32BDAC5A" w14:textId="77777777" w:rsidR="001700F8" w:rsidRDefault="001700F8"/>
    <w:p w14:paraId="3189C340" w14:textId="77777777" w:rsidR="0040368A" w:rsidRDefault="0040368A">
      <w:proofErr w:type="spellStart"/>
      <w:r w:rsidRPr="0040368A">
        <w:t>Dyduch</w:t>
      </w:r>
      <w:proofErr w:type="spellEnd"/>
      <w:r>
        <w:t>, W., Chudziński, P., Cyfert, S., and Zastempowski, M.</w:t>
      </w:r>
      <w:r w:rsidRPr="0040368A">
        <w:t xml:space="preserve"> </w:t>
      </w:r>
      <w:r>
        <w:t>(2021) ‘</w:t>
      </w:r>
      <w:r w:rsidRPr="0040368A">
        <w:t>Dynamic capabilities, value creation and value capture: Evidence from SMEs under Covid-19 lockdown in Poland</w:t>
      </w:r>
      <w:r>
        <w:t xml:space="preserve">’, </w:t>
      </w:r>
      <w:proofErr w:type="spellStart"/>
      <w:r w:rsidRPr="0040368A">
        <w:rPr>
          <w:i/>
        </w:rPr>
        <w:t>Plos</w:t>
      </w:r>
      <w:proofErr w:type="spellEnd"/>
      <w:r w:rsidRPr="0040368A">
        <w:rPr>
          <w:i/>
        </w:rPr>
        <w:t xml:space="preserve"> One</w:t>
      </w:r>
      <w:r>
        <w:t xml:space="preserve">, 16(6), pp. 1-28. </w:t>
      </w:r>
      <w:hyperlink r:id="rId9" w:history="1">
        <w:r w:rsidRPr="005824DE">
          <w:rPr>
            <w:rStyle w:val="Hyperlink"/>
          </w:rPr>
          <w:t>https://doi.org/10.1371/journal.pone.0252423</w:t>
        </w:r>
      </w:hyperlink>
    </w:p>
    <w:p w14:paraId="0D143DD4" w14:textId="77777777" w:rsidR="0040368A" w:rsidRDefault="0040368A"/>
    <w:p w14:paraId="5C949DBE" w14:textId="77777777" w:rsidR="004B338F" w:rsidRDefault="004B338F">
      <w:r>
        <w:t>Farida, I., and Setiawan, D. (2022) ‘</w:t>
      </w:r>
      <w:r w:rsidRPr="004B338F">
        <w:t>Business Strategies and Competitive Advantage: The Role of Performance and Innovation</w:t>
      </w:r>
      <w:r>
        <w:t xml:space="preserve">’, </w:t>
      </w:r>
      <w:r w:rsidRPr="004B338F">
        <w:rPr>
          <w:i/>
        </w:rPr>
        <w:t>Journal of Open Innovation Technology Market and Complexity</w:t>
      </w:r>
      <w:r>
        <w:t>,</w:t>
      </w:r>
      <w:r w:rsidRPr="004B338F">
        <w:t xml:space="preserve"> 8(163</w:t>
      </w:r>
      <w:r>
        <w:t xml:space="preserve">), pp. 1-16. </w:t>
      </w:r>
      <w:hyperlink r:id="rId10" w:history="1">
        <w:r w:rsidRPr="005824DE">
          <w:rPr>
            <w:rStyle w:val="Hyperlink"/>
          </w:rPr>
          <w:t>https://doi.org/10.3390/joitmc8030163</w:t>
        </w:r>
      </w:hyperlink>
    </w:p>
    <w:p w14:paraId="4C7476E9" w14:textId="77777777" w:rsidR="004B338F" w:rsidRDefault="004B338F"/>
    <w:p w14:paraId="2B02B046" w14:textId="77777777" w:rsidR="00075CE8" w:rsidRDefault="00075CE8">
      <w:r>
        <w:t xml:space="preserve">Flaig, A., </w:t>
      </w:r>
      <w:proofErr w:type="spellStart"/>
      <w:r>
        <w:t>Kindstrom</w:t>
      </w:r>
      <w:proofErr w:type="spellEnd"/>
      <w:r>
        <w:t>, D., and Ottosson, M. (2021) ‘</w:t>
      </w:r>
      <w:r w:rsidRPr="00075CE8">
        <w:t>Market-shaping strategies: A conceptual framework for generating market outcomes</w:t>
      </w:r>
      <w:r>
        <w:t xml:space="preserve">’, </w:t>
      </w:r>
      <w:r w:rsidRPr="00075CE8">
        <w:rPr>
          <w:i/>
        </w:rPr>
        <w:t>Industrial Marketing Management</w:t>
      </w:r>
      <w:r>
        <w:t xml:space="preserve">, 96(1), pp. </w:t>
      </w:r>
      <w:r w:rsidRPr="00075CE8">
        <w:t>254-266</w:t>
      </w:r>
      <w:r>
        <w:t xml:space="preserve">. </w:t>
      </w:r>
      <w:hyperlink r:id="rId11" w:history="1">
        <w:r w:rsidRPr="005824DE">
          <w:rPr>
            <w:rStyle w:val="Hyperlink"/>
          </w:rPr>
          <w:t>https://doi.org/10.1016/j.indmarman.2021.06.004</w:t>
        </w:r>
      </w:hyperlink>
    </w:p>
    <w:p w14:paraId="213128ED" w14:textId="77777777" w:rsidR="00075CE8" w:rsidRDefault="00075CE8"/>
    <w:p w14:paraId="75FBC81D" w14:textId="77777777" w:rsidR="0001243D" w:rsidRDefault="0001243D">
      <w:r>
        <w:t>Gini, K. B., and Agala, H. O. (2023) ‘</w:t>
      </w:r>
      <w:r w:rsidRPr="0001243D">
        <w:t>The Impact of Macro-Environmental Factors on Business Performance</w:t>
      </w:r>
      <w:r>
        <w:t xml:space="preserve">’, </w:t>
      </w:r>
      <w:r w:rsidRPr="0001243D">
        <w:rPr>
          <w:i/>
        </w:rPr>
        <w:t>International Journal of Research and Innovation in Social Science</w:t>
      </w:r>
      <w:r>
        <w:t xml:space="preserve">, 7(11), pp. </w:t>
      </w:r>
      <w:r w:rsidRPr="0001243D">
        <w:t>1837-1843</w:t>
      </w:r>
      <w:r>
        <w:t xml:space="preserve">. </w:t>
      </w:r>
      <w:hyperlink r:id="rId12" w:history="1">
        <w:r w:rsidRPr="005824DE">
          <w:rPr>
            <w:rStyle w:val="Hyperlink"/>
          </w:rPr>
          <w:t>https://doi.org/10.47772/IJRISS.2023.7011145</w:t>
        </w:r>
      </w:hyperlink>
      <w:r>
        <w:t xml:space="preserve"> </w:t>
      </w:r>
    </w:p>
    <w:p w14:paraId="5738ED54" w14:textId="77777777" w:rsidR="0024329A" w:rsidRDefault="0024329A"/>
    <w:p w14:paraId="3DF5A5D4" w14:textId="77777777" w:rsidR="00075CE8" w:rsidRDefault="00075CE8" w:rsidP="00075CE8">
      <w:r>
        <w:t xml:space="preserve">Hooley, G., Piercy, N. F., Nicoulaud, B., and Rudd, J. M. (2024) </w:t>
      </w:r>
      <w:r w:rsidRPr="00075CE8">
        <w:rPr>
          <w:i/>
        </w:rPr>
        <w:t xml:space="preserve">Marketing Strategy &amp; Competitive Positioning. </w:t>
      </w:r>
      <w:r>
        <w:t xml:space="preserve">Pearson. </w:t>
      </w:r>
    </w:p>
    <w:p w14:paraId="13E78897" w14:textId="77777777" w:rsidR="00075CE8" w:rsidRDefault="00075CE8" w:rsidP="00075CE8"/>
    <w:p w14:paraId="346FC2C7" w14:textId="77777777" w:rsidR="00D24B65" w:rsidRDefault="00D24B65" w:rsidP="00075CE8">
      <w:proofErr w:type="spellStart"/>
      <w:r w:rsidRPr="00D24B65">
        <w:t>Kalicanin</w:t>
      </w:r>
      <w:proofErr w:type="spellEnd"/>
      <w:r>
        <w:t>, D. (2008) ‘</w:t>
      </w:r>
      <w:r w:rsidRPr="00D24B65">
        <w:t>A question of strategy: To be a pioneer or a follower?</w:t>
      </w:r>
      <w:r>
        <w:t xml:space="preserve">’, </w:t>
      </w:r>
      <w:r w:rsidRPr="00D24B65">
        <w:rPr>
          <w:i/>
        </w:rPr>
        <w:t>Economic Annals</w:t>
      </w:r>
      <w:r>
        <w:t xml:space="preserve">, 53(177), pp. </w:t>
      </w:r>
      <w:r w:rsidRPr="00D24B65">
        <w:t>89-102</w:t>
      </w:r>
      <w:r>
        <w:t xml:space="preserve">. </w:t>
      </w:r>
      <w:hyperlink r:id="rId13" w:history="1">
        <w:r w:rsidRPr="005824DE">
          <w:rPr>
            <w:rStyle w:val="Hyperlink"/>
          </w:rPr>
          <w:t>https://doi.org/10.2298/EKA0877089K</w:t>
        </w:r>
      </w:hyperlink>
    </w:p>
    <w:p w14:paraId="3E900F6E" w14:textId="77777777" w:rsidR="00D24B65" w:rsidRDefault="00D24B65" w:rsidP="00075CE8"/>
    <w:p w14:paraId="37ACBF36" w14:textId="77777777" w:rsidR="001700F8" w:rsidRDefault="001700F8">
      <w:pPr>
        <w:rPr>
          <w:rStyle w:val="Hyperlink"/>
        </w:rPr>
      </w:pPr>
      <w:proofErr w:type="spellStart"/>
      <w:r>
        <w:t>Kavout</w:t>
      </w:r>
      <w:proofErr w:type="spellEnd"/>
      <w:r>
        <w:t xml:space="preserve">. (2024). </w:t>
      </w:r>
      <w:r w:rsidRPr="001700F8">
        <w:rPr>
          <w:i/>
        </w:rPr>
        <w:t>BYD vs. Tesla: A Comprehensive Financial Analysis and Investment Outlook.</w:t>
      </w:r>
      <w:r>
        <w:t xml:space="preserve"> </w:t>
      </w:r>
      <w:r w:rsidR="00781497">
        <w:t xml:space="preserve">Available at: </w:t>
      </w:r>
      <w:hyperlink r:id="rId14" w:history="1">
        <w:r w:rsidRPr="004B14B7">
          <w:rPr>
            <w:rStyle w:val="Hyperlink"/>
          </w:rPr>
          <w:t>https://www.kavout.com/market-lens/byd-vs-tesla-a-comprehensive-financial-analysis-and-investment-outlook</w:t>
        </w:r>
      </w:hyperlink>
      <w:r w:rsidR="00781497">
        <w:rPr>
          <w:rStyle w:val="Hyperlink"/>
        </w:rPr>
        <w:t xml:space="preserve"> </w:t>
      </w:r>
      <w:r w:rsidR="00781497">
        <w:t>(Accessed: 26 March 2026).</w:t>
      </w:r>
    </w:p>
    <w:p w14:paraId="793042B2" w14:textId="77777777" w:rsidR="00A24873" w:rsidRDefault="00A24873">
      <w:pPr>
        <w:rPr>
          <w:rStyle w:val="Hyperlink"/>
        </w:rPr>
      </w:pPr>
    </w:p>
    <w:p w14:paraId="4B7B9CD3" w14:textId="77777777" w:rsidR="00A24873" w:rsidRDefault="00A24873">
      <w:proofErr w:type="spellStart"/>
      <w:r w:rsidRPr="00A24873">
        <w:t>Kordestani</w:t>
      </w:r>
      <w:proofErr w:type="spellEnd"/>
      <w:r>
        <w:t>, S.,</w:t>
      </w:r>
      <w:r w:rsidRPr="00A24873">
        <w:t xml:space="preserve"> </w:t>
      </w:r>
      <w:r>
        <w:t>and Heydari, A. (2022) ‘</w:t>
      </w:r>
      <w:r w:rsidRPr="00A24873">
        <w:t>Investigating the impact of brand equity on the competitive intelligence of knowledge-based companies</w:t>
      </w:r>
      <w:r>
        <w:t xml:space="preserve">’, </w:t>
      </w:r>
      <w:r w:rsidRPr="00A24873">
        <w:rPr>
          <w:i/>
        </w:rPr>
        <w:t>International Journal of Innovation in Management and Organisational Behaviour,</w:t>
      </w:r>
      <w:r>
        <w:t xml:space="preserve"> 2(1), pp. 37-50. </w:t>
      </w:r>
      <w:hyperlink r:id="rId15" w:history="1">
        <w:r w:rsidRPr="005824DE">
          <w:rPr>
            <w:rStyle w:val="Hyperlink"/>
          </w:rPr>
          <w:t>https://doi.org/10.61838/kman.ijimob.2.1.4</w:t>
        </w:r>
      </w:hyperlink>
      <w:r>
        <w:t xml:space="preserve">  </w:t>
      </w:r>
    </w:p>
    <w:p w14:paraId="603C35B9" w14:textId="77777777" w:rsidR="001700F8" w:rsidRDefault="001700F8"/>
    <w:p w14:paraId="00E5E9B4" w14:textId="77777777" w:rsidR="001700F8" w:rsidRDefault="001700F8">
      <w:r>
        <w:t>Li, H. (2024) ‘</w:t>
      </w:r>
      <w:r w:rsidRPr="001700F8">
        <w:t xml:space="preserve">Analysis of The Marketing Strategies of China’s </w:t>
      </w:r>
      <w:r>
        <w:t>BYD</w:t>
      </w:r>
      <w:r w:rsidRPr="001700F8">
        <w:t xml:space="preserve"> New Energy Vehicles in the Thai Market</w:t>
      </w:r>
      <w:r>
        <w:t xml:space="preserve">’, </w:t>
      </w:r>
      <w:r w:rsidRPr="001700F8">
        <w:rPr>
          <w:i/>
        </w:rPr>
        <w:t>Journal of Trends in Applied Science and Advanced Technologies</w:t>
      </w:r>
      <w:r>
        <w:t>,</w:t>
      </w:r>
      <w:r w:rsidRPr="001700F8">
        <w:t xml:space="preserve"> 1(1)</w:t>
      </w:r>
      <w:r>
        <w:t xml:space="preserve">, pp. </w:t>
      </w:r>
      <w:r w:rsidRPr="001700F8">
        <w:t>39-48</w:t>
      </w:r>
      <w:r>
        <w:t xml:space="preserve">. </w:t>
      </w:r>
      <w:hyperlink r:id="rId16" w:history="1">
        <w:r w:rsidRPr="005824DE">
          <w:rPr>
            <w:rStyle w:val="Hyperlink"/>
          </w:rPr>
          <w:t>https://doi.org/10.61784/asat3012</w:t>
        </w:r>
      </w:hyperlink>
    </w:p>
    <w:p w14:paraId="0F435CA9" w14:textId="77777777" w:rsidR="001700F8" w:rsidRDefault="001700F8"/>
    <w:p w14:paraId="264670B3" w14:textId="77777777" w:rsidR="00A24873" w:rsidRDefault="00A24873">
      <w:r w:rsidRPr="00A24873">
        <w:t>Lieberman</w:t>
      </w:r>
      <w:r>
        <w:t>, M. B.</w:t>
      </w:r>
      <w:r w:rsidRPr="00A24873">
        <w:t xml:space="preserve"> </w:t>
      </w:r>
      <w:r>
        <w:t xml:space="preserve">(2016) </w:t>
      </w:r>
      <w:r w:rsidRPr="00A24873">
        <w:t>First-Mover Advantage</w:t>
      </w:r>
      <w:r>
        <w:t xml:space="preserve">, in book: </w:t>
      </w:r>
      <w:r w:rsidRPr="00A24873">
        <w:rPr>
          <w:i/>
        </w:rPr>
        <w:t>The Palgrave Encyclopaedia of Strategic Management</w:t>
      </w:r>
      <w:r>
        <w:t xml:space="preserve">. Palgrave. </w:t>
      </w:r>
    </w:p>
    <w:p w14:paraId="775E55EF" w14:textId="77777777" w:rsidR="00A24873" w:rsidRDefault="00A24873"/>
    <w:p w14:paraId="79139E48" w14:textId="77777777" w:rsidR="00D24B65" w:rsidRDefault="00D24B65">
      <w:r>
        <w:lastRenderedPageBreak/>
        <w:t>Mason, K. J., and Harris, L. C. (2005) ‘</w:t>
      </w:r>
      <w:r w:rsidRPr="00D24B65">
        <w:t>Pitfalls in Evaluating Market Orientation: An Exploration of Executives' Interpretations</w:t>
      </w:r>
      <w:r>
        <w:t xml:space="preserve">’, </w:t>
      </w:r>
      <w:r w:rsidRPr="00D24B65">
        <w:rPr>
          <w:i/>
        </w:rPr>
        <w:t>Long Range Planning</w:t>
      </w:r>
      <w:r>
        <w:t xml:space="preserve">, 38(4), pp. </w:t>
      </w:r>
      <w:r w:rsidRPr="00D24B65">
        <w:t>373-391</w:t>
      </w:r>
      <w:r>
        <w:t xml:space="preserve">. </w:t>
      </w:r>
      <w:hyperlink r:id="rId17" w:history="1">
        <w:r w:rsidRPr="005824DE">
          <w:rPr>
            <w:rStyle w:val="Hyperlink"/>
          </w:rPr>
          <w:t>https://doi.org/10.1016/j.lrp.2005.04.007</w:t>
        </w:r>
      </w:hyperlink>
    </w:p>
    <w:p w14:paraId="00AC1A55" w14:textId="77777777" w:rsidR="00D24B65" w:rsidRDefault="00D24B65"/>
    <w:p w14:paraId="657AF130" w14:textId="77777777" w:rsidR="0024329A" w:rsidRDefault="0024329A">
      <w:r>
        <w:t>Min, S., Kalwani, M. U., and Robinson, W. T. (2006) ‘</w:t>
      </w:r>
      <w:r w:rsidRPr="0024329A">
        <w:t>Market Pioneer and Early Follower Survival Risks: A Contingency Analysis of Really New versus Incrementally New Product-Markets</w:t>
      </w:r>
      <w:r>
        <w:t xml:space="preserve">’, </w:t>
      </w:r>
      <w:r w:rsidRPr="0024329A">
        <w:rPr>
          <w:i/>
        </w:rPr>
        <w:t>Journal of Marketing</w:t>
      </w:r>
      <w:r>
        <w:t xml:space="preserve">, 70(1), pp. </w:t>
      </w:r>
      <w:r w:rsidR="001700F8">
        <w:t>15-33</w:t>
      </w:r>
      <w:r>
        <w:t>.</w:t>
      </w:r>
      <w:r w:rsidRPr="0024329A">
        <w:t xml:space="preserve"> </w:t>
      </w:r>
      <w:hyperlink r:id="rId18" w:history="1">
        <w:r w:rsidRPr="005824DE">
          <w:rPr>
            <w:rStyle w:val="Hyperlink"/>
          </w:rPr>
          <w:t>https://doi.org/10.1509/jmkg.70.1.015.qxd</w:t>
        </w:r>
      </w:hyperlink>
    </w:p>
    <w:p w14:paraId="3883B520" w14:textId="77777777" w:rsidR="0024329A" w:rsidRDefault="0024329A">
      <w:r>
        <w:t xml:space="preserve"> </w:t>
      </w:r>
    </w:p>
    <w:p w14:paraId="2FC86724" w14:textId="77777777" w:rsidR="00075CE8" w:rsidRDefault="00075CE8">
      <w:r>
        <w:t xml:space="preserve">Morgan, B. (2020) </w:t>
      </w:r>
      <w:r w:rsidRPr="00075CE8">
        <w:rPr>
          <w:i/>
        </w:rPr>
        <w:t>Customer Journeys Are Becoming Increasingly Complex</w:t>
      </w:r>
      <w:r>
        <w:t xml:space="preserve">. </w:t>
      </w:r>
      <w:r w:rsidR="00781497">
        <w:t xml:space="preserve">Available at: </w:t>
      </w:r>
      <w:hyperlink r:id="rId19" w:history="1">
        <w:r w:rsidRPr="005824DE">
          <w:rPr>
            <w:rStyle w:val="Hyperlink"/>
          </w:rPr>
          <w:t>https://www.forbes.com/sites/blakemorgan/2020/08/31/customer-journeys-are-becoming-increasingly-complex/</w:t>
        </w:r>
      </w:hyperlink>
      <w:r w:rsidR="00781497">
        <w:t xml:space="preserve"> (Accessed: 26 March 2026).</w:t>
      </w:r>
    </w:p>
    <w:p w14:paraId="362993BD" w14:textId="77777777" w:rsidR="00075CE8" w:rsidRDefault="00075CE8"/>
    <w:p w14:paraId="74159452" w14:textId="77777777" w:rsidR="00E05F14" w:rsidRDefault="00E05F14">
      <w:r>
        <w:t xml:space="preserve">Morningstar. (2025a) </w:t>
      </w:r>
      <w:r w:rsidRPr="00E05F14">
        <w:rPr>
          <w:i/>
        </w:rPr>
        <w:t>SAIC Motor Corp Ltd Class A 600104</w:t>
      </w:r>
      <w:r>
        <w:t xml:space="preserve">. </w:t>
      </w:r>
      <w:r w:rsidR="00781497">
        <w:t xml:space="preserve">Available at: </w:t>
      </w:r>
      <w:hyperlink r:id="rId20" w:history="1">
        <w:r w:rsidRPr="005824DE">
          <w:rPr>
            <w:rStyle w:val="Hyperlink"/>
          </w:rPr>
          <w:t>https://www.morningstar.com/stocks/xshg/600104/key-metrics</w:t>
        </w:r>
      </w:hyperlink>
      <w:r w:rsidR="00781497">
        <w:t xml:space="preserve"> (Accessed: 26 March 2026).</w:t>
      </w:r>
    </w:p>
    <w:p w14:paraId="7AE805BF" w14:textId="77777777" w:rsidR="00E05F14" w:rsidRDefault="00E05F14"/>
    <w:p w14:paraId="3231693F" w14:textId="77777777" w:rsidR="00E05F14" w:rsidRDefault="00E05F14">
      <w:r>
        <w:t xml:space="preserve">Morningstar. (2025b) </w:t>
      </w:r>
      <w:r w:rsidRPr="00E05F14">
        <w:rPr>
          <w:i/>
        </w:rPr>
        <w:t>BYD Co Ltd Class H 01211</w:t>
      </w:r>
      <w:r>
        <w:t xml:space="preserve">. </w:t>
      </w:r>
      <w:r w:rsidR="00781497">
        <w:t xml:space="preserve">Available at: </w:t>
      </w:r>
      <w:hyperlink r:id="rId21" w:history="1">
        <w:r w:rsidRPr="005824DE">
          <w:rPr>
            <w:rStyle w:val="Hyperlink"/>
          </w:rPr>
          <w:t>https://www.morningstar.com/stocks/xhkg/01211/key-metrics</w:t>
        </w:r>
      </w:hyperlink>
      <w:r w:rsidR="00781497">
        <w:t xml:space="preserve"> (Accessed: 26 March 2026).</w:t>
      </w:r>
    </w:p>
    <w:p w14:paraId="2C9F6F47" w14:textId="77777777" w:rsidR="00E05F14" w:rsidRDefault="00E05F14"/>
    <w:p w14:paraId="7B7CC504" w14:textId="77777777" w:rsidR="00E05F14" w:rsidRDefault="00E05F14">
      <w:r>
        <w:t xml:space="preserve">Morningstar. (2025c) </w:t>
      </w:r>
      <w:r w:rsidRPr="00E05F14">
        <w:rPr>
          <w:i/>
        </w:rPr>
        <w:t>Tesla Inc TSLA</w:t>
      </w:r>
      <w:r>
        <w:t xml:space="preserve">. </w:t>
      </w:r>
      <w:r w:rsidR="00781497">
        <w:t xml:space="preserve">Available at: </w:t>
      </w:r>
      <w:hyperlink r:id="rId22" w:history="1">
        <w:r w:rsidRPr="005824DE">
          <w:rPr>
            <w:rStyle w:val="Hyperlink"/>
          </w:rPr>
          <w:t>https://www.morningstar.com/stocks/xwbo/tsla/key-metrics</w:t>
        </w:r>
      </w:hyperlink>
      <w:r w:rsidR="00781497">
        <w:t xml:space="preserve"> (Accessed: 26 March 2026).</w:t>
      </w:r>
    </w:p>
    <w:p w14:paraId="7C9F1C91" w14:textId="77777777" w:rsidR="00E05F14" w:rsidRDefault="00E05F14"/>
    <w:p w14:paraId="7F17D916" w14:textId="77777777" w:rsidR="00E05F14" w:rsidRDefault="00E05F14">
      <w:r>
        <w:t xml:space="preserve">Morningstar. (2025d) </w:t>
      </w:r>
      <w:r w:rsidRPr="00E05F14">
        <w:rPr>
          <w:i/>
        </w:rPr>
        <w:t>Geely Automobile Holdings Ltd 00175</w:t>
      </w:r>
      <w:r>
        <w:t xml:space="preserve">. </w:t>
      </w:r>
      <w:r w:rsidR="00781497">
        <w:t xml:space="preserve">Available at: </w:t>
      </w:r>
      <w:hyperlink r:id="rId23" w:history="1">
        <w:r w:rsidRPr="005824DE">
          <w:rPr>
            <w:rStyle w:val="Hyperlink"/>
          </w:rPr>
          <w:t>https://www.morningstar.com/stocks/xhkg/00175/key-metrics</w:t>
        </w:r>
      </w:hyperlink>
      <w:r w:rsidR="00781497">
        <w:t xml:space="preserve"> (Accessed: 26 March 2026).</w:t>
      </w:r>
    </w:p>
    <w:p w14:paraId="50F02F48" w14:textId="77777777" w:rsidR="00E05F14" w:rsidRDefault="00E05F14"/>
    <w:p w14:paraId="2952B499" w14:textId="77777777" w:rsidR="00D24B65" w:rsidRDefault="00D24B65">
      <w:r>
        <w:t xml:space="preserve">NIO. (2021) </w:t>
      </w:r>
      <w:r w:rsidRPr="00D24B65">
        <w:rPr>
          <w:i/>
        </w:rPr>
        <w:t>The Current State of EV Battery Swapping</w:t>
      </w:r>
      <w:r>
        <w:t xml:space="preserve">. </w:t>
      </w:r>
      <w:r w:rsidR="00781497">
        <w:t xml:space="preserve">Available at: </w:t>
      </w:r>
      <w:hyperlink r:id="rId24" w:history="1">
        <w:r w:rsidRPr="005824DE">
          <w:rPr>
            <w:rStyle w:val="Hyperlink"/>
          </w:rPr>
          <w:t>https://www.nio.com/blog/current-state-ev-battery-swapping</w:t>
        </w:r>
      </w:hyperlink>
      <w:r w:rsidR="00781497">
        <w:t xml:space="preserve"> (Accessed: 26 March 2026).</w:t>
      </w:r>
    </w:p>
    <w:p w14:paraId="64E72A72" w14:textId="77777777" w:rsidR="00D24B65" w:rsidRDefault="00D24B65"/>
    <w:p w14:paraId="13544197" w14:textId="77777777" w:rsidR="0024329A" w:rsidRDefault="0024329A">
      <w:proofErr w:type="spellStart"/>
      <w:r>
        <w:lastRenderedPageBreak/>
        <w:t>Noppers</w:t>
      </w:r>
      <w:proofErr w:type="spellEnd"/>
      <w:r>
        <w:t xml:space="preserve">, E. H., Keizer, K., </w:t>
      </w:r>
      <w:proofErr w:type="spellStart"/>
      <w:r>
        <w:t>Bockarjava</w:t>
      </w:r>
      <w:proofErr w:type="spellEnd"/>
      <w:r>
        <w:t>, M., and Steg, L. (2015) ‘</w:t>
      </w:r>
      <w:r w:rsidRPr="0024329A">
        <w:t>The adoption of sustainable innovations: The role of instrumental, environmental, and symbolic attributes for earlier and later adopters</w:t>
      </w:r>
      <w:r>
        <w:t xml:space="preserve">’, </w:t>
      </w:r>
      <w:r w:rsidRPr="0024329A">
        <w:rPr>
          <w:i/>
        </w:rPr>
        <w:t>Journal of Environmental Psychology</w:t>
      </w:r>
      <w:r>
        <w:t xml:space="preserve">, 44, pp. 74-84. </w:t>
      </w:r>
      <w:hyperlink r:id="rId25" w:history="1">
        <w:r w:rsidRPr="005824DE">
          <w:rPr>
            <w:rStyle w:val="Hyperlink"/>
          </w:rPr>
          <w:t>https://doi.org/10.1016/j.jenvp.2015.09.002</w:t>
        </w:r>
      </w:hyperlink>
    </w:p>
    <w:p w14:paraId="22650018" w14:textId="77777777" w:rsidR="0024329A" w:rsidRDefault="0024329A"/>
    <w:p w14:paraId="17C16214" w14:textId="77777777" w:rsidR="001700F8" w:rsidRDefault="001700F8">
      <w:r>
        <w:t>Phong, L., Nga, T. H., Hanh, N. T., and Minh, N. V. (2020) ‘</w:t>
      </w:r>
      <w:r w:rsidRPr="001700F8">
        <w:t>Relationship between brand association and customer loyalty: The case of online retail industry</w:t>
      </w:r>
      <w:r>
        <w:t xml:space="preserve">’, </w:t>
      </w:r>
      <w:r w:rsidRPr="001700F8">
        <w:rPr>
          <w:i/>
        </w:rPr>
        <w:t>Management Science Letters</w:t>
      </w:r>
      <w:r>
        <w:t xml:space="preserve">, 10, pp. </w:t>
      </w:r>
      <w:r w:rsidRPr="001700F8">
        <w:t>1543–1552</w:t>
      </w:r>
      <w:r>
        <w:t xml:space="preserve">. </w:t>
      </w:r>
      <w:hyperlink r:id="rId26" w:history="1">
        <w:r w:rsidRPr="005824DE">
          <w:rPr>
            <w:rStyle w:val="Hyperlink"/>
          </w:rPr>
          <w:t>https://doi.org/10.5267/j.msl.2019.12.012</w:t>
        </w:r>
      </w:hyperlink>
    </w:p>
    <w:p w14:paraId="70DC4612" w14:textId="77777777" w:rsidR="001700F8" w:rsidRDefault="001700F8"/>
    <w:p w14:paraId="4D791234" w14:textId="77777777" w:rsidR="004B338F" w:rsidRDefault="004B338F">
      <w:r>
        <w:t xml:space="preserve">SAIC. (2025) </w:t>
      </w:r>
      <w:r w:rsidRPr="004B338F">
        <w:rPr>
          <w:i/>
        </w:rPr>
        <w:t>SAIC Motor Revs Up "</w:t>
      </w:r>
      <w:proofErr w:type="spellStart"/>
      <w:r w:rsidRPr="004B338F">
        <w:rPr>
          <w:i/>
        </w:rPr>
        <w:t>Glocal</w:t>
      </w:r>
      <w:proofErr w:type="spellEnd"/>
      <w:r w:rsidRPr="004B338F">
        <w:rPr>
          <w:i/>
        </w:rPr>
        <w:t xml:space="preserve"> 3.0" Strategy: Think Global, Act Local</w:t>
      </w:r>
      <w:r>
        <w:t xml:space="preserve">. </w:t>
      </w:r>
      <w:r w:rsidR="00781497">
        <w:t xml:space="preserve">Available at: </w:t>
      </w:r>
      <w:hyperlink r:id="rId27" w:history="1">
        <w:r w:rsidRPr="005824DE">
          <w:rPr>
            <w:rStyle w:val="Hyperlink"/>
          </w:rPr>
          <w:t>https://www.saicmotor.com/english/latest_news/saic_motor/61621.shtml</w:t>
        </w:r>
      </w:hyperlink>
      <w:r w:rsidR="00781497">
        <w:t xml:space="preserve"> (Accessed: 26 March 2026).</w:t>
      </w:r>
    </w:p>
    <w:p w14:paraId="38BC43DC" w14:textId="77777777" w:rsidR="004B338F" w:rsidRDefault="004B338F"/>
    <w:p w14:paraId="29842923" w14:textId="77777777" w:rsidR="0024329A" w:rsidRDefault="0024329A">
      <w:proofErr w:type="spellStart"/>
      <w:r>
        <w:t>Suntsova</w:t>
      </w:r>
      <w:proofErr w:type="spellEnd"/>
      <w:r>
        <w:t>, O. O. (2024) ‘</w:t>
      </w:r>
      <w:r w:rsidRPr="0024329A">
        <w:t>The Impact of "First-Mover Advantage" On Global Market Structure and Dynamics</w:t>
      </w:r>
      <w:r>
        <w:t xml:space="preserve">’, </w:t>
      </w:r>
      <w:r w:rsidRPr="0024329A">
        <w:rPr>
          <w:i/>
        </w:rPr>
        <w:t>Intellect</w:t>
      </w:r>
      <w:r>
        <w:t xml:space="preserve">, 21(3), pp. 34-43. </w:t>
      </w:r>
      <w:hyperlink r:id="rId28" w:history="1">
        <w:r w:rsidRPr="005824DE">
          <w:rPr>
            <w:rStyle w:val="Hyperlink"/>
          </w:rPr>
          <w:t>https://doi.org/10.32782/2415-8801/2024-3.5</w:t>
        </w:r>
      </w:hyperlink>
      <w:r>
        <w:t xml:space="preserve"> </w:t>
      </w:r>
    </w:p>
    <w:p w14:paraId="4E2AF1DD" w14:textId="77777777" w:rsidR="0024329A" w:rsidRDefault="0024329A"/>
    <w:p w14:paraId="608D966E" w14:textId="77777777" w:rsidR="001700F8" w:rsidRDefault="001700F8">
      <w:r>
        <w:t xml:space="preserve">Tellis, G. J., and Golder, P. N. (1996) </w:t>
      </w:r>
      <w:r w:rsidRPr="00781497">
        <w:rPr>
          <w:i/>
        </w:rPr>
        <w:t xml:space="preserve">First to Market, First to Fail? Real Causes of Enduring Market Leadership. </w:t>
      </w:r>
      <w:r w:rsidR="00781497">
        <w:t xml:space="preserve">Available at: </w:t>
      </w:r>
      <w:hyperlink r:id="rId29" w:anchor=":~:text=Defining%20Pioneers%20and%20Categories,market%20segment%20it%20currently%20dominates" w:history="1">
        <w:r w:rsidRPr="005824DE">
          <w:rPr>
            <w:rStyle w:val="Hyperlink"/>
          </w:rPr>
          <w:t>https://sloanreview.mit.edu/article/first-to-market-first-to-fail-real-causes-of-enduring-market-leadership/#:~:text=Defining%20Pioneers%20and%20Categories,market%20segment%20it%20currently%20dominates</w:t>
        </w:r>
      </w:hyperlink>
      <w:r w:rsidR="00781497">
        <w:t xml:space="preserve"> (Accessed: 26 March 2026).</w:t>
      </w:r>
    </w:p>
    <w:p w14:paraId="32D0F06C" w14:textId="77777777" w:rsidR="001700F8" w:rsidRDefault="001700F8"/>
    <w:p w14:paraId="14A43FBF" w14:textId="77777777" w:rsidR="00966DB1" w:rsidRDefault="00966DB1">
      <w:r>
        <w:t xml:space="preserve">The Business Times. (2026) </w:t>
      </w:r>
      <w:r w:rsidRPr="00966DB1">
        <w:rPr>
          <w:i/>
        </w:rPr>
        <w:t>Beijing warns carmakers as price war escalates</w:t>
      </w:r>
      <w:r>
        <w:t xml:space="preserve">. </w:t>
      </w:r>
      <w:r w:rsidR="00781497">
        <w:t xml:space="preserve">Available at: </w:t>
      </w:r>
      <w:hyperlink r:id="rId30" w:history="1">
        <w:r w:rsidRPr="005824DE">
          <w:rPr>
            <w:rStyle w:val="Hyperlink"/>
          </w:rPr>
          <w:t>https://www.businesstimes.com.sg/companies-markets/transport-logistics/beijing-warns-carmakers-price-war-escalates</w:t>
        </w:r>
      </w:hyperlink>
      <w:r w:rsidR="00781497">
        <w:t xml:space="preserve"> (Accessed: 26 March 2026).</w:t>
      </w:r>
    </w:p>
    <w:p w14:paraId="7C2E3410" w14:textId="77777777" w:rsidR="00966DB1" w:rsidRDefault="00966DB1"/>
    <w:p w14:paraId="13903410" w14:textId="77777777" w:rsidR="0040368A" w:rsidRDefault="0040368A">
      <w:r>
        <w:t>Villanueva, J. E. G., and Ramirez-Solis, E. R. (2013) ‘</w:t>
      </w:r>
      <w:r w:rsidRPr="0040368A">
        <w:t>Is there a real pioneer's advantage? Lessons learned after almost thirty years of research</w:t>
      </w:r>
      <w:r>
        <w:t xml:space="preserve">’, </w:t>
      </w:r>
      <w:r w:rsidRPr="0040368A">
        <w:rPr>
          <w:i/>
        </w:rPr>
        <w:t>Academy of Strategic Management Journal</w:t>
      </w:r>
      <w:r>
        <w:t xml:space="preserve">, 12(2), pp. </w:t>
      </w:r>
      <w:r w:rsidRPr="0040368A">
        <w:t>31-54</w:t>
      </w:r>
      <w:r>
        <w:t xml:space="preserve">. </w:t>
      </w:r>
    </w:p>
    <w:p w14:paraId="1E2A1305" w14:textId="77777777" w:rsidR="0040368A" w:rsidRDefault="0040368A"/>
    <w:p w14:paraId="4F286C0D" w14:textId="77777777" w:rsidR="0040368A" w:rsidRDefault="0040368A">
      <w:r>
        <w:t xml:space="preserve">Xpeng. (2025) </w:t>
      </w:r>
      <w:r w:rsidRPr="00781497">
        <w:rPr>
          <w:i/>
        </w:rPr>
        <w:t>Leading the Future Of AI Mobility: Xpeng Showcases Its Latest Technology Breakthroughs At IAA Mobility 2025.</w:t>
      </w:r>
      <w:r>
        <w:t xml:space="preserve"> </w:t>
      </w:r>
      <w:r w:rsidR="00781497">
        <w:t xml:space="preserve">Available at: </w:t>
      </w:r>
      <w:hyperlink r:id="rId31" w:history="1">
        <w:r w:rsidRPr="005824DE">
          <w:rPr>
            <w:rStyle w:val="Hyperlink"/>
          </w:rPr>
          <w:t>https://www.xpeng.com/pressroom/news/01992787505898ee96718a028110008c</w:t>
        </w:r>
      </w:hyperlink>
      <w:r w:rsidR="00781497">
        <w:t xml:space="preserve"> (Accessed: 26 March 2026).</w:t>
      </w:r>
    </w:p>
    <w:p w14:paraId="5CC60244" w14:textId="77777777" w:rsidR="0040368A" w:rsidRDefault="0040368A">
      <w:r>
        <w:t xml:space="preserve"> </w:t>
      </w:r>
    </w:p>
    <w:p w14:paraId="3351D8D9" w14:textId="77777777" w:rsidR="0024329A" w:rsidRDefault="0024329A">
      <w:r>
        <w:t>Xu, H., Chen, Y., and Xu, P. (2024) ‘</w:t>
      </w:r>
      <w:r w:rsidRPr="0024329A">
        <w:t>Driving Mechanism of Customer Participation in Service-Oriented Enterprises: A Perspective of Value Co-Creation</w:t>
      </w:r>
      <w:r>
        <w:t xml:space="preserve">’, </w:t>
      </w:r>
      <w:r w:rsidRPr="0024329A">
        <w:rPr>
          <w:i/>
        </w:rPr>
        <w:t>Sustainability</w:t>
      </w:r>
      <w:r>
        <w:t xml:space="preserve">, 16(3310), pp. 1-15. </w:t>
      </w:r>
      <w:hyperlink r:id="rId32" w:history="1">
        <w:r w:rsidRPr="005824DE">
          <w:rPr>
            <w:rStyle w:val="Hyperlink"/>
          </w:rPr>
          <w:t>https://doi.org/10.3390/su16083310</w:t>
        </w:r>
      </w:hyperlink>
      <w:r>
        <w:t xml:space="preserve"> </w:t>
      </w:r>
    </w:p>
    <w:p w14:paraId="65F8D71E" w14:textId="77777777" w:rsidR="00075CE8" w:rsidRDefault="00075CE8"/>
    <w:p w14:paraId="16619562" w14:textId="77777777" w:rsidR="00075CE8" w:rsidRDefault="00075CE8">
      <w:r>
        <w:t>Zhang, J. Z., and Watson, G. F. (2020) ‘</w:t>
      </w:r>
      <w:r w:rsidRPr="00075CE8">
        <w:t>Marketing ecosystem: An outside-in view for sustainable advantage</w:t>
      </w:r>
      <w:r>
        <w:t xml:space="preserve">’, </w:t>
      </w:r>
      <w:r w:rsidRPr="00075CE8">
        <w:rPr>
          <w:i/>
        </w:rPr>
        <w:t>Industrial Marketing Management</w:t>
      </w:r>
      <w:r>
        <w:t xml:space="preserve">, 88, 287-304. </w:t>
      </w:r>
      <w:hyperlink r:id="rId33" w:history="1">
        <w:r w:rsidRPr="005824DE">
          <w:rPr>
            <w:rStyle w:val="Hyperlink"/>
          </w:rPr>
          <w:t>https://doi.org/10.1016/j.indmarman.2020.04.023</w:t>
        </w:r>
      </w:hyperlink>
    </w:p>
    <w:p w14:paraId="38AC9144" w14:textId="77777777" w:rsidR="00075CE8" w:rsidRPr="00ED289A" w:rsidRDefault="00075CE8"/>
    <w:sectPr w:rsidR="00075CE8" w:rsidRPr="00ED28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6731"/>
    <w:rsid w:val="0001243D"/>
    <w:rsid w:val="000164D3"/>
    <w:rsid w:val="00075CE8"/>
    <w:rsid w:val="00084095"/>
    <w:rsid w:val="00097825"/>
    <w:rsid w:val="000C4D55"/>
    <w:rsid w:val="000E0B29"/>
    <w:rsid w:val="00143062"/>
    <w:rsid w:val="001700F8"/>
    <w:rsid w:val="001D75E7"/>
    <w:rsid w:val="0024329A"/>
    <w:rsid w:val="002F587E"/>
    <w:rsid w:val="003553C1"/>
    <w:rsid w:val="003763B2"/>
    <w:rsid w:val="00384DF4"/>
    <w:rsid w:val="003C4E1F"/>
    <w:rsid w:val="003F29E9"/>
    <w:rsid w:val="0040368A"/>
    <w:rsid w:val="00421CA6"/>
    <w:rsid w:val="00463CC7"/>
    <w:rsid w:val="00475BF3"/>
    <w:rsid w:val="004A3032"/>
    <w:rsid w:val="004B338F"/>
    <w:rsid w:val="00505BFD"/>
    <w:rsid w:val="00533BF6"/>
    <w:rsid w:val="006E34A6"/>
    <w:rsid w:val="00720679"/>
    <w:rsid w:val="00781497"/>
    <w:rsid w:val="00896B1A"/>
    <w:rsid w:val="00930ED4"/>
    <w:rsid w:val="009407F0"/>
    <w:rsid w:val="00966DB1"/>
    <w:rsid w:val="00A24873"/>
    <w:rsid w:val="00A86B4B"/>
    <w:rsid w:val="00B2033F"/>
    <w:rsid w:val="00C44213"/>
    <w:rsid w:val="00D246CF"/>
    <w:rsid w:val="00D24B65"/>
    <w:rsid w:val="00D267DA"/>
    <w:rsid w:val="00D35CD7"/>
    <w:rsid w:val="00D466ED"/>
    <w:rsid w:val="00D76731"/>
    <w:rsid w:val="00D82198"/>
    <w:rsid w:val="00DA30B8"/>
    <w:rsid w:val="00E05F14"/>
    <w:rsid w:val="00E149B1"/>
    <w:rsid w:val="00E15B85"/>
    <w:rsid w:val="00E16D04"/>
    <w:rsid w:val="00E5624B"/>
    <w:rsid w:val="00E75893"/>
    <w:rsid w:val="00ED289A"/>
    <w:rsid w:val="00F7622D"/>
    <w:rsid w:val="00FE1F9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43FF8"/>
  <w15:chartTrackingRefBased/>
  <w15:docId w15:val="{2DF51AC8-FFA1-4655-BBFD-9610E0DEB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67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63CC7"/>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463CC7"/>
    <w:pPr>
      <w:keepNext/>
      <w:keepLines/>
      <w:spacing w:before="40" w:after="0" w:line="480" w:lineRule="auto"/>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E05F14"/>
    <w:pPr>
      <w:widowControl w:val="0"/>
      <w:spacing w:after="240"/>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CC7"/>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463CC7"/>
    <w:rPr>
      <w:rFonts w:ascii="Times New Roman" w:eastAsiaTheme="majorEastAsia" w:hAnsi="Times New Roman" w:cstheme="majorBidi"/>
      <w:b/>
      <w:sz w:val="24"/>
      <w:szCs w:val="26"/>
    </w:rPr>
  </w:style>
  <w:style w:type="character" w:customStyle="1" w:styleId="Heading3Char">
    <w:name w:val="Heading 3 Char"/>
    <w:link w:val="Heading3"/>
    <w:uiPriority w:val="9"/>
    <w:rsid w:val="00E05F14"/>
    <w:rPr>
      <w:rFonts w:ascii="Times New Roman" w:hAnsi="Times New Roman"/>
      <w:b/>
      <w:sz w:val="24"/>
      <w:lang w:val="en-GB"/>
    </w:rPr>
  </w:style>
  <w:style w:type="character" w:styleId="Hyperlink">
    <w:name w:val="Hyperlink"/>
    <w:basedOn w:val="DefaultParagraphFont"/>
    <w:uiPriority w:val="99"/>
    <w:unhideWhenUsed/>
    <w:rsid w:val="00D82198"/>
    <w:rPr>
      <w:color w:val="0563C1" w:themeColor="hyperlink"/>
      <w:u w:val="single"/>
    </w:rPr>
  </w:style>
  <w:style w:type="table" w:styleId="TableGrid">
    <w:name w:val="Table Grid"/>
    <w:basedOn w:val="TableNormal"/>
    <w:uiPriority w:val="39"/>
    <w:rsid w:val="00D246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81497"/>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781497"/>
    <w:pPr>
      <w:spacing w:after="100"/>
    </w:pPr>
  </w:style>
  <w:style w:type="paragraph" w:styleId="TOC2">
    <w:name w:val="toc 2"/>
    <w:basedOn w:val="Normal"/>
    <w:next w:val="Normal"/>
    <w:autoRedefine/>
    <w:uiPriority w:val="39"/>
    <w:unhideWhenUsed/>
    <w:rsid w:val="00781497"/>
    <w:pPr>
      <w:spacing w:after="100"/>
      <w:ind w:left="240"/>
    </w:pPr>
  </w:style>
  <w:style w:type="paragraph" w:styleId="TOC3">
    <w:name w:val="toc 3"/>
    <w:basedOn w:val="Normal"/>
    <w:next w:val="Normal"/>
    <w:autoRedefine/>
    <w:uiPriority w:val="39"/>
    <w:unhideWhenUsed/>
    <w:rsid w:val="0078149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66886">
      <w:bodyDiv w:val="1"/>
      <w:marLeft w:val="0"/>
      <w:marRight w:val="0"/>
      <w:marTop w:val="0"/>
      <w:marBottom w:val="0"/>
      <w:divBdr>
        <w:top w:val="none" w:sz="0" w:space="0" w:color="auto"/>
        <w:left w:val="none" w:sz="0" w:space="0" w:color="auto"/>
        <w:bottom w:val="none" w:sz="0" w:space="0" w:color="auto"/>
        <w:right w:val="none" w:sz="0" w:space="0" w:color="auto"/>
      </w:divBdr>
    </w:div>
    <w:div w:id="250047637">
      <w:bodyDiv w:val="1"/>
      <w:marLeft w:val="0"/>
      <w:marRight w:val="0"/>
      <w:marTop w:val="0"/>
      <w:marBottom w:val="0"/>
      <w:divBdr>
        <w:top w:val="none" w:sz="0" w:space="0" w:color="auto"/>
        <w:left w:val="none" w:sz="0" w:space="0" w:color="auto"/>
        <w:bottom w:val="none" w:sz="0" w:space="0" w:color="auto"/>
        <w:right w:val="none" w:sz="0" w:space="0" w:color="auto"/>
      </w:divBdr>
    </w:div>
    <w:div w:id="296188017">
      <w:bodyDiv w:val="1"/>
      <w:marLeft w:val="0"/>
      <w:marRight w:val="0"/>
      <w:marTop w:val="0"/>
      <w:marBottom w:val="0"/>
      <w:divBdr>
        <w:top w:val="none" w:sz="0" w:space="0" w:color="auto"/>
        <w:left w:val="none" w:sz="0" w:space="0" w:color="auto"/>
        <w:bottom w:val="none" w:sz="0" w:space="0" w:color="auto"/>
        <w:right w:val="none" w:sz="0" w:space="0" w:color="auto"/>
      </w:divBdr>
    </w:div>
    <w:div w:id="357857446">
      <w:bodyDiv w:val="1"/>
      <w:marLeft w:val="0"/>
      <w:marRight w:val="0"/>
      <w:marTop w:val="0"/>
      <w:marBottom w:val="0"/>
      <w:divBdr>
        <w:top w:val="none" w:sz="0" w:space="0" w:color="auto"/>
        <w:left w:val="none" w:sz="0" w:space="0" w:color="auto"/>
        <w:bottom w:val="none" w:sz="0" w:space="0" w:color="auto"/>
        <w:right w:val="none" w:sz="0" w:space="0" w:color="auto"/>
      </w:divBdr>
    </w:div>
    <w:div w:id="372968697">
      <w:bodyDiv w:val="1"/>
      <w:marLeft w:val="0"/>
      <w:marRight w:val="0"/>
      <w:marTop w:val="0"/>
      <w:marBottom w:val="0"/>
      <w:divBdr>
        <w:top w:val="none" w:sz="0" w:space="0" w:color="auto"/>
        <w:left w:val="none" w:sz="0" w:space="0" w:color="auto"/>
        <w:bottom w:val="none" w:sz="0" w:space="0" w:color="auto"/>
        <w:right w:val="none" w:sz="0" w:space="0" w:color="auto"/>
      </w:divBdr>
    </w:div>
    <w:div w:id="376897553">
      <w:bodyDiv w:val="1"/>
      <w:marLeft w:val="0"/>
      <w:marRight w:val="0"/>
      <w:marTop w:val="0"/>
      <w:marBottom w:val="0"/>
      <w:divBdr>
        <w:top w:val="none" w:sz="0" w:space="0" w:color="auto"/>
        <w:left w:val="none" w:sz="0" w:space="0" w:color="auto"/>
        <w:bottom w:val="none" w:sz="0" w:space="0" w:color="auto"/>
        <w:right w:val="none" w:sz="0" w:space="0" w:color="auto"/>
      </w:divBdr>
      <w:divsChild>
        <w:div w:id="1113937249">
          <w:marLeft w:val="0"/>
          <w:marRight w:val="0"/>
          <w:marTop w:val="0"/>
          <w:marBottom w:val="0"/>
          <w:divBdr>
            <w:top w:val="none" w:sz="0" w:space="0" w:color="auto"/>
            <w:left w:val="none" w:sz="0" w:space="0" w:color="auto"/>
            <w:bottom w:val="none" w:sz="0" w:space="0" w:color="auto"/>
            <w:right w:val="none" w:sz="0" w:space="0" w:color="auto"/>
          </w:divBdr>
        </w:div>
      </w:divsChild>
    </w:div>
    <w:div w:id="426779458">
      <w:bodyDiv w:val="1"/>
      <w:marLeft w:val="0"/>
      <w:marRight w:val="0"/>
      <w:marTop w:val="0"/>
      <w:marBottom w:val="0"/>
      <w:divBdr>
        <w:top w:val="none" w:sz="0" w:space="0" w:color="auto"/>
        <w:left w:val="none" w:sz="0" w:space="0" w:color="auto"/>
        <w:bottom w:val="none" w:sz="0" w:space="0" w:color="auto"/>
        <w:right w:val="none" w:sz="0" w:space="0" w:color="auto"/>
      </w:divBdr>
    </w:div>
    <w:div w:id="445079691">
      <w:bodyDiv w:val="1"/>
      <w:marLeft w:val="0"/>
      <w:marRight w:val="0"/>
      <w:marTop w:val="0"/>
      <w:marBottom w:val="0"/>
      <w:divBdr>
        <w:top w:val="none" w:sz="0" w:space="0" w:color="auto"/>
        <w:left w:val="none" w:sz="0" w:space="0" w:color="auto"/>
        <w:bottom w:val="none" w:sz="0" w:space="0" w:color="auto"/>
        <w:right w:val="none" w:sz="0" w:space="0" w:color="auto"/>
      </w:divBdr>
      <w:divsChild>
        <w:div w:id="671030895">
          <w:marLeft w:val="0"/>
          <w:marRight w:val="0"/>
          <w:marTop w:val="0"/>
          <w:marBottom w:val="0"/>
          <w:divBdr>
            <w:top w:val="none" w:sz="0" w:space="0" w:color="auto"/>
            <w:left w:val="none" w:sz="0" w:space="0" w:color="auto"/>
            <w:bottom w:val="none" w:sz="0" w:space="0" w:color="auto"/>
            <w:right w:val="none" w:sz="0" w:space="0" w:color="auto"/>
          </w:divBdr>
          <w:divsChild>
            <w:div w:id="461270989">
              <w:marLeft w:val="0"/>
              <w:marRight w:val="0"/>
              <w:marTop w:val="0"/>
              <w:marBottom w:val="0"/>
              <w:divBdr>
                <w:top w:val="none" w:sz="0" w:space="0" w:color="auto"/>
                <w:left w:val="none" w:sz="0" w:space="0" w:color="auto"/>
                <w:bottom w:val="none" w:sz="0" w:space="0" w:color="auto"/>
                <w:right w:val="none" w:sz="0" w:space="0" w:color="auto"/>
              </w:divBdr>
              <w:divsChild>
                <w:div w:id="537621076">
                  <w:marLeft w:val="0"/>
                  <w:marRight w:val="0"/>
                  <w:marTop w:val="0"/>
                  <w:marBottom w:val="0"/>
                  <w:divBdr>
                    <w:top w:val="none" w:sz="0" w:space="0" w:color="auto"/>
                    <w:left w:val="none" w:sz="0" w:space="0" w:color="auto"/>
                    <w:bottom w:val="none" w:sz="0" w:space="0" w:color="auto"/>
                    <w:right w:val="none" w:sz="0" w:space="0" w:color="auto"/>
                  </w:divBdr>
                  <w:divsChild>
                    <w:div w:id="247276500">
                      <w:marLeft w:val="0"/>
                      <w:marRight w:val="0"/>
                      <w:marTop w:val="0"/>
                      <w:marBottom w:val="0"/>
                      <w:divBdr>
                        <w:top w:val="none" w:sz="0" w:space="0" w:color="auto"/>
                        <w:left w:val="none" w:sz="0" w:space="0" w:color="auto"/>
                        <w:bottom w:val="none" w:sz="0" w:space="0" w:color="auto"/>
                        <w:right w:val="none" w:sz="0" w:space="0" w:color="auto"/>
                      </w:divBdr>
                      <w:divsChild>
                        <w:div w:id="200076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0340397">
      <w:bodyDiv w:val="1"/>
      <w:marLeft w:val="0"/>
      <w:marRight w:val="0"/>
      <w:marTop w:val="0"/>
      <w:marBottom w:val="0"/>
      <w:divBdr>
        <w:top w:val="none" w:sz="0" w:space="0" w:color="auto"/>
        <w:left w:val="none" w:sz="0" w:space="0" w:color="auto"/>
        <w:bottom w:val="none" w:sz="0" w:space="0" w:color="auto"/>
        <w:right w:val="none" w:sz="0" w:space="0" w:color="auto"/>
      </w:divBdr>
    </w:div>
    <w:div w:id="510149673">
      <w:bodyDiv w:val="1"/>
      <w:marLeft w:val="0"/>
      <w:marRight w:val="0"/>
      <w:marTop w:val="0"/>
      <w:marBottom w:val="0"/>
      <w:divBdr>
        <w:top w:val="none" w:sz="0" w:space="0" w:color="auto"/>
        <w:left w:val="none" w:sz="0" w:space="0" w:color="auto"/>
        <w:bottom w:val="none" w:sz="0" w:space="0" w:color="auto"/>
        <w:right w:val="none" w:sz="0" w:space="0" w:color="auto"/>
      </w:divBdr>
    </w:div>
    <w:div w:id="554896178">
      <w:bodyDiv w:val="1"/>
      <w:marLeft w:val="0"/>
      <w:marRight w:val="0"/>
      <w:marTop w:val="0"/>
      <w:marBottom w:val="0"/>
      <w:divBdr>
        <w:top w:val="none" w:sz="0" w:space="0" w:color="auto"/>
        <w:left w:val="none" w:sz="0" w:space="0" w:color="auto"/>
        <w:bottom w:val="none" w:sz="0" w:space="0" w:color="auto"/>
        <w:right w:val="none" w:sz="0" w:space="0" w:color="auto"/>
      </w:divBdr>
    </w:div>
    <w:div w:id="567881958">
      <w:bodyDiv w:val="1"/>
      <w:marLeft w:val="0"/>
      <w:marRight w:val="0"/>
      <w:marTop w:val="0"/>
      <w:marBottom w:val="0"/>
      <w:divBdr>
        <w:top w:val="none" w:sz="0" w:space="0" w:color="auto"/>
        <w:left w:val="none" w:sz="0" w:space="0" w:color="auto"/>
        <w:bottom w:val="none" w:sz="0" w:space="0" w:color="auto"/>
        <w:right w:val="none" w:sz="0" w:space="0" w:color="auto"/>
      </w:divBdr>
    </w:div>
    <w:div w:id="640693046">
      <w:bodyDiv w:val="1"/>
      <w:marLeft w:val="0"/>
      <w:marRight w:val="0"/>
      <w:marTop w:val="0"/>
      <w:marBottom w:val="0"/>
      <w:divBdr>
        <w:top w:val="none" w:sz="0" w:space="0" w:color="auto"/>
        <w:left w:val="none" w:sz="0" w:space="0" w:color="auto"/>
        <w:bottom w:val="none" w:sz="0" w:space="0" w:color="auto"/>
        <w:right w:val="none" w:sz="0" w:space="0" w:color="auto"/>
      </w:divBdr>
    </w:div>
    <w:div w:id="655383707">
      <w:bodyDiv w:val="1"/>
      <w:marLeft w:val="0"/>
      <w:marRight w:val="0"/>
      <w:marTop w:val="0"/>
      <w:marBottom w:val="0"/>
      <w:divBdr>
        <w:top w:val="none" w:sz="0" w:space="0" w:color="auto"/>
        <w:left w:val="none" w:sz="0" w:space="0" w:color="auto"/>
        <w:bottom w:val="none" w:sz="0" w:space="0" w:color="auto"/>
        <w:right w:val="none" w:sz="0" w:space="0" w:color="auto"/>
      </w:divBdr>
    </w:div>
    <w:div w:id="693504638">
      <w:bodyDiv w:val="1"/>
      <w:marLeft w:val="0"/>
      <w:marRight w:val="0"/>
      <w:marTop w:val="0"/>
      <w:marBottom w:val="0"/>
      <w:divBdr>
        <w:top w:val="none" w:sz="0" w:space="0" w:color="auto"/>
        <w:left w:val="none" w:sz="0" w:space="0" w:color="auto"/>
        <w:bottom w:val="none" w:sz="0" w:space="0" w:color="auto"/>
        <w:right w:val="none" w:sz="0" w:space="0" w:color="auto"/>
      </w:divBdr>
    </w:div>
    <w:div w:id="694431361">
      <w:bodyDiv w:val="1"/>
      <w:marLeft w:val="0"/>
      <w:marRight w:val="0"/>
      <w:marTop w:val="0"/>
      <w:marBottom w:val="0"/>
      <w:divBdr>
        <w:top w:val="none" w:sz="0" w:space="0" w:color="auto"/>
        <w:left w:val="none" w:sz="0" w:space="0" w:color="auto"/>
        <w:bottom w:val="none" w:sz="0" w:space="0" w:color="auto"/>
        <w:right w:val="none" w:sz="0" w:space="0" w:color="auto"/>
      </w:divBdr>
    </w:div>
    <w:div w:id="720981605">
      <w:bodyDiv w:val="1"/>
      <w:marLeft w:val="0"/>
      <w:marRight w:val="0"/>
      <w:marTop w:val="0"/>
      <w:marBottom w:val="0"/>
      <w:divBdr>
        <w:top w:val="none" w:sz="0" w:space="0" w:color="auto"/>
        <w:left w:val="none" w:sz="0" w:space="0" w:color="auto"/>
        <w:bottom w:val="none" w:sz="0" w:space="0" w:color="auto"/>
        <w:right w:val="none" w:sz="0" w:space="0" w:color="auto"/>
      </w:divBdr>
    </w:div>
    <w:div w:id="755828734">
      <w:bodyDiv w:val="1"/>
      <w:marLeft w:val="0"/>
      <w:marRight w:val="0"/>
      <w:marTop w:val="0"/>
      <w:marBottom w:val="0"/>
      <w:divBdr>
        <w:top w:val="none" w:sz="0" w:space="0" w:color="auto"/>
        <w:left w:val="none" w:sz="0" w:space="0" w:color="auto"/>
        <w:bottom w:val="none" w:sz="0" w:space="0" w:color="auto"/>
        <w:right w:val="none" w:sz="0" w:space="0" w:color="auto"/>
      </w:divBdr>
    </w:div>
    <w:div w:id="783694727">
      <w:bodyDiv w:val="1"/>
      <w:marLeft w:val="0"/>
      <w:marRight w:val="0"/>
      <w:marTop w:val="0"/>
      <w:marBottom w:val="0"/>
      <w:divBdr>
        <w:top w:val="none" w:sz="0" w:space="0" w:color="auto"/>
        <w:left w:val="none" w:sz="0" w:space="0" w:color="auto"/>
        <w:bottom w:val="none" w:sz="0" w:space="0" w:color="auto"/>
        <w:right w:val="none" w:sz="0" w:space="0" w:color="auto"/>
      </w:divBdr>
    </w:div>
    <w:div w:id="787089922">
      <w:bodyDiv w:val="1"/>
      <w:marLeft w:val="0"/>
      <w:marRight w:val="0"/>
      <w:marTop w:val="0"/>
      <w:marBottom w:val="0"/>
      <w:divBdr>
        <w:top w:val="none" w:sz="0" w:space="0" w:color="auto"/>
        <w:left w:val="none" w:sz="0" w:space="0" w:color="auto"/>
        <w:bottom w:val="none" w:sz="0" w:space="0" w:color="auto"/>
        <w:right w:val="none" w:sz="0" w:space="0" w:color="auto"/>
      </w:divBdr>
    </w:div>
    <w:div w:id="844982770">
      <w:bodyDiv w:val="1"/>
      <w:marLeft w:val="0"/>
      <w:marRight w:val="0"/>
      <w:marTop w:val="0"/>
      <w:marBottom w:val="0"/>
      <w:divBdr>
        <w:top w:val="none" w:sz="0" w:space="0" w:color="auto"/>
        <w:left w:val="none" w:sz="0" w:space="0" w:color="auto"/>
        <w:bottom w:val="none" w:sz="0" w:space="0" w:color="auto"/>
        <w:right w:val="none" w:sz="0" w:space="0" w:color="auto"/>
      </w:divBdr>
    </w:div>
    <w:div w:id="860509621">
      <w:bodyDiv w:val="1"/>
      <w:marLeft w:val="0"/>
      <w:marRight w:val="0"/>
      <w:marTop w:val="0"/>
      <w:marBottom w:val="0"/>
      <w:divBdr>
        <w:top w:val="none" w:sz="0" w:space="0" w:color="auto"/>
        <w:left w:val="none" w:sz="0" w:space="0" w:color="auto"/>
        <w:bottom w:val="none" w:sz="0" w:space="0" w:color="auto"/>
        <w:right w:val="none" w:sz="0" w:space="0" w:color="auto"/>
      </w:divBdr>
    </w:div>
    <w:div w:id="933125207">
      <w:bodyDiv w:val="1"/>
      <w:marLeft w:val="0"/>
      <w:marRight w:val="0"/>
      <w:marTop w:val="0"/>
      <w:marBottom w:val="0"/>
      <w:divBdr>
        <w:top w:val="none" w:sz="0" w:space="0" w:color="auto"/>
        <w:left w:val="none" w:sz="0" w:space="0" w:color="auto"/>
        <w:bottom w:val="none" w:sz="0" w:space="0" w:color="auto"/>
        <w:right w:val="none" w:sz="0" w:space="0" w:color="auto"/>
      </w:divBdr>
    </w:div>
    <w:div w:id="958025715">
      <w:bodyDiv w:val="1"/>
      <w:marLeft w:val="0"/>
      <w:marRight w:val="0"/>
      <w:marTop w:val="0"/>
      <w:marBottom w:val="0"/>
      <w:divBdr>
        <w:top w:val="none" w:sz="0" w:space="0" w:color="auto"/>
        <w:left w:val="none" w:sz="0" w:space="0" w:color="auto"/>
        <w:bottom w:val="none" w:sz="0" w:space="0" w:color="auto"/>
        <w:right w:val="none" w:sz="0" w:space="0" w:color="auto"/>
      </w:divBdr>
    </w:div>
    <w:div w:id="986131191">
      <w:bodyDiv w:val="1"/>
      <w:marLeft w:val="0"/>
      <w:marRight w:val="0"/>
      <w:marTop w:val="0"/>
      <w:marBottom w:val="0"/>
      <w:divBdr>
        <w:top w:val="none" w:sz="0" w:space="0" w:color="auto"/>
        <w:left w:val="none" w:sz="0" w:space="0" w:color="auto"/>
        <w:bottom w:val="none" w:sz="0" w:space="0" w:color="auto"/>
        <w:right w:val="none" w:sz="0" w:space="0" w:color="auto"/>
      </w:divBdr>
    </w:div>
    <w:div w:id="1034815775">
      <w:bodyDiv w:val="1"/>
      <w:marLeft w:val="0"/>
      <w:marRight w:val="0"/>
      <w:marTop w:val="0"/>
      <w:marBottom w:val="0"/>
      <w:divBdr>
        <w:top w:val="none" w:sz="0" w:space="0" w:color="auto"/>
        <w:left w:val="none" w:sz="0" w:space="0" w:color="auto"/>
        <w:bottom w:val="none" w:sz="0" w:space="0" w:color="auto"/>
        <w:right w:val="none" w:sz="0" w:space="0" w:color="auto"/>
      </w:divBdr>
    </w:div>
    <w:div w:id="1185247076">
      <w:bodyDiv w:val="1"/>
      <w:marLeft w:val="0"/>
      <w:marRight w:val="0"/>
      <w:marTop w:val="0"/>
      <w:marBottom w:val="0"/>
      <w:divBdr>
        <w:top w:val="none" w:sz="0" w:space="0" w:color="auto"/>
        <w:left w:val="none" w:sz="0" w:space="0" w:color="auto"/>
        <w:bottom w:val="none" w:sz="0" w:space="0" w:color="auto"/>
        <w:right w:val="none" w:sz="0" w:space="0" w:color="auto"/>
      </w:divBdr>
    </w:div>
    <w:div w:id="1190797993">
      <w:bodyDiv w:val="1"/>
      <w:marLeft w:val="0"/>
      <w:marRight w:val="0"/>
      <w:marTop w:val="0"/>
      <w:marBottom w:val="0"/>
      <w:divBdr>
        <w:top w:val="none" w:sz="0" w:space="0" w:color="auto"/>
        <w:left w:val="none" w:sz="0" w:space="0" w:color="auto"/>
        <w:bottom w:val="none" w:sz="0" w:space="0" w:color="auto"/>
        <w:right w:val="none" w:sz="0" w:space="0" w:color="auto"/>
      </w:divBdr>
    </w:div>
    <w:div w:id="1205865855">
      <w:bodyDiv w:val="1"/>
      <w:marLeft w:val="0"/>
      <w:marRight w:val="0"/>
      <w:marTop w:val="0"/>
      <w:marBottom w:val="0"/>
      <w:divBdr>
        <w:top w:val="none" w:sz="0" w:space="0" w:color="auto"/>
        <w:left w:val="none" w:sz="0" w:space="0" w:color="auto"/>
        <w:bottom w:val="none" w:sz="0" w:space="0" w:color="auto"/>
        <w:right w:val="none" w:sz="0" w:space="0" w:color="auto"/>
      </w:divBdr>
    </w:div>
    <w:div w:id="1224877104">
      <w:bodyDiv w:val="1"/>
      <w:marLeft w:val="0"/>
      <w:marRight w:val="0"/>
      <w:marTop w:val="0"/>
      <w:marBottom w:val="0"/>
      <w:divBdr>
        <w:top w:val="none" w:sz="0" w:space="0" w:color="auto"/>
        <w:left w:val="none" w:sz="0" w:space="0" w:color="auto"/>
        <w:bottom w:val="none" w:sz="0" w:space="0" w:color="auto"/>
        <w:right w:val="none" w:sz="0" w:space="0" w:color="auto"/>
      </w:divBdr>
    </w:div>
    <w:div w:id="1292832051">
      <w:bodyDiv w:val="1"/>
      <w:marLeft w:val="0"/>
      <w:marRight w:val="0"/>
      <w:marTop w:val="0"/>
      <w:marBottom w:val="0"/>
      <w:divBdr>
        <w:top w:val="none" w:sz="0" w:space="0" w:color="auto"/>
        <w:left w:val="none" w:sz="0" w:space="0" w:color="auto"/>
        <w:bottom w:val="none" w:sz="0" w:space="0" w:color="auto"/>
        <w:right w:val="none" w:sz="0" w:space="0" w:color="auto"/>
      </w:divBdr>
    </w:div>
    <w:div w:id="1440446026">
      <w:bodyDiv w:val="1"/>
      <w:marLeft w:val="0"/>
      <w:marRight w:val="0"/>
      <w:marTop w:val="0"/>
      <w:marBottom w:val="0"/>
      <w:divBdr>
        <w:top w:val="none" w:sz="0" w:space="0" w:color="auto"/>
        <w:left w:val="none" w:sz="0" w:space="0" w:color="auto"/>
        <w:bottom w:val="none" w:sz="0" w:space="0" w:color="auto"/>
        <w:right w:val="none" w:sz="0" w:space="0" w:color="auto"/>
      </w:divBdr>
    </w:div>
    <w:div w:id="1555045268">
      <w:bodyDiv w:val="1"/>
      <w:marLeft w:val="0"/>
      <w:marRight w:val="0"/>
      <w:marTop w:val="0"/>
      <w:marBottom w:val="0"/>
      <w:divBdr>
        <w:top w:val="none" w:sz="0" w:space="0" w:color="auto"/>
        <w:left w:val="none" w:sz="0" w:space="0" w:color="auto"/>
        <w:bottom w:val="none" w:sz="0" w:space="0" w:color="auto"/>
        <w:right w:val="none" w:sz="0" w:space="0" w:color="auto"/>
      </w:divBdr>
    </w:div>
    <w:div w:id="1560702741">
      <w:bodyDiv w:val="1"/>
      <w:marLeft w:val="0"/>
      <w:marRight w:val="0"/>
      <w:marTop w:val="0"/>
      <w:marBottom w:val="0"/>
      <w:divBdr>
        <w:top w:val="none" w:sz="0" w:space="0" w:color="auto"/>
        <w:left w:val="none" w:sz="0" w:space="0" w:color="auto"/>
        <w:bottom w:val="none" w:sz="0" w:space="0" w:color="auto"/>
        <w:right w:val="none" w:sz="0" w:space="0" w:color="auto"/>
      </w:divBdr>
    </w:div>
    <w:div w:id="1601258930">
      <w:bodyDiv w:val="1"/>
      <w:marLeft w:val="0"/>
      <w:marRight w:val="0"/>
      <w:marTop w:val="0"/>
      <w:marBottom w:val="0"/>
      <w:divBdr>
        <w:top w:val="none" w:sz="0" w:space="0" w:color="auto"/>
        <w:left w:val="none" w:sz="0" w:space="0" w:color="auto"/>
        <w:bottom w:val="none" w:sz="0" w:space="0" w:color="auto"/>
        <w:right w:val="none" w:sz="0" w:space="0" w:color="auto"/>
      </w:divBdr>
    </w:div>
    <w:div w:id="1645232715">
      <w:bodyDiv w:val="1"/>
      <w:marLeft w:val="0"/>
      <w:marRight w:val="0"/>
      <w:marTop w:val="0"/>
      <w:marBottom w:val="0"/>
      <w:divBdr>
        <w:top w:val="none" w:sz="0" w:space="0" w:color="auto"/>
        <w:left w:val="none" w:sz="0" w:space="0" w:color="auto"/>
        <w:bottom w:val="none" w:sz="0" w:space="0" w:color="auto"/>
        <w:right w:val="none" w:sz="0" w:space="0" w:color="auto"/>
      </w:divBdr>
    </w:div>
    <w:div w:id="1655718479">
      <w:bodyDiv w:val="1"/>
      <w:marLeft w:val="0"/>
      <w:marRight w:val="0"/>
      <w:marTop w:val="0"/>
      <w:marBottom w:val="0"/>
      <w:divBdr>
        <w:top w:val="none" w:sz="0" w:space="0" w:color="auto"/>
        <w:left w:val="none" w:sz="0" w:space="0" w:color="auto"/>
        <w:bottom w:val="none" w:sz="0" w:space="0" w:color="auto"/>
        <w:right w:val="none" w:sz="0" w:space="0" w:color="auto"/>
      </w:divBdr>
      <w:divsChild>
        <w:div w:id="1214584813">
          <w:marLeft w:val="0"/>
          <w:marRight w:val="0"/>
          <w:marTop w:val="0"/>
          <w:marBottom w:val="0"/>
          <w:divBdr>
            <w:top w:val="none" w:sz="0" w:space="0" w:color="auto"/>
            <w:left w:val="none" w:sz="0" w:space="0" w:color="auto"/>
            <w:bottom w:val="none" w:sz="0" w:space="0" w:color="auto"/>
            <w:right w:val="none" w:sz="0" w:space="0" w:color="auto"/>
          </w:divBdr>
          <w:divsChild>
            <w:div w:id="1334184822">
              <w:marLeft w:val="0"/>
              <w:marRight w:val="0"/>
              <w:marTop w:val="0"/>
              <w:marBottom w:val="0"/>
              <w:divBdr>
                <w:top w:val="none" w:sz="0" w:space="0" w:color="auto"/>
                <w:left w:val="none" w:sz="0" w:space="0" w:color="auto"/>
                <w:bottom w:val="none" w:sz="0" w:space="0" w:color="auto"/>
                <w:right w:val="none" w:sz="0" w:space="0" w:color="auto"/>
              </w:divBdr>
              <w:divsChild>
                <w:div w:id="1005211505">
                  <w:marLeft w:val="0"/>
                  <w:marRight w:val="0"/>
                  <w:marTop w:val="0"/>
                  <w:marBottom w:val="0"/>
                  <w:divBdr>
                    <w:top w:val="none" w:sz="0" w:space="0" w:color="auto"/>
                    <w:left w:val="none" w:sz="0" w:space="0" w:color="auto"/>
                    <w:bottom w:val="none" w:sz="0" w:space="0" w:color="auto"/>
                    <w:right w:val="none" w:sz="0" w:space="0" w:color="auto"/>
                  </w:divBdr>
                  <w:divsChild>
                    <w:div w:id="1195382116">
                      <w:marLeft w:val="0"/>
                      <w:marRight w:val="0"/>
                      <w:marTop w:val="0"/>
                      <w:marBottom w:val="0"/>
                      <w:divBdr>
                        <w:top w:val="none" w:sz="0" w:space="0" w:color="auto"/>
                        <w:left w:val="none" w:sz="0" w:space="0" w:color="auto"/>
                        <w:bottom w:val="none" w:sz="0" w:space="0" w:color="auto"/>
                        <w:right w:val="none" w:sz="0" w:space="0" w:color="auto"/>
                      </w:divBdr>
                      <w:divsChild>
                        <w:div w:id="40869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2701721">
      <w:bodyDiv w:val="1"/>
      <w:marLeft w:val="0"/>
      <w:marRight w:val="0"/>
      <w:marTop w:val="0"/>
      <w:marBottom w:val="0"/>
      <w:divBdr>
        <w:top w:val="none" w:sz="0" w:space="0" w:color="auto"/>
        <w:left w:val="none" w:sz="0" w:space="0" w:color="auto"/>
        <w:bottom w:val="none" w:sz="0" w:space="0" w:color="auto"/>
        <w:right w:val="none" w:sz="0" w:space="0" w:color="auto"/>
      </w:divBdr>
    </w:div>
    <w:div w:id="1787506751">
      <w:bodyDiv w:val="1"/>
      <w:marLeft w:val="0"/>
      <w:marRight w:val="0"/>
      <w:marTop w:val="0"/>
      <w:marBottom w:val="0"/>
      <w:divBdr>
        <w:top w:val="none" w:sz="0" w:space="0" w:color="auto"/>
        <w:left w:val="none" w:sz="0" w:space="0" w:color="auto"/>
        <w:bottom w:val="none" w:sz="0" w:space="0" w:color="auto"/>
        <w:right w:val="none" w:sz="0" w:space="0" w:color="auto"/>
      </w:divBdr>
    </w:div>
    <w:div w:id="1820072668">
      <w:bodyDiv w:val="1"/>
      <w:marLeft w:val="0"/>
      <w:marRight w:val="0"/>
      <w:marTop w:val="0"/>
      <w:marBottom w:val="0"/>
      <w:divBdr>
        <w:top w:val="none" w:sz="0" w:space="0" w:color="auto"/>
        <w:left w:val="none" w:sz="0" w:space="0" w:color="auto"/>
        <w:bottom w:val="none" w:sz="0" w:space="0" w:color="auto"/>
        <w:right w:val="none" w:sz="0" w:space="0" w:color="auto"/>
      </w:divBdr>
    </w:div>
    <w:div w:id="1832988272">
      <w:bodyDiv w:val="1"/>
      <w:marLeft w:val="0"/>
      <w:marRight w:val="0"/>
      <w:marTop w:val="0"/>
      <w:marBottom w:val="0"/>
      <w:divBdr>
        <w:top w:val="none" w:sz="0" w:space="0" w:color="auto"/>
        <w:left w:val="none" w:sz="0" w:space="0" w:color="auto"/>
        <w:bottom w:val="none" w:sz="0" w:space="0" w:color="auto"/>
        <w:right w:val="none" w:sz="0" w:space="0" w:color="auto"/>
      </w:divBdr>
    </w:div>
    <w:div w:id="1857502467">
      <w:bodyDiv w:val="1"/>
      <w:marLeft w:val="0"/>
      <w:marRight w:val="0"/>
      <w:marTop w:val="0"/>
      <w:marBottom w:val="0"/>
      <w:divBdr>
        <w:top w:val="none" w:sz="0" w:space="0" w:color="auto"/>
        <w:left w:val="none" w:sz="0" w:space="0" w:color="auto"/>
        <w:bottom w:val="none" w:sz="0" w:space="0" w:color="auto"/>
        <w:right w:val="none" w:sz="0" w:space="0" w:color="auto"/>
      </w:divBdr>
    </w:div>
    <w:div w:id="1874032136">
      <w:bodyDiv w:val="1"/>
      <w:marLeft w:val="0"/>
      <w:marRight w:val="0"/>
      <w:marTop w:val="0"/>
      <w:marBottom w:val="0"/>
      <w:divBdr>
        <w:top w:val="none" w:sz="0" w:space="0" w:color="auto"/>
        <w:left w:val="none" w:sz="0" w:space="0" w:color="auto"/>
        <w:bottom w:val="none" w:sz="0" w:space="0" w:color="auto"/>
        <w:right w:val="none" w:sz="0" w:space="0" w:color="auto"/>
      </w:divBdr>
    </w:div>
    <w:div w:id="1924679002">
      <w:bodyDiv w:val="1"/>
      <w:marLeft w:val="0"/>
      <w:marRight w:val="0"/>
      <w:marTop w:val="0"/>
      <w:marBottom w:val="0"/>
      <w:divBdr>
        <w:top w:val="none" w:sz="0" w:space="0" w:color="auto"/>
        <w:left w:val="none" w:sz="0" w:space="0" w:color="auto"/>
        <w:bottom w:val="none" w:sz="0" w:space="0" w:color="auto"/>
        <w:right w:val="none" w:sz="0" w:space="0" w:color="auto"/>
      </w:divBdr>
    </w:div>
    <w:div w:id="1961689160">
      <w:bodyDiv w:val="1"/>
      <w:marLeft w:val="0"/>
      <w:marRight w:val="0"/>
      <w:marTop w:val="0"/>
      <w:marBottom w:val="0"/>
      <w:divBdr>
        <w:top w:val="none" w:sz="0" w:space="0" w:color="auto"/>
        <w:left w:val="none" w:sz="0" w:space="0" w:color="auto"/>
        <w:bottom w:val="none" w:sz="0" w:space="0" w:color="auto"/>
        <w:right w:val="none" w:sz="0" w:space="0" w:color="auto"/>
      </w:divBdr>
    </w:div>
    <w:div w:id="1996176191">
      <w:bodyDiv w:val="1"/>
      <w:marLeft w:val="0"/>
      <w:marRight w:val="0"/>
      <w:marTop w:val="0"/>
      <w:marBottom w:val="0"/>
      <w:divBdr>
        <w:top w:val="none" w:sz="0" w:space="0" w:color="auto"/>
        <w:left w:val="none" w:sz="0" w:space="0" w:color="auto"/>
        <w:bottom w:val="none" w:sz="0" w:space="0" w:color="auto"/>
        <w:right w:val="none" w:sz="0" w:space="0" w:color="auto"/>
      </w:divBdr>
    </w:div>
    <w:div w:id="2027824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298/EKA0877089K" TargetMode="External"/><Relationship Id="rId18" Type="http://schemas.openxmlformats.org/officeDocument/2006/relationships/hyperlink" Target="https://doi.org/10.1509/jmkg.70.1.015.qxd" TargetMode="External"/><Relationship Id="rId26" Type="http://schemas.openxmlformats.org/officeDocument/2006/relationships/hyperlink" Target="https://doi.org/10.5267/j.msl.2019.12.012" TargetMode="External"/><Relationship Id="rId3" Type="http://schemas.openxmlformats.org/officeDocument/2006/relationships/settings" Target="settings.xml"/><Relationship Id="rId21" Type="http://schemas.openxmlformats.org/officeDocument/2006/relationships/hyperlink" Target="https://www.morningstar.com/stocks/xhkg/01211/key-metrics" TargetMode="External"/><Relationship Id="rId34" Type="http://schemas.openxmlformats.org/officeDocument/2006/relationships/fontTable" Target="fontTable.xml"/><Relationship Id="rId7" Type="http://schemas.openxmlformats.org/officeDocument/2006/relationships/hyperlink" Target="https://www.carbonclick.com/news-views/byd-revolutionising-the-electric-vehicle-market" TargetMode="External"/><Relationship Id="rId12" Type="http://schemas.openxmlformats.org/officeDocument/2006/relationships/hyperlink" Target="https://doi.org/10.47772/IJRISS.2023.7011145" TargetMode="External"/><Relationship Id="rId17" Type="http://schemas.openxmlformats.org/officeDocument/2006/relationships/hyperlink" Target="https://doi.org/10.1016/j.lrp.2005.04.007" TargetMode="External"/><Relationship Id="rId25" Type="http://schemas.openxmlformats.org/officeDocument/2006/relationships/hyperlink" Target="https://doi.org/10.1016/j.jenvp.2015.09.002" TargetMode="External"/><Relationship Id="rId33" Type="http://schemas.openxmlformats.org/officeDocument/2006/relationships/hyperlink" Target="https://doi.org/10.1016/j.indmarman.2020.04.023" TargetMode="External"/><Relationship Id="rId2" Type="http://schemas.openxmlformats.org/officeDocument/2006/relationships/styles" Target="styles.xml"/><Relationship Id="rId16" Type="http://schemas.openxmlformats.org/officeDocument/2006/relationships/hyperlink" Target="https://doi.org/10.61784/asat3012" TargetMode="External"/><Relationship Id="rId20" Type="http://schemas.openxmlformats.org/officeDocument/2006/relationships/hyperlink" Target="https://www.morningstar.com/stocks/xshg/600104/key-metrics" TargetMode="External"/><Relationship Id="rId29" Type="http://schemas.openxmlformats.org/officeDocument/2006/relationships/hyperlink" Target="https://sloanreview.mit.edu/article/first-to-market-first-to-fail-real-causes-of-enduring-market-leadership/" TargetMode="External"/><Relationship Id="rId1" Type="http://schemas.openxmlformats.org/officeDocument/2006/relationships/customXml" Target="../customXml/item1.xml"/><Relationship Id="rId6" Type="http://schemas.openxmlformats.org/officeDocument/2006/relationships/hyperlink" Target="https://doi.org/10.1016/j.respol.2025.105341" TargetMode="External"/><Relationship Id="rId11" Type="http://schemas.openxmlformats.org/officeDocument/2006/relationships/hyperlink" Target="https://doi.org/10.1016/j.indmarman.2021.06.004" TargetMode="External"/><Relationship Id="rId24" Type="http://schemas.openxmlformats.org/officeDocument/2006/relationships/hyperlink" Target="https://www.nio.com/blog/current-state-ev-battery-swapping" TargetMode="External"/><Relationship Id="rId32" Type="http://schemas.openxmlformats.org/officeDocument/2006/relationships/hyperlink" Target="https://doi.org/10.3390/su16083310" TargetMode="External"/><Relationship Id="rId5" Type="http://schemas.openxmlformats.org/officeDocument/2006/relationships/image" Target="media/image1.png"/><Relationship Id="rId15" Type="http://schemas.openxmlformats.org/officeDocument/2006/relationships/hyperlink" Target="https://doi.org/10.61838/kman.ijimob.2.1.4" TargetMode="External"/><Relationship Id="rId23" Type="http://schemas.openxmlformats.org/officeDocument/2006/relationships/hyperlink" Target="https://www.morningstar.com/stocks/xhkg/00175/key-metrics" TargetMode="External"/><Relationship Id="rId28" Type="http://schemas.openxmlformats.org/officeDocument/2006/relationships/hyperlink" Target="https://doi.org/10.32782/2415-8801/2024-3.5" TargetMode="External"/><Relationship Id="rId10" Type="http://schemas.openxmlformats.org/officeDocument/2006/relationships/hyperlink" Target="https://doi.org/10.3390/joitmc8030163" TargetMode="External"/><Relationship Id="rId19" Type="http://schemas.openxmlformats.org/officeDocument/2006/relationships/hyperlink" Target="https://www.forbes.com/sites/blakemorgan/2020/08/31/customer-journeys-are-becoming-increasingly-complex/" TargetMode="External"/><Relationship Id="rId31" Type="http://schemas.openxmlformats.org/officeDocument/2006/relationships/hyperlink" Target="https://www.xpeng.com/pressroom/news/01992787505898ee96718a028110008c" TargetMode="External"/><Relationship Id="rId4" Type="http://schemas.openxmlformats.org/officeDocument/2006/relationships/webSettings" Target="webSettings.xml"/><Relationship Id="rId9" Type="http://schemas.openxmlformats.org/officeDocument/2006/relationships/hyperlink" Target="https://doi.org/10.1371/journal.pone.0252423" TargetMode="External"/><Relationship Id="rId14" Type="http://schemas.openxmlformats.org/officeDocument/2006/relationships/hyperlink" Target="https://www.kavout.com/market-lens/byd-vs-tesla-a-comprehensive-financial-analysis-and-investment-outlook" TargetMode="External"/><Relationship Id="rId22" Type="http://schemas.openxmlformats.org/officeDocument/2006/relationships/hyperlink" Target="https://www.morningstar.com/stocks/xwbo/tsla/key-metrics" TargetMode="External"/><Relationship Id="rId27" Type="http://schemas.openxmlformats.org/officeDocument/2006/relationships/hyperlink" Target="https://www.saicmotor.com/english/latest_news/saic_motor/61621.shtml" TargetMode="External"/><Relationship Id="rId30" Type="http://schemas.openxmlformats.org/officeDocument/2006/relationships/hyperlink" Target="https://www.businesstimes.com.sg/companies-markets/transport-logistics/beijing-warns-carmakers-price-war-escalates" TargetMode="External"/><Relationship Id="rId35" Type="http://schemas.openxmlformats.org/officeDocument/2006/relationships/theme" Target="theme/theme1.xml"/><Relationship Id="rId8" Type="http://schemas.openxmlformats.org/officeDocument/2006/relationships/hyperlink" Target="https://doi.org/10.1057/s41267-024-0075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1BF1A8-42EF-41CE-B4A1-B3D0C8429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15</Pages>
  <Words>4405</Words>
  <Characters>25115</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Harimohan Singh</cp:lastModifiedBy>
  <cp:revision>7</cp:revision>
  <dcterms:created xsi:type="dcterms:W3CDTF">2026-03-26T19:29:00Z</dcterms:created>
  <dcterms:modified xsi:type="dcterms:W3CDTF">2026-03-26T22:19:00Z</dcterms:modified>
</cp:coreProperties>
</file>