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0C771" w14:textId="42965F46" w:rsidR="005C25DA" w:rsidRDefault="005C25DA" w:rsidP="005C25DA">
      <w:pPr>
        <w:spacing w:after="200"/>
        <w:jc w:val="center"/>
        <w:rPr>
          <w:color w:val="555555"/>
          <w:sz w:val="28"/>
          <w:szCs w:val="28"/>
        </w:rPr>
      </w:pPr>
      <w:r>
        <w:rPr>
          <w:noProof/>
        </w:rPr>
        <w:drawing>
          <wp:anchor distT="0" distB="0" distL="114300" distR="114300" simplePos="0" relativeHeight="251658240" behindDoc="0" locked="0" layoutInCell="1" allowOverlap="1" wp14:anchorId="4BF6A062" wp14:editId="21F90962">
            <wp:simplePos x="0" y="0"/>
            <wp:positionH relativeFrom="column">
              <wp:posOffset>-563880</wp:posOffset>
            </wp:positionH>
            <wp:positionV relativeFrom="paragraph">
              <wp:posOffset>387350</wp:posOffset>
            </wp:positionV>
            <wp:extent cx="2644140" cy="1383030"/>
            <wp:effectExtent l="0" t="0" r="3810" b="7620"/>
            <wp:wrapSquare wrapText="bothSides"/>
            <wp:docPr id="1522014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4140" cy="138303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555555"/>
          <w:sz w:val="28"/>
          <w:szCs w:val="28"/>
        </w:rPr>
        <w:tab/>
        <w:t xml:space="preserve">                                   </w:t>
      </w:r>
    </w:p>
    <w:p w14:paraId="15CA5F42" w14:textId="2F0FA6B9" w:rsidR="005C25DA" w:rsidRPr="005C25DA" w:rsidRDefault="005C25DA" w:rsidP="005C25DA">
      <w:pPr>
        <w:spacing w:after="200"/>
        <w:jc w:val="center"/>
        <w:rPr>
          <w:b/>
          <w:bCs/>
          <w:color w:val="156082" w:themeColor="accent1"/>
          <w:sz w:val="28"/>
          <w:szCs w:val="28"/>
        </w:rPr>
      </w:pPr>
      <w:r w:rsidRPr="005C25DA">
        <w:rPr>
          <w:b/>
          <w:bCs/>
          <w:color w:val="156082" w:themeColor="accent1"/>
          <w:sz w:val="28"/>
          <w:szCs w:val="28"/>
        </w:rPr>
        <w:t xml:space="preserve">                                                                 University of Wales Trinity Saint David</w:t>
      </w:r>
    </w:p>
    <w:p w14:paraId="32751E45" w14:textId="256F86E2" w:rsidR="00955392" w:rsidRDefault="00955392" w:rsidP="005C25DA">
      <w:pPr>
        <w:tabs>
          <w:tab w:val="center" w:pos="2836"/>
        </w:tabs>
        <w:spacing w:after="200"/>
        <w:rPr>
          <w:color w:val="555555"/>
          <w:sz w:val="28"/>
          <w:szCs w:val="28"/>
        </w:rPr>
      </w:pPr>
    </w:p>
    <w:p w14:paraId="5B215097" w14:textId="248C77B5" w:rsidR="00955392" w:rsidRDefault="00955392">
      <w:pPr>
        <w:spacing w:after="200"/>
        <w:jc w:val="center"/>
        <w:rPr>
          <w:color w:val="555555"/>
          <w:sz w:val="28"/>
          <w:szCs w:val="28"/>
        </w:rPr>
      </w:pPr>
    </w:p>
    <w:p w14:paraId="117E1368" w14:textId="77777777" w:rsidR="00955392" w:rsidRDefault="00955392">
      <w:pPr>
        <w:spacing w:after="200"/>
        <w:jc w:val="center"/>
        <w:rPr>
          <w:color w:val="555555"/>
          <w:sz w:val="28"/>
          <w:szCs w:val="28"/>
        </w:rPr>
      </w:pPr>
    </w:p>
    <w:p w14:paraId="25A1555B" w14:textId="77777777" w:rsidR="00955392" w:rsidRDefault="00955392">
      <w:pPr>
        <w:spacing w:after="200"/>
        <w:jc w:val="center"/>
        <w:rPr>
          <w:color w:val="555555"/>
          <w:sz w:val="28"/>
          <w:szCs w:val="28"/>
        </w:rPr>
      </w:pPr>
    </w:p>
    <w:p w14:paraId="717E366F" w14:textId="77777777" w:rsidR="00955392" w:rsidRDefault="00955392">
      <w:pPr>
        <w:spacing w:after="200"/>
        <w:jc w:val="center"/>
        <w:rPr>
          <w:color w:val="555555"/>
          <w:sz w:val="28"/>
          <w:szCs w:val="28"/>
        </w:rPr>
      </w:pPr>
    </w:p>
    <w:p w14:paraId="6F490864" w14:textId="77777777" w:rsidR="00955392" w:rsidRDefault="00955392">
      <w:pPr>
        <w:spacing w:after="200"/>
        <w:jc w:val="center"/>
        <w:rPr>
          <w:color w:val="555555"/>
          <w:sz w:val="28"/>
          <w:szCs w:val="28"/>
        </w:rPr>
      </w:pPr>
    </w:p>
    <w:p w14:paraId="5C2D0705" w14:textId="77777777" w:rsidR="00955392" w:rsidRDefault="00955392">
      <w:pPr>
        <w:spacing w:after="200"/>
        <w:jc w:val="center"/>
        <w:rPr>
          <w:color w:val="555555"/>
          <w:sz w:val="28"/>
          <w:szCs w:val="28"/>
        </w:rPr>
      </w:pPr>
    </w:p>
    <w:p w14:paraId="4D51902C" w14:textId="77777777" w:rsidR="00955392" w:rsidRDefault="00955392">
      <w:pPr>
        <w:spacing w:after="200"/>
        <w:jc w:val="center"/>
        <w:rPr>
          <w:color w:val="555555"/>
          <w:sz w:val="28"/>
          <w:szCs w:val="28"/>
        </w:rPr>
      </w:pPr>
    </w:p>
    <w:p w14:paraId="438CAFE5" w14:textId="2BA51C00" w:rsidR="008D2923" w:rsidRPr="002D18E3" w:rsidRDefault="00000000" w:rsidP="00B57E8C">
      <w:pPr>
        <w:spacing w:before="160"/>
        <w:rPr>
          <w:b/>
          <w:bCs/>
          <w:sz w:val="32"/>
          <w:szCs w:val="32"/>
        </w:rPr>
      </w:pPr>
      <w:r w:rsidRPr="002D18E3">
        <w:rPr>
          <w:b/>
          <w:bCs/>
          <w:i/>
          <w:iCs/>
          <w:color w:val="2E75B6"/>
          <w:sz w:val="32"/>
          <w:szCs w:val="32"/>
        </w:rPr>
        <w:t xml:space="preserve">Digital Transformation and AI Adoption at NHS </w:t>
      </w:r>
      <w:r w:rsidR="005F28BC" w:rsidRPr="002D18E3">
        <w:rPr>
          <w:b/>
          <w:bCs/>
          <w:i/>
          <w:iCs/>
          <w:color w:val="2E75B6"/>
          <w:sz w:val="32"/>
          <w:szCs w:val="32"/>
        </w:rPr>
        <w:t>Northwest</w:t>
      </w:r>
      <w:r w:rsidRPr="002D18E3">
        <w:rPr>
          <w:b/>
          <w:bCs/>
          <w:i/>
          <w:iCs/>
          <w:color w:val="2E75B6"/>
          <w:sz w:val="32"/>
          <w:szCs w:val="32"/>
        </w:rPr>
        <w:t xml:space="preserve"> London Integrated Care Board</w:t>
      </w:r>
    </w:p>
    <w:p w14:paraId="6B6F2EF2" w14:textId="77777777" w:rsidR="00C33417" w:rsidRDefault="00C33417" w:rsidP="00BD4D0B">
      <w:pPr>
        <w:spacing w:after="100"/>
        <w:rPr>
          <w:sz w:val="28"/>
          <w:szCs w:val="28"/>
        </w:rPr>
      </w:pPr>
    </w:p>
    <w:p w14:paraId="438CAFE8" w14:textId="04B9EABE" w:rsidR="008D2923" w:rsidRPr="00C33417" w:rsidRDefault="00000000" w:rsidP="00BD4D0B">
      <w:pPr>
        <w:spacing w:after="100"/>
        <w:rPr>
          <w:b/>
          <w:bCs/>
          <w:color w:val="156082" w:themeColor="accent1"/>
          <w:sz w:val="28"/>
          <w:szCs w:val="28"/>
        </w:rPr>
      </w:pPr>
      <w:r w:rsidRPr="00C33417">
        <w:rPr>
          <w:b/>
          <w:bCs/>
          <w:color w:val="156082" w:themeColor="accent1"/>
          <w:sz w:val="28"/>
          <w:szCs w:val="28"/>
        </w:rPr>
        <w:t>Module: Leading and Implementing Change (LCLM6003</w:t>
      </w:r>
      <w:r w:rsidR="0009794B" w:rsidRPr="00C33417">
        <w:rPr>
          <w:b/>
          <w:bCs/>
          <w:color w:val="156082" w:themeColor="accent1"/>
          <w:sz w:val="28"/>
          <w:szCs w:val="28"/>
        </w:rPr>
        <w:t>)</w:t>
      </w:r>
    </w:p>
    <w:p w14:paraId="5EB46149" w14:textId="568240CA" w:rsidR="003C7A7D" w:rsidRPr="00C33417" w:rsidRDefault="003C7A7D" w:rsidP="00BD4D0B">
      <w:pPr>
        <w:spacing w:after="100"/>
        <w:rPr>
          <w:b/>
          <w:bCs/>
          <w:color w:val="156082" w:themeColor="accent1"/>
          <w:sz w:val="28"/>
          <w:szCs w:val="28"/>
        </w:rPr>
      </w:pPr>
      <w:r w:rsidRPr="00C33417">
        <w:rPr>
          <w:b/>
          <w:bCs/>
          <w:color w:val="156082" w:themeColor="accent1"/>
          <w:sz w:val="28"/>
          <w:szCs w:val="28"/>
        </w:rPr>
        <w:t>Lecturer: Stephen Melone</w:t>
      </w:r>
    </w:p>
    <w:p w14:paraId="438CAFEA" w14:textId="7747F341" w:rsidR="008D2923" w:rsidRPr="00C33417" w:rsidRDefault="00000000" w:rsidP="00BD4D0B">
      <w:pPr>
        <w:spacing w:after="80"/>
        <w:rPr>
          <w:b/>
          <w:bCs/>
          <w:color w:val="156082" w:themeColor="accent1"/>
          <w:sz w:val="28"/>
          <w:szCs w:val="28"/>
        </w:rPr>
      </w:pPr>
      <w:r w:rsidRPr="00C33417">
        <w:rPr>
          <w:b/>
          <w:bCs/>
          <w:color w:val="156082" w:themeColor="accent1"/>
          <w:sz w:val="28"/>
          <w:szCs w:val="28"/>
        </w:rPr>
        <w:t xml:space="preserve">Student Name: </w:t>
      </w:r>
      <w:r w:rsidR="005E5090" w:rsidRPr="00C33417">
        <w:rPr>
          <w:b/>
          <w:bCs/>
          <w:color w:val="156082" w:themeColor="accent1"/>
          <w:sz w:val="28"/>
          <w:szCs w:val="28"/>
        </w:rPr>
        <w:t>Jamuthra Srikumar</w:t>
      </w:r>
    </w:p>
    <w:p w14:paraId="438CAFEB" w14:textId="39744767" w:rsidR="008D2923" w:rsidRPr="00C33417" w:rsidRDefault="00000000" w:rsidP="00BD4D0B">
      <w:pPr>
        <w:spacing w:after="80"/>
        <w:rPr>
          <w:b/>
          <w:bCs/>
          <w:color w:val="156082" w:themeColor="accent1"/>
          <w:sz w:val="28"/>
          <w:szCs w:val="28"/>
        </w:rPr>
      </w:pPr>
      <w:r w:rsidRPr="00C33417">
        <w:rPr>
          <w:b/>
          <w:bCs/>
          <w:color w:val="156082" w:themeColor="accent1"/>
          <w:sz w:val="28"/>
          <w:szCs w:val="28"/>
        </w:rPr>
        <w:t xml:space="preserve">Student ID: </w:t>
      </w:r>
      <w:r w:rsidR="005E5090" w:rsidRPr="00C33417">
        <w:rPr>
          <w:b/>
          <w:bCs/>
          <w:color w:val="156082" w:themeColor="accent1"/>
          <w:sz w:val="28"/>
          <w:szCs w:val="28"/>
        </w:rPr>
        <w:t>23</w:t>
      </w:r>
      <w:r w:rsidR="00C33417" w:rsidRPr="00C33417">
        <w:rPr>
          <w:b/>
          <w:bCs/>
          <w:color w:val="156082" w:themeColor="accent1"/>
          <w:sz w:val="28"/>
          <w:szCs w:val="28"/>
        </w:rPr>
        <w:t>10736</w:t>
      </w:r>
    </w:p>
    <w:p w14:paraId="438CAFEC" w14:textId="77777777" w:rsidR="008D2923" w:rsidRPr="00C33417" w:rsidRDefault="00000000" w:rsidP="00BD4D0B">
      <w:pPr>
        <w:spacing w:after="80"/>
        <w:rPr>
          <w:b/>
          <w:bCs/>
          <w:color w:val="156082" w:themeColor="accent1"/>
          <w:sz w:val="28"/>
          <w:szCs w:val="28"/>
        </w:rPr>
      </w:pPr>
      <w:r w:rsidRPr="00C33417">
        <w:rPr>
          <w:b/>
          <w:bCs/>
          <w:color w:val="156082" w:themeColor="accent1"/>
          <w:sz w:val="28"/>
          <w:szCs w:val="28"/>
        </w:rPr>
        <w:t>Submission Date: 23 March 2026</w:t>
      </w:r>
    </w:p>
    <w:p w14:paraId="438CAFED" w14:textId="79BB9DD9" w:rsidR="008D2923" w:rsidRPr="00CA6C91" w:rsidRDefault="008D2923" w:rsidP="00BD4D0B">
      <w:pPr>
        <w:spacing w:after="80"/>
        <w:rPr>
          <w:sz w:val="28"/>
          <w:szCs w:val="28"/>
        </w:rPr>
      </w:pPr>
    </w:p>
    <w:p w14:paraId="438CAFEE" w14:textId="77777777" w:rsidR="008D2923" w:rsidRPr="00CA6C91" w:rsidRDefault="00000000" w:rsidP="00BD4D0B">
      <w:pPr>
        <w:rPr>
          <w:sz w:val="28"/>
          <w:szCs w:val="28"/>
        </w:rPr>
      </w:pPr>
      <w:r w:rsidRPr="00CA6C91">
        <w:rPr>
          <w:sz w:val="28"/>
          <w:szCs w:val="28"/>
        </w:rPr>
        <w:br w:type="page"/>
      </w:r>
    </w:p>
    <w:p w14:paraId="438CAFEF" w14:textId="337D0D71" w:rsidR="008D2923" w:rsidRPr="00CA6C91" w:rsidRDefault="00000000">
      <w:pPr>
        <w:pStyle w:val="Heading1"/>
      </w:pPr>
      <w:r w:rsidRPr="00CA6C91">
        <w:lastRenderedPageBreak/>
        <w:t>Summary</w:t>
      </w:r>
    </w:p>
    <w:p w14:paraId="438CAFF0" w14:textId="59D4D33F" w:rsidR="008D2923" w:rsidRPr="00CA6C91" w:rsidRDefault="00000000">
      <w:pPr>
        <w:spacing w:after="160" w:line="360" w:lineRule="auto"/>
        <w:jc w:val="both"/>
        <w:rPr>
          <w:sz w:val="28"/>
          <w:szCs w:val="28"/>
        </w:rPr>
      </w:pPr>
      <w:r w:rsidRPr="00CA6C91">
        <w:rPr>
          <w:sz w:val="28"/>
          <w:szCs w:val="28"/>
        </w:rPr>
        <w:t xml:space="preserve">This report presents a Strategic Change Management Plan for NHS </w:t>
      </w:r>
      <w:r w:rsidR="005B54ED" w:rsidRPr="00CA6C91">
        <w:rPr>
          <w:sz w:val="28"/>
          <w:szCs w:val="28"/>
        </w:rPr>
        <w:t>Northwest</w:t>
      </w:r>
      <w:r w:rsidRPr="00CA6C91">
        <w:rPr>
          <w:sz w:val="28"/>
          <w:szCs w:val="28"/>
        </w:rPr>
        <w:t xml:space="preserve"> London Integrated Care Board (NWL ICB), focusing on the adoption of digital technologies and artificial intelligence (AI) within its operational and clinical frameworks. As one of England's largest integrated care systems, NWL ICB faces mounting pressures from rising patient demand, workforce shortages, and inefficient legacy systems. This report analyses the organisation's internal and external environments, evaluates appropriate change management models, and proposes a structured change programme aligned to NHS Long Term Plan objectives.</w:t>
      </w:r>
    </w:p>
    <w:p w14:paraId="438CAFF1" w14:textId="77777777" w:rsidR="008D2923" w:rsidRPr="00CA6C91" w:rsidRDefault="00000000">
      <w:pPr>
        <w:spacing w:after="160" w:line="360" w:lineRule="auto"/>
        <w:jc w:val="both"/>
        <w:rPr>
          <w:sz w:val="28"/>
          <w:szCs w:val="28"/>
        </w:rPr>
      </w:pPr>
      <w:r w:rsidRPr="00CA6C91">
        <w:rPr>
          <w:sz w:val="28"/>
          <w:szCs w:val="28"/>
        </w:rPr>
        <w:t>The report draws on Kotter's (1996) eight-step change model as the primary framework, supplemented by Lewin's (1951) force field approach during the initial unfreezing phase. Leadership analysis highlights the necessity of transformational leadership to sustain cultural and behavioural change. The proposed plan includes a phased AI implementation strategy, stakeholder engagement approach, resource and financial considerations, and evaluation metrics. It is intended to serve as a practical guide for the NWL ICB board and executive leadership.</w:t>
      </w:r>
    </w:p>
    <w:p w14:paraId="438CAFF2" w14:textId="77777777" w:rsidR="008D2923" w:rsidRPr="00CA6C91" w:rsidRDefault="00000000">
      <w:pPr>
        <w:rPr>
          <w:sz w:val="28"/>
          <w:szCs w:val="28"/>
        </w:rPr>
      </w:pPr>
      <w:r w:rsidRPr="00CA6C91">
        <w:rPr>
          <w:sz w:val="28"/>
          <w:szCs w:val="28"/>
        </w:rPr>
        <w:br w:type="page"/>
      </w:r>
    </w:p>
    <w:p w14:paraId="1D01BB5E" w14:textId="667DCE6D" w:rsidR="000110BD" w:rsidRDefault="00000000" w:rsidP="000110BD">
      <w:pPr>
        <w:pStyle w:val="Heading1"/>
        <w:numPr>
          <w:ilvl w:val="0"/>
          <w:numId w:val="3"/>
        </w:numPr>
        <w:tabs>
          <w:tab w:val="left" w:pos="6132"/>
        </w:tabs>
      </w:pPr>
      <w:r w:rsidRPr="00CA6C91">
        <w:lastRenderedPageBreak/>
        <w:t>Introduction to the Organisation</w:t>
      </w:r>
    </w:p>
    <w:p w14:paraId="438CAFF3" w14:textId="4B492A56" w:rsidR="008D2923" w:rsidRPr="00EB7170" w:rsidRDefault="00EB7170" w:rsidP="00220926">
      <w:pPr>
        <w:pStyle w:val="Heading1"/>
        <w:tabs>
          <w:tab w:val="left" w:pos="6132"/>
        </w:tabs>
        <w:spacing w:line="360" w:lineRule="auto"/>
        <w:jc w:val="both"/>
        <w:rPr>
          <w:b w:val="0"/>
          <w:bCs w:val="0"/>
        </w:rPr>
      </w:pPr>
      <w:r w:rsidRPr="00EB7170">
        <w:rPr>
          <w:b w:val="0"/>
          <w:bCs w:val="0"/>
          <w:color w:val="auto"/>
        </w:rPr>
        <w:t xml:space="preserve">The Northwest London </w:t>
      </w:r>
      <w:r w:rsidR="00424A05">
        <w:rPr>
          <w:b w:val="0"/>
          <w:bCs w:val="0"/>
          <w:color w:val="auto"/>
        </w:rPr>
        <w:t xml:space="preserve">integrated Care board has held </w:t>
      </w:r>
      <w:r w:rsidR="009150BE">
        <w:rPr>
          <w:b w:val="0"/>
          <w:bCs w:val="0"/>
          <w:color w:val="auto"/>
        </w:rPr>
        <w:t>legal responsibility for assessing population health needs, allocating National Health Services (NHS)</w:t>
      </w:r>
      <w:r w:rsidR="0033132F">
        <w:rPr>
          <w:b w:val="0"/>
          <w:bCs w:val="0"/>
          <w:color w:val="auto"/>
        </w:rPr>
        <w:t xml:space="preserve"> resources and commissioning services across the regi</w:t>
      </w:r>
      <w:r w:rsidR="00AD74DE">
        <w:rPr>
          <w:b w:val="0"/>
          <w:bCs w:val="0"/>
          <w:color w:val="auto"/>
        </w:rPr>
        <w:t xml:space="preserve">on. This replace the former Clinical Commissioning </w:t>
      </w:r>
      <w:r w:rsidR="00220926">
        <w:rPr>
          <w:b w:val="0"/>
          <w:bCs w:val="0"/>
          <w:color w:val="auto"/>
        </w:rPr>
        <w:t>Groups (</w:t>
      </w:r>
      <w:r w:rsidR="00AD74DE">
        <w:rPr>
          <w:b w:val="0"/>
          <w:bCs w:val="0"/>
          <w:color w:val="auto"/>
        </w:rPr>
        <w:t>CCGs)</w:t>
      </w:r>
      <w:r w:rsidR="006057DF">
        <w:rPr>
          <w:b w:val="0"/>
          <w:bCs w:val="0"/>
          <w:color w:val="auto"/>
        </w:rPr>
        <w:t xml:space="preserve"> since July 2022</w:t>
      </w:r>
      <w:r w:rsidR="00455378">
        <w:rPr>
          <w:b w:val="0"/>
          <w:bCs w:val="0"/>
          <w:color w:val="auto"/>
        </w:rPr>
        <w:t xml:space="preserve"> (www.brentcouncil.com).</w:t>
      </w:r>
      <w:r w:rsidR="00E15204" w:rsidRPr="00EB7170">
        <w:rPr>
          <w:b w:val="0"/>
          <w:bCs w:val="0"/>
        </w:rPr>
        <w:tab/>
      </w:r>
    </w:p>
    <w:p w14:paraId="438CAFF4" w14:textId="3989FAEC" w:rsidR="008D2923" w:rsidRPr="00CA6C91" w:rsidRDefault="00000000" w:rsidP="00220926">
      <w:pPr>
        <w:spacing w:after="160" w:line="360" w:lineRule="auto"/>
        <w:jc w:val="both"/>
        <w:rPr>
          <w:sz w:val="28"/>
          <w:szCs w:val="28"/>
        </w:rPr>
      </w:pPr>
      <w:r w:rsidRPr="00CA6C91">
        <w:rPr>
          <w:sz w:val="28"/>
          <w:szCs w:val="28"/>
        </w:rPr>
        <w:t xml:space="preserve">NHS </w:t>
      </w:r>
      <w:r w:rsidR="00CA6C91" w:rsidRPr="00CA6C91">
        <w:rPr>
          <w:sz w:val="28"/>
          <w:szCs w:val="28"/>
        </w:rPr>
        <w:t>Northwest</w:t>
      </w:r>
      <w:r w:rsidRPr="00CA6C91">
        <w:rPr>
          <w:sz w:val="28"/>
          <w:szCs w:val="28"/>
        </w:rPr>
        <w:t xml:space="preserve"> London Integrated Care Board (NWL ICB) is one of forty-two Integrated Care Boards established across England following the Health and Care Act 2022. It oversees the planning and commissioning of health services for approximately 2.1 million residents across eight London boroughs, including Brent, Ealing, Hammersmith and Fulham, Harrow, Hillingdon, Hounslow, Kensington and Chelsea, and Westminster (NHS NWL ICB, 2023). As part of the broader NHS England framework, NWL ICB operates within one of the most complex urban healthcare systems in the world.</w:t>
      </w:r>
    </w:p>
    <w:p w14:paraId="438CAFF5" w14:textId="77777777" w:rsidR="008D2923" w:rsidRPr="00CA6C91" w:rsidRDefault="00000000">
      <w:pPr>
        <w:spacing w:after="160" w:line="360" w:lineRule="auto"/>
        <w:jc w:val="both"/>
        <w:rPr>
          <w:sz w:val="28"/>
          <w:szCs w:val="28"/>
        </w:rPr>
      </w:pPr>
      <w:r w:rsidRPr="00CA6C91">
        <w:rPr>
          <w:sz w:val="28"/>
          <w:szCs w:val="28"/>
        </w:rPr>
        <w:t>The organisation’s mission is to improve health outcomes and reduce health inequalities across its diverse population by planning services that are integrated, equitable, and person-centred. Its strategic vision is shaped by the NHS Long Term Plan (2019), which commits to delivering more care outside hospital settings, harnessing technology to modernise care delivery, and eliminating longstanding inequalities in access and outcomes. NWL ICB works in partnership with NHS Trusts, local authorities, voluntary organisations, and primary care networks to deliver on this vision.</w:t>
      </w:r>
    </w:p>
    <w:p w14:paraId="438CAFF6" w14:textId="77777777" w:rsidR="008D2923" w:rsidRPr="00CA6C91" w:rsidRDefault="00000000">
      <w:pPr>
        <w:spacing w:after="160" w:line="360" w:lineRule="auto"/>
        <w:jc w:val="both"/>
        <w:rPr>
          <w:sz w:val="28"/>
          <w:szCs w:val="28"/>
        </w:rPr>
      </w:pPr>
      <w:r w:rsidRPr="00CA6C91">
        <w:rPr>
          <w:sz w:val="28"/>
          <w:szCs w:val="28"/>
        </w:rPr>
        <w:t xml:space="preserve">The rationale for selecting NWL ICB is threefold. First, the organisation represents a real-world, high-stakes public sector environment where change management is critical. Second, it is actively engaged in digital </w:t>
      </w:r>
      <w:r w:rsidRPr="00CA6C91">
        <w:rPr>
          <w:sz w:val="28"/>
          <w:szCs w:val="28"/>
        </w:rPr>
        <w:lastRenderedPageBreak/>
        <w:t>transformation programmes, including the adoption of electronic patient records, AI-assisted diagnostics, and virtual care models. Third, as a newly formed organisation following recent structural NHS reforms, NWL ICB provides a particularly rich context in which to examine the intersection of structural, cultural, and technological change. The following sections analyse the forces driving change and propose a strategic framework for managing this transition effectively.</w:t>
      </w:r>
    </w:p>
    <w:p w14:paraId="438CAFF8" w14:textId="77777777" w:rsidR="008D2923" w:rsidRPr="00CA6C91" w:rsidRDefault="00000000">
      <w:pPr>
        <w:pStyle w:val="Heading1"/>
      </w:pPr>
      <w:r w:rsidRPr="00CA6C91">
        <w:t>2. Environmental and Organisational Analysis</w:t>
      </w:r>
    </w:p>
    <w:p w14:paraId="438CAFF9" w14:textId="77777777" w:rsidR="008D2923" w:rsidRPr="00CA6C91" w:rsidRDefault="00000000">
      <w:pPr>
        <w:pStyle w:val="Heading2"/>
        <w:rPr>
          <w:sz w:val="28"/>
          <w:szCs w:val="28"/>
        </w:rPr>
      </w:pPr>
      <w:r w:rsidRPr="00CA6C91">
        <w:rPr>
          <w:sz w:val="28"/>
          <w:szCs w:val="28"/>
        </w:rPr>
        <w:t>2.1 External Environment Analysis</w:t>
      </w:r>
    </w:p>
    <w:p w14:paraId="438CAFFA" w14:textId="77777777" w:rsidR="008D2923" w:rsidRPr="00CA6C91" w:rsidRDefault="00000000">
      <w:pPr>
        <w:spacing w:after="160" w:line="360" w:lineRule="auto"/>
        <w:jc w:val="both"/>
        <w:rPr>
          <w:sz w:val="28"/>
          <w:szCs w:val="28"/>
        </w:rPr>
      </w:pPr>
      <w:r w:rsidRPr="00CA6C91">
        <w:rPr>
          <w:sz w:val="28"/>
          <w:szCs w:val="28"/>
        </w:rPr>
        <w:t>A PESTLE analysis reveals significant external pressures facing NWL ICB. Politically, the NHS remains subject to government spending reviews, and the current administration’s emphasis on NHS digitalisation – articulated through the NHS Digital Transformation roadmap and NHSX strategy – creates both an imperative and opportunity for change (NHSX, 2021). Economically, the post-pandemic fiscal environment has constrained NHS budgets, while simultaneously healthcare demand has surged. NHS England reported a record 7.7 million patients on waiting lists in 2023, creating strong economic justification for efficiency-driving technology investment (NHS England, 2023).</w:t>
      </w:r>
    </w:p>
    <w:p w14:paraId="438CAFFB" w14:textId="77777777" w:rsidR="008D2923" w:rsidRPr="00CA6C91" w:rsidRDefault="00000000">
      <w:pPr>
        <w:spacing w:after="160" w:line="360" w:lineRule="auto"/>
        <w:jc w:val="both"/>
        <w:rPr>
          <w:sz w:val="28"/>
          <w:szCs w:val="28"/>
        </w:rPr>
      </w:pPr>
      <w:r w:rsidRPr="00CA6C91">
        <w:rPr>
          <w:sz w:val="28"/>
          <w:szCs w:val="28"/>
        </w:rPr>
        <w:t xml:space="preserve">Socially, NWL ICB serves one of England’s most ethnically diverse and densely populated regions, with high rates of health inequality linked to deprivation. Technological factors are perhaps the most disruptive: AI applications in diagnostics (such as Babylon Health’s symptom checker and AI-powered radiology tools) are reshaping clinical pathways, while digital patient record systems are becoming standard across health systems globally (Topol, 2019). Legally, the organisation must navigate the UK General Data Protection Regulation (UK GDPR) and the Data Security and Protection Toolkit, making governance of digital systems </w:t>
      </w:r>
      <w:r w:rsidRPr="00CA6C91">
        <w:rPr>
          <w:sz w:val="28"/>
          <w:szCs w:val="28"/>
        </w:rPr>
        <w:lastRenderedPageBreak/>
        <w:t>critical. Environmentally, NHS England’s commitment to achieving net zero carbon emissions by 2040 adds pressure to redesign service delivery models, including through digital consultations that reduce patient travel.</w:t>
      </w:r>
    </w:p>
    <w:p w14:paraId="438CAFFC" w14:textId="77777777" w:rsidR="008D2923" w:rsidRPr="00CA6C91" w:rsidRDefault="00000000">
      <w:pPr>
        <w:spacing w:after="160" w:line="360" w:lineRule="auto"/>
        <w:jc w:val="both"/>
        <w:rPr>
          <w:sz w:val="28"/>
          <w:szCs w:val="28"/>
        </w:rPr>
      </w:pPr>
      <w:r w:rsidRPr="00CA6C91">
        <w:rPr>
          <w:sz w:val="28"/>
          <w:szCs w:val="28"/>
        </w:rPr>
        <w:t>Porter’s Five Forces are less directly applicable in a publicly funded healthcare system, but the threat of substitution is relevant: private digital health providers such as Babylon and BUPA are increasingly attracting patients who can afford alternatives, placing competitive reputational pressure on NHS organisations to modernise. The bargaining power of technology suppliers – such as Microsoft, Oracle Cerner, and Google DeepMind – is high, given the NHS’s dependence on a small number of enterprise providers for core infrastructure (Wachter, 2016).</w:t>
      </w:r>
    </w:p>
    <w:p w14:paraId="438CAFFD" w14:textId="77777777" w:rsidR="008D2923" w:rsidRPr="00CA6C91" w:rsidRDefault="00000000">
      <w:pPr>
        <w:pStyle w:val="Heading2"/>
        <w:rPr>
          <w:sz w:val="28"/>
          <w:szCs w:val="28"/>
        </w:rPr>
      </w:pPr>
      <w:r w:rsidRPr="00CA6C91">
        <w:rPr>
          <w:sz w:val="28"/>
          <w:szCs w:val="28"/>
        </w:rPr>
        <w:t>2.2 Internal Environment Analysis</w:t>
      </w:r>
    </w:p>
    <w:p w14:paraId="438CAFFE" w14:textId="1BADB474" w:rsidR="008D2923" w:rsidRPr="00CA6C91" w:rsidRDefault="00000000">
      <w:pPr>
        <w:spacing w:after="160" w:line="360" w:lineRule="auto"/>
        <w:jc w:val="both"/>
        <w:rPr>
          <w:sz w:val="28"/>
          <w:szCs w:val="28"/>
        </w:rPr>
      </w:pPr>
      <w:r w:rsidRPr="00CA6C91">
        <w:rPr>
          <w:sz w:val="28"/>
          <w:szCs w:val="28"/>
        </w:rPr>
        <w:t>A SW</w:t>
      </w:r>
      <w:r w:rsidR="00930193">
        <w:rPr>
          <w:sz w:val="28"/>
          <w:szCs w:val="28"/>
        </w:rPr>
        <w:t>(OT)</w:t>
      </w:r>
      <w:r w:rsidRPr="00CA6C91">
        <w:rPr>
          <w:sz w:val="28"/>
          <w:szCs w:val="28"/>
        </w:rPr>
        <w:t xml:space="preserve"> analysis of NWL ICB highlights several key dynamics. Key strengths include a highly skilled clinical workforce, established relationships with leading academic health science centres such as Imperial College London, and a clear mandate from NHS England to lead digital innovation. Weaknesses include fragmented legacy IT systems across partner organisations, low digital literacy among some staff cohorts, and historically siloed working cultures between acute and community care settings (King’s Fund, 2022).</w:t>
      </w:r>
    </w:p>
    <w:p w14:paraId="438CAFFF" w14:textId="10BAD5B7" w:rsidR="008D2923" w:rsidRPr="00CA6C91" w:rsidRDefault="001A1656">
      <w:pPr>
        <w:spacing w:after="160" w:line="360" w:lineRule="auto"/>
        <w:jc w:val="both"/>
        <w:rPr>
          <w:sz w:val="28"/>
          <w:szCs w:val="28"/>
        </w:rPr>
      </w:pPr>
      <w:r>
        <w:rPr>
          <w:sz w:val="28"/>
          <w:szCs w:val="28"/>
        </w:rPr>
        <w:t>(</w:t>
      </w:r>
      <w:r w:rsidR="004A298E">
        <w:rPr>
          <w:sz w:val="28"/>
          <w:szCs w:val="28"/>
        </w:rPr>
        <w:t>Opp</w:t>
      </w:r>
      <w:r w:rsidR="00102606">
        <w:rPr>
          <w:sz w:val="28"/>
          <w:szCs w:val="28"/>
        </w:rPr>
        <w:t xml:space="preserve">ortunities and threats are not discussed because they originate from the external environment and fall outside the organisation’s </w:t>
      </w:r>
      <w:r w:rsidR="00FF1CA1">
        <w:rPr>
          <w:sz w:val="28"/>
          <w:szCs w:val="28"/>
        </w:rPr>
        <w:t xml:space="preserve">direct control. Internal </w:t>
      </w:r>
      <w:r w:rsidR="001D2B7F">
        <w:rPr>
          <w:sz w:val="28"/>
          <w:szCs w:val="28"/>
        </w:rPr>
        <w:t xml:space="preserve">analysis is designed to </w:t>
      </w:r>
      <w:r w:rsidR="00B722C1">
        <w:rPr>
          <w:sz w:val="28"/>
          <w:szCs w:val="28"/>
        </w:rPr>
        <w:t xml:space="preserve">assess only internal strengths and </w:t>
      </w:r>
      <w:r w:rsidR="002510CA">
        <w:rPr>
          <w:sz w:val="28"/>
          <w:szCs w:val="28"/>
        </w:rPr>
        <w:t>weaknesses)</w:t>
      </w:r>
    </w:p>
    <w:p w14:paraId="438CB000" w14:textId="77777777" w:rsidR="008D2923" w:rsidRPr="00CA6C91" w:rsidRDefault="00000000">
      <w:pPr>
        <w:spacing w:after="160" w:line="360" w:lineRule="auto"/>
        <w:jc w:val="both"/>
        <w:rPr>
          <w:sz w:val="28"/>
          <w:szCs w:val="28"/>
        </w:rPr>
      </w:pPr>
      <w:r w:rsidRPr="00CA6C91">
        <w:rPr>
          <w:sz w:val="28"/>
          <w:szCs w:val="28"/>
        </w:rPr>
        <w:t xml:space="preserve">A McKinsey 7S analysis further reveals misalignment between the organisation’s stated digital strategy (Strategy) and its current Systems and Staff capabilities. Shared values around patient safety and equity are </w:t>
      </w:r>
      <w:r w:rsidRPr="00CA6C91">
        <w:rPr>
          <w:sz w:val="28"/>
          <w:szCs w:val="28"/>
        </w:rPr>
        <w:lastRenderedPageBreak/>
        <w:t>strong, but these need to be explicitly linked to the digital change agenda to build internal legitimacy.</w:t>
      </w:r>
    </w:p>
    <w:p w14:paraId="438CB001" w14:textId="77777777" w:rsidR="008D2923" w:rsidRPr="00CA6C91" w:rsidRDefault="00000000">
      <w:pPr>
        <w:pStyle w:val="Heading2"/>
        <w:rPr>
          <w:sz w:val="28"/>
          <w:szCs w:val="28"/>
        </w:rPr>
      </w:pPr>
      <w:r w:rsidRPr="00CA6C91">
        <w:rPr>
          <w:sz w:val="28"/>
          <w:szCs w:val="28"/>
        </w:rPr>
        <w:t>2.3 Triggers for Change</w:t>
      </w:r>
    </w:p>
    <w:p w14:paraId="438CB003" w14:textId="5119520C" w:rsidR="008D2923" w:rsidRPr="00CA6C91" w:rsidRDefault="00000000" w:rsidP="00F50F1D">
      <w:pPr>
        <w:spacing w:after="160" w:line="360" w:lineRule="auto"/>
        <w:jc w:val="both"/>
        <w:rPr>
          <w:sz w:val="28"/>
          <w:szCs w:val="28"/>
        </w:rPr>
      </w:pPr>
      <w:r w:rsidRPr="00CA6C91">
        <w:rPr>
          <w:sz w:val="28"/>
          <w:szCs w:val="28"/>
        </w:rPr>
        <w:t>The primary triggers for change at NWL ICB are both external and internal. The rapid advancement of AI in healthcare – from predictive analytics for bed management to AI-supported clinical decision tools – represents a fundamental technological disruption that health systems cannot afford to ignore (Topol, 2019). At the same time, the NHS’s post-pandemic backlog, chronic workforce shortages, and rising patient expectations are creating strong internal pressure to find more efficient, scalable models of care. Digital transformation is no longer a strategic option but an operational necessity.</w:t>
      </w:r>
    </w:p>
    <w:p w14:paraId="438CB004" w14:textId="77777777" w:rsidR="008D2923" w:rsidRPr="00CA6C91" w:rsidRDefault="00000000">
      <w:pPr>
        <w:pStyle w:val="Heading1"/>
      </w:pPr>
      <w:r w:rsidRPr="00CA6C91">
        <w:t>3. Review and Evaluation of Change Management Models</w:t>
      </w:r>
    </w:p>
    <w:p w14:paraId="438CB005" w14:textId="77777777" w:rsidR="008D2923" w:rsidRPr="00CA6C91" w:rsidRDefault="00000000">
      <w:pPr>
        <w:spacing w:after="160" w:line="360" w:lineRule="auto"/>
        <w:jc w:val="both"/>
        <w:rPr>
          <w:sz w:val="28"/>
          <w:szCs w:val="28"/>
        </w:rPr>
      </w:pPr>
      <w:r w:rsidRPr="00CA6C91">
        <w:rPr>
          <w:sz w:val="28"/>
          <w:szCs w:val="28"/>
        </w:rPr>
        <w:t>A robust change management framework is essential for navigating the complexity of digital transformation in a large public sector organisation. Three principal models are evaluated below.</w:t>
      </w:r>
    </w:p>
    <w:p w14:paraId="438CB006" w14:textId="77777777" w:rsidR="008D2923" w:rsidRPr="00CA6C91" w:rsidRDefault="00000000">
      <w:pPr>
        <w:pStyle w:val="Heading2"/>
        <w:rPr>
          <w:sz w:val="28"/>
          <w:szCs w:val="28"/>
        </w:rPr>
      </w:pPr>
      <w:r w:rsidRPr="00CA6C91">
        <w:rPr>
          <w:sz w:val="28"/>
          <w:szCs w:val="28"/>
        </w:rPr>
        <w:t>3.1 Lewin’s Three-Step Model (1951)</w:t>
      </w:r>
    </w:p>
    <w:p w14:paraId="438CB007" w14:textId="51C97758" w:rsidR="008D2923" w:rsidRPr="00CA6C91" w:rsidRDefault="00000000">
      <w:pPr>
        <w:spacing w:after="160" w:line="360" w:lineRule="auto"/>
        <w:jc w:val="both"/>
        <w:rPr>
          <w:sz w:val="28"/>
          <w:szCs w:val="28"/>
        </w:rPr>
      </w:pPr>
      <w:r w:rsidRPr="00CA6C91">
        <w:rPr>
          <w:sz w:val="28"/>
          <w:szCs w:val="28"/>
        </w:rPr>
        <w:t>Kurt Lewin’s model conceptualises change as a three-phase process: unfreezing existing behaviours and attitudes, moving to new ways of working, and refreezing these as the new norm (Lewin, 1951). Its simplicity has made it enduringly popular.</w:t>
      </w:r>
      <w:r w:rsidR="00791B61">
        <w:rPr>
          <w:sz w:val="28"/>
          <w:szCs w:val="28"/>
        </w:rPr>
        <w:t xml:space="preserve"> </w:t>
      </w:r>
      <w:r w:rsidR="00E53C5D">
        <w:rPr>
          <w:sz w:val="28"/>
          <w:szCs w:val="28"/>
        </w:rPr>
        <w:t xml:space="preserve">Lewin’s model focuses on people. </w:t>
      </w:r>
      <w:r w:rsidR="004B4BE2">
        <w:rPr>
          <w:sz w:val="28"/>
          <w:szCs w:val="28"/>
        </w:rPr>
        <w:t>Lewin’s model provides a structured framework for improving patient-centre</w:t>
      </w:r>
      <w:r w:rsidR="005C33C4">
        <w:rPr>
          <w:sz w:val="28"/>
          <w:szCs w:val="28"/>
        </w:rPr>
        <w:t xml:space="preserve">d practices within hospital settings. In the unfreeze stage, </w:t>
      </w:r>
      <w:r w:rsidR="007E16E6">
        <w:rPr>
          <w:sz w:val="28"/>
          <w:szCs w:val="28"/>
        </w:rPr>
        <w:t xml:space="preserve">NWL ICB critically </w:t>
      </w:r>
      <w:r w:rsidR="006676A9">
        <w:rPr>
          <w:sz w:val="28"/>
          <w:szCs w:val="28"/>
        </w:rPr>
        <w:t xml:space="preserve">assess </w:t>
      </w:r>
      <w:r w:rsidR="0032356E">
        <w:rPr>
          <w:sz w:val="28"/>
          <w:szCs w:val="28"/>
        </w:rPr>
        <w:t>existing routines and identify patient-care gaps</w:t>
      </w:r>
      <w:r w:rsidR="0070130C">
        <w:rPr>
          <w:sz w:val="28"/>
          <w:szCs w:val="28"/>
        </w:rPr>
        <w:t>, such as communication failures</w:t>
      </w:r>
      <w:r w:rsidR="006676A9">
        <w:rPr>
          <w:sz w:val="28"/>
          <w:szCs w:val="28"/>
        </w:rPr>
        <w:t xml:space="preserve"> or delays in treatment, thereby creating awareness</w:t>
      </w:r>
      <w:r w:rsidR="00C623D6">
        <w:rPr>
          <w:sz w:val="28"/>
          <w:szCs w:val="28"/>
        </w:rPr>
        <w:t xml:space="preserve"> of the need for change among clinical </w:t>
      </w:r>
      <w:r w:rsidR="006C4871">
        <w:rPr>
          <w:sz w:val="28"/>
          <w:szCs w:val="28"/>
        </w:rPr>
        <w:t>staff</w:t>
      </w:r>
      <w:r w:rsidR="00C623D6">
        <w:rPr>
          <w:sz w:val="28"/>
          <w:szCs w:val="28"/>
        </w:rPr>
        <w:t xml:space="preserve">. The change stage </w:t>
      </w:r>
      <w:r w:rsidR="008B3176">
        <w:rPr>
          <w:sz w:val="28"/>
          <w:szCs w:val="28"/>
        </w:rPr>
        <w:t>involves implementing new evidence-based interventions</w:t>
      </w:r>
      <w:r w:rsidR="008625F3">
        <w:rPr>
          <w:sz w:val="28"/>
          <w:szCs w:val="28"/>
        </w:rPr>
        <w:t xml:space="preserve"> – such as </w:t>
      </w:r>
      <w:r w:rsidR="008625F3">
        <w:rPr>
          <w:sz w:val="28"/>
          <w:szCs w:val="28"/>
        </w:rPr>
        <w:lastRenderedPageBreak/>
        <w:t xml:space="preserve">enhanced care pathways, </w:t>
      </w:r>
      <w:r w:rsidR="006C4871">
        <w:rPr>
          <w:sz w:val="28"/>
          <w:szCs w:val="28"/>
        </w:rPr>
        <w:t>digital</w:t>
      </w:r>
      <w:r w:rsidR="008625F3">
        <w:rPr>
          <w:sz w:val="28"/>
          <w:szCs w:val="28"/>
        </w:rPr>
        <w:t xml:space="preserve"> monitoring systems</w:t>
      </w:r>
      <w:r w:rsidR="0036250E">
        <w:rPr>
          <w:sz w:val="28"/>
          <w:szCs w:val="28"/>
        </w:rPr>
        <w:t xml:space="preserve"> or revised communication protocols to improve patient outcomes and safety. </w:t>
      </w:r>
      <w:r w:rsidR="001E2A7C">
        <w:rPr>
          <w:sz w:val="28"/>
          <w:szCs w:val="28"/>
        </w:rPr>
        <w:t xml:space="preserve">The final stage of </w:t>
      </w:r>
      <w:r w:rsidR="00CD5E7C">
        <w:rPr>
          <w:sz w:val="28"/>
          <w:szCs w:val="28"/>
        </w:rPr>
        <w:t>refreezing stabilises</w:t>
      </w:r>
      <w:r w:rsidR="006C4871">
        <w:rPr>
          <w:sz w:val="28"/>
          <w:szCs w:val="28"/>
        </w:rPr>
        <w:t xml:space="preserve"> </w:t>
      </w:r>
      <w:r w:rsidR="002E3FD4">
        <w:rPr>
          <w:sz w:val="28"/>
          <w:szCs w:val="28"/>
        </w:rPr>
        <w:t xml:space="preserve">these improvements through staff training, policy integration and continuous </w:t>
      </w:r>
      <w:r w:rsidR="000F6242">
        <w:rPr>
          <w:sz w:val="28"/>
          <w:szCs w:val="28"/>
        </w:rPr>
        <w:t xml:space="preserve">evaluation, ensuring that patient -centred practices become embedded in everyday clinical operations. </w:t>
      </w:r>
      <w:r w:rsidR="006C4871">
        <w:rPr>
          <w:sz w:val="28"/>
          <w:szCs w:val="28"/>
        </w:rPr>
        <w:t xml:space="preserve"> </w:t>
      </w:r>
      <w:r w:rsidRPr="00CA6C91">
        <w:rPr>
          <w:sz w:val="28"/>
          <w:szCs w:val="28"/>
        </w:rPr>
        <w:t xml:space="preserve">However, critics argue that Lewin’s model is overly linear and insufficient for complex, multi-stakeholder organisations where change is rarely sequential or reversible (Burnes, 2004). </w:t>
      </w:r>
    </w:p>
    <w:p w14:paraId="438CB008" w14:textId="77777777" w:rsidR="008D2923" w:rsidRPr="00CA6C91" w:rsidRDefault="00000000">
      <w:pPr>
        <w:pStyle w:val="Heading2"/>
        <w:rPr>
          <w:sz w:val="28"/>
          <w:szCs w:val="28"/>
        </w:rPr>
      </w:pPr>
      <w:r w:rsidRPr="00CA6C91">
        <w:rPr>
          <w:sz w:val="28"/>
          <w:szCs w:val="28"/>
        </w:rPr>
        <w:t>3.2 Kotter’s Eight-Step Model (1996)</w:t>
      </w:r>
    </w:p>
    <w:p w14:paraId="438CB009" w14:textId="77777777" w:rsidR="008D2923" w:rsidRPr="00CA6C91" w:rsidRDefault="00000000">
      <w:pPr>
        <w:spacing w:after="160" w:line="360" w:lineRule="auto"/>
        <w:jc w:val="both"/>
        <w:rPr>
          <w:sz w:val="28"/>
          <w:szCs w:val="28"/>
        </w:rPr>
      </w:pPr>
      <w:r w:rsidRPr="00CA6C91">
        <w:rPr>
          <w:sz w:val="28"/>
          <w:szCs w:val="28"/>
        </w:rPr>
        <w:t>John Kotter’s (1996) eight-step model provides a more granular and leadership-centric approach. The steps – creating urgency, forming a guiding coalition, developing a vision, communicating the vision, empowering others, generating short-term wins, consolidating gains, and anchoring change in culture – align well with NWL ICB’s context. The emphasis on creating a guiding coalition is particularly relevant: digital transformation in the NHS requires buy-in from clinicians, IT specialists, commissioners, and patient representatives simultaneously. Kotter’s focus on short-term wins also addresses a key risk in public sector change – stakeholder fatigue in the face of long transformation timelines (Kotter, 1996). However, the model has been criticised for its top-down orientation, which may not fully account for the bottom-up clinical engagement needed in healthcare settings (Appelbaum et al., 2012).</w:t>
      </w:r>
    </w:p>
    <w:p w14:paraId="438CB00A" w14:textId="77777777" w:rsidR="008D2923" w:rsidRPr="00CA6C91" w:rsidRDefault="00000000">
      <w:pPr>
        <w:pStyle w:val="Heading2"/>
        <w:rPr>
          <w:sz w:val="28"/>
          <w:szCs w:val="28"/>
        </w:rPr>
      </w:pPr>
      <w:r w:rsidRPr="00CA6C91">
        <w:rPr>
          <w:sz w:val="28"/>
          <w:szCs w:val="28"/>
        </w:rPr>
        <w:t>3.3 ADKAR Model (Hiatt, 2006)</w:t>
      </w:r>
    </w:p>
    <w:p w14:paraId="438CB00B" w14:textId="77777777" w:rsidR="008D2923" w:rsidRPr="00CA6C91" w:rsidRDefault="00000000">
      <w:pPr>
        <w:spacing w:after="160" w:line="360" w:lineRule="auto"/>
        <w:jc w:val="both"/>
        <w:rPr>
          <w:sz w:val="28"/>
          <w:szCs w:val="28"/>
        </w:rPr>
      </w:pPr>
      <w:r w:rsidRPr="00CA6C91">
        <w:rPr>
          <w:sz w:val="28"/>
          <w:szCs w:val="28"/>
        </w:rPr>
        <w:t xml:space="preserve">Prosci’s ADKAR model focuses on the individual level of change, identifying five building blocks: Awareness of the need for change, Desire to support the change, Knowledge of how to change, Ability to implement new skills, and Reinforcement to sustain change (Hiatt, 2006). This model is particularly valuable in supplementing Kotter’s macro-level framework </w:t>
      </w:r>
      <w:r w:rsidRPr="00CA6C91">
        <w:rPr>
          <w:sz w:val="28"/>
          <w:szCs w:val="28"/>
        </w:rPr>
        <w:lastRenderedPageBreak/>
        <w:t>by addressing the individual behavioural dimension – critical in healthcare, where clinician adoption of new technologies is far from guaranteed. The NHS has documented significant resistance to EPR adoption in previous implementations, partly due to poor understanding and training (Wachter, 2016). ADKAR’s structured approach to individual readiness provides a complementary lens.</w:t>
      </w:r>
    </w:p>
    <w:p w14:paraId="438CB00C" w14:textId="77777777" w:rsidR="008D2923" w:rsidRPr="00CA6C91" w:rsidRDefault="00000000">
      <w:pPr>
        <w:pStyle w:val="Heading2"/>
        <w:rPr>
          <w:sz w:val="28"/>
          <w:szCs w:val="28"/>
        </w:rPr>
      </w:pPr>
      <w:r w:rsidRPr="00CA6C91">
        <w:rPr>
          <w:sz w:val="28"/>
          <w:szCs w:val="28"/>
        </w:rPr>
        <w:t>3.4 Recommended Hybrid Model</w:t>
      </w:r>
    </w:p>
    <w:p w14:paraId="438CB00D" w14:textId="35ABF592" w:rsidR="008D2923" w:rsidRDefault="00000000">
      <w:pPr>
        <w:spacing w:after="160" w:line="360" w:lineRule="auto"/>
        <w:jc w:val="both"/>
        <w:rPr>
          <w:sz w:val="28"/>
          <w:szCs w:val="28"/>
        </w:rPr>
      </w:pPr>
      <w:r w:rsidRPr="00CA6C91">
        <w:rPr>
          <w:sz w:val="28"/>
          <w:szCs w:val="28"/>
        </w:rPr>
        <w:t xml:space="preserve">This report recommends a hybrid approach combining Kotter’s eight-step model as the strategic macro-framework with ADKAR’s individual-level components embedded within each phase. </w:t>
      </w:r>
      <w:r w:rsidR="00B7524A">
        <w:rPr>
          <w:sz w:val="28"/>
          <w:szCs w:val="28"/>
        </w:rPr>
        <w:t xml:space="preserve">Hybrid </w:t>
      </w:r>
      <w:r w:rsidR="00112F0F">
        <w:rPr>
          <w:sz w:val="28"/>
          <w:szCs w:val="28"/>
        </w:rPr>
        <w:t xml:space="preserve">model is increasingly </w:t>
      </w:r>
      <w:r w:rsidR="00001D32">
        <w:rPr>
          <w:sz w:val="28"/>
          <w:szCs w:val="28"/>
        </w:rPr>
        <w:t>recommended because it enhances access, efficie</w:t>
      </w:r>
      <w:r w:rsidR="00C9128E">
        <w:rPr>
          <w:sz w:val="28"/>
          <w:szCs w:val="28"/>
        </w:rPr>
        <w:t xml:space="preserve">ncy and patient outcomes by integrating in-person and digital services. </w:t>
      </w:r>
      <w:r w:rsidR="00112303">
        <w:rPr>
          <w:sz w:val="28"/>
          <w:szCs w:val="28"/>
        </w:rPr>
        <w:t xml:space="preserve">This approach reduces barriers to care particularly for rural </w:t>
      </w:r>
      <w:r w:rsidR="00977BA4">
        <w:rPr>
          <w:sz w:val="28"/>
          <w:szCs w:val="28"/>
        </w:rPr>
        <w:t>and underserved populations</w:t>
      </w:r>
      <w:r w:rsidR="001B34CA">
        <w:rPr>
          <w:sz w:val="28"/>
          <w:szCs w:val="28"/>
        </w:rPr>
        <w:t xml:space="preserve">, while improving system capacity through remote consultations </w:t>
      </w:r>
      <w:r w:rsidR="0068521A">
        <w:rPr>
          <w:sz w:val="28"/>
          <w:szCs w:val="28"/>
        </w:rPr>
        <w:t xml:space="preserve">and monitoring. </w:t>
      </w:r>
      <w:r w:rsidR="00C141D0">
        <w:rPr>
          <w:sz w:val="28"/>
          <w:szCs w:val="28"/>
        </w:rPr>
        <w:t xml:space="preserve">Evidence shows </w:t>
      </w:r>
      <w:r w:rsidR="00387F38">
        <w:rPr>
          <w:sz w:val="28"/>
          <w:szCs w:val="28"/>
        </w:rPr>
        <w:t>that hybrid models strengthen chronic disease management</w:t>
      </w:r>
      <w:r w:rsidR="002B6859">
        <w:rPr>
          <w:sz w:val="28"/>
          <w:szCs w:val="28"/>
        </w:rPr>
        <w:t>, increase patient satisfaction and support contin</w:t>
      </w:r>
      <w:r w:rsidR="00523896">
        <w:rPr>
          <w:sz w:val="28"/>
          <w:szCs w:val="28"/>
        </w:rPr>
        <w:t>uity of care during public health emergencies. Digital health too</w:t>
      </w:r>
      <w:r w:rsidR="00140629">
        <w:rPr>
          <w:sz w:val="28"/>
          <w:szCs w:val="28"/>
        </w:rPr>
        <w:t xml:space="preserve">ls also promote patient engagement </w:t>
      </w:r>
      <w:r w:rsidR="002553C6">
        <w:rPr>
          <w:sz w:val="28"/>
          <w:szCs w:val="28"/>
        </w:rPr>
        <w:t xml:space="preserve">and cost-effective service delivery. Collectively, these benefits demonstrate </w:t>
      </w:r>
      <w:r w:rsidR="00285EF5">
        <w:rPr>
          <w:sz w:val="28"/>
          <w:szCs w:val="28"/>
        </w:rPr>
        <w:t>that hybrid care offers a more resilient and responsive healthcare system.</w:t>
      </w:r>
      <w:r w:rsidR="00A36973">
        <w:rPr>
          <w:sz w:val="28"/>
          <w:szCs w:val="28"/>
        </w:rPr>
        <w:t xml:space="preserve"> (World Health Organisation,</w:t>
      </w:r>
      <w:r w:rsidR="00667B81">
        <w:rPr>
          <w:sz w:val="28"/>
          <w:szCs w:val="28"/>
        </w:rPr>
        <w:t>2021; CDC</w:t>
      </w:r>
      <w:r w:rsidR="00A36973">
        <w:rPr>
          <w:sz w:val="28"/>
          <w:szCs w:val="28"/>
        </w:rPr>
        <w:t xml:space="preserve"> 2022)</w:t>
      </w:r>
      <w:r w:rsidR="00667B81">
        <w:rPr>
          <w:sz w:val="28"/>
          <w:szCs w:val="28"/>
        </w:rPr>
        <w:t xml:space="preserve">. </w:t>
      </w:r>
      <w:r w:rsidRPr="00CA6C91">
        <w:rPr>
          <w:sz w:val="28"/>
          <w:szCs w:val="28"/>
        </w:rPr>
        <w:t>Lewin’s force field analysis is recommended as a diagnostic tool during the initiation phase to map driving and restraining forces. This integration allows NWL ICB to manage both the organisational and human dimensions of digital change simultaneously. The hybrid approach is consistent with the emerging ‘people-centred’ change literature, which argues that sustainable transformation requires both systemic and behavioural change in parallel (Cameron and Green, 2019).</w:t>
      </w:r>
    </w:p>
    <w:p w14:paraId="7829346C" w14:textId="77777777" w:rsidR="001B07F5" w:rsidRDefault="001B07F5">
      <w:pPr>
        <w:spacing w:after="160" w:line="360" w:lineRule="auto"/>
        <w:jc w:val="both"/>
        <w:rPr>
          <w:sz w:val="28"/>
          <w:szCs w:val="28"/>
        </w:rPr>
      </w:pPr>
    </w:p>
    <w:p w14:paraId="571F7301" w14:textId="77777777" w:rsidR="001B07F5" w:rsidRDefault="001B07F5">
      <w:pPr>
        <w:spacing w:after="160" w:line="360" w:lineRule="auto"/>
        <w:jc w:val="both"/>
        <w:rPr>
          <w:sz w:val="28"/>
          <w:szCs w:val="28"/>
        </w:rPr>
      </w:pPr>
    </w:p>
    <w:p w14:paraId="48B68F73" w14:textId="77777777" w:rsidR="001B07F5" w:rsidRPr="00CA6C91" w:rsidRDefault="001B07F5">
      <w:pPr>
        <w:spacing w:after="160" w:line="360" w:lineRule="auto"/>
        <w:jc w:val="both"/>
        <w:rPr>
          <w:sz w:val="28"/>
          <w:szCs w:val="28"/>
        </w:rPr>
      </w:pPr>
    </w:p>
    <w:p w14:paraId="438CB00E" w14:textId="6D3C7372" w:rsidR="008D2923" w:rsidRPr="00CA6C91" w:rsidRDefault="008D2923">
      <w:pPr>
        <w:rPr>
          <w:sz w:val="28"/>
          <w:szCs w:val="28"/>
        </w:rPr>
      </w:pPr>
    </w:p>
    <w:p w14:paraId="438CB00F" w14:textId="77777777" w:rsidR="008D2923" w:rsidRPr="00CA6C91" w:rsidRDefault="00000000">
      <w:pPr>
        <w:pStyle w:val="Heading1"/>
      </w:pPr>
      <w:r w:rsidRPr="00CA6C91">
        <w:t>4. Leadership and Organisational Culture in Change</w:t>
      </w:r>
    </w:p>
    <w:p w14:paraId="438CB010" w14:textId="77777777" w:rsidR="008D2923" w:rsidRPr="00CA6C91" w:rsidRDefault="00000000">
      <w:pPr>
        <w:pStyle w:val="Heading2"/>
        <w:rPr>
          <w:sz w:val="28"/>
          <w:szCs w:val="28"/>
        </w:rPr>
      </w:pPr>
      <w:r w:rsidRPr="00CA6C91">
        <w:rPr>
          <w:sz w:val="28"/>
          <w:szCs w:val="28"/>
        </w:rPr>
        <w:t>4.1 Leadership Styles</w:t>
      </w:r>
    </w:p>
    <w:p w14:paraId="438CB011" w14:textId="3FB7514B" w:rsidR="008D2923" w:rsidRPr="00CA6C91" w:rsidRDefault="00000000">
      <w:pPr>
        <w:spacing w:after="160" w:line="360" w:lineRule="auto"/>
        <w:jc w:val="both"/>
        <w:rPr>
          <w:sz w:val="28"/>
          <w:szCs w:val="28"/>
        </w:rPr>
      </w:pPr>
      <w:r w:rsidRPr="00CA6C91">
        <w:rPr>
          <w:sz w:val="28"/>
          <w:szCs w:val="28"/>
        </w:rPr>
        <w:t>Leadership is widely regarded as the critical success factor in organisational change (Kotter, 1996; Cameron and Green, 2019)</w:t>
      </w:r>
      <w:r w:rsidR="00C60C65">
        <w:rPr>
          <w:sz w:val="28"/>
          <w:szCs w:val="28"/>
        </w:rPr>
        <w:t xml:space="preserve"> also </w:t>
      </w:r>
      <w:r w:rsidR="00882A96">
        <w:rPr>
          <w:sz w:val="28"/>
          <w:szCs w:val="28"/>
        </w:rPr>
        <w:t xml:space="preserve">leadership style is the set of </w:t>
      </w:r>
      <w:r w:rsidR="005C414C">
        <w:rPr>
          <w:sz w:val="28"/>
          <w:szCs w:val="28"/>
        </w:rPr>
        <w:t>behaviours</w:t>
      </w:r>
      <w:r w:rsidR="00882A96">
        <w:rPr>
          <w:sz w:val="28"/>
          <w:szCs w:val="28"/>
        </w:rPr>
        <w:t xml:space="preserve"> and metho</w:t>
      </w:r>
      <w:r w:rsidR="005C414C">
        <w:rPr>
          <w:sz w:val="28"/>
          <w:szCs w:val="28"/>
        </w:rPr>
        <w:t>ds a leader uses to provide direction, make decisions, motivate people and manage relationships within a group or organisation</w:t>
      </w:r>
      <w:r w:rsidR="006A044E">
        <w:rPr>
          <w:sz w:val="28"/>
          <w:szCs w:val="28"/>
        </w:rPr>
        <w:t xml:space="preserve"> (</w:t>
      </w:r>
      <w:hyperlink r:id="rId8" w:history="1">
        <w:r w:rsidR="00AC2503" w:rsidRPr="00B826C6">
          <w:rPr>
            <w:rStyle w:val="Hyperlink"/>
            <w:sz w:val="28"/>
            <w:szCs w:val="28"/>
          </w:rPr>
          <w:t>https://managinglifeatwork.com/</w:t>
        </w:r>
      </w:hyperlink>
      <w:r w:rsidR="00AC2503">
        <w:rPr>
          <w:sz w:val="28"/>
          <w:szCs w:val="28"/>
        </w:rPr>
        <w:t xml:space="preserve">). </w:t>
      </w:r>
      <w:r w:rsidR="00043E71">
        <w:rPr>
          <w:sz w:val="28"/>
          <w:szCs w:val="28"/>
        </w:rPr>
        <w:t xml:space="preserve"> </w:t>
      </w:r>
      <w:r w:rsidRPr="00CA6C91">
        <w:rPr>
          <w:sz w:val="28"/>
          <w:szCs w:val="28"/>
        </w:rPr>
        <w:t xml:space="preserve"> For NWL ICB’s digital transformation programme, transformational leadership is the most appropriate primary style. Transformational leaders inspire followers through a compelling vision, intellectual stimulation, and individualised consideration (Bass and Riggio, 2006). In the NHS context, a Chief Digital Officer or programme sponsor who can articulate why digital transformation is essential for patient outcomes – rather than simply a cost-saving exercise – is likely to generate the intrinsic motivation needed for sustained engagement from clinical staff.</w:t>
      </w:r>
    </w:p>
    <w:p w14:paraId="438CB012" w14:textId="77777777" w:rsidR="008D2923" w:rsidRPr="00CA6C91" w:rsidRDefault="00000000">
      <w:pPr>
        <w:spacing w:after="160" w:line="360" w:lineRule="auto"/>
        <w:jc w:val="both"/>
        <w:rPr>
          <w:sz w:val="28"/>
          <w:szCs w:val="28"/>
        </w:rPr>
      </w:pPr>
      <w:r w:rsidRPr="00CA6C91">
        <w:rPr>
          <w:sz w:val="28"/>
          <w:szCs w:val="28"/>
        </w:rPr>
        <w:t>Situational leadership (Hersey and Blanchard, 1988) offers a useful complementary approach, recognising that different staff groups will require different levels of direction and support depending on their digital capability and readiness. For example, data scientists and IT specialists may require high-autonomy, low-directive leadership, while frontline administrative staff encountering new EPR systems may need coaching and structured support. A rigid, one-size-fits-all leadership approach is likely to fail in an organisation as diverse as NWL ICB.</w:t>
      </w:r>
    </w:p>
    <w:p w14:paraId="438CB013" w14:textId="77777777" w:rsidR="008D2923" w:rsidRDefault="00000000">
      <w:pPr>
        <w:spacing w:after="160" w:line="360" w:lineRule="auto"/>
        <w:jc w:val="both"/>
        <w:rPr>
          <w:sz w:val="28"/>
          <w:szCs w:val="28"/>
        </w:rPr>
      </w:pPr>
      <w:r w:rsidRPr="00CA6C91">
        <w:rPr>
          <w:sz w:val="28"/>
          <w:szCs w:val="28"/>
        </w:rPr>
        <w:lastRenderedPageBreak/>
        <w:t>Transactional leadership elements – such as clear role definitions, performance targets linked to digital adoption, and recognition of early adopters – are also valuable in the short term to establish accountability structures during implementation. However, over-reliance on transactional approaches risks embedding compliance without genuine cultural change (Bass and Riggio, 2006).</w:t>
      </w:r>
    </w:p>
    <w:p w14:paraId="3DB08995" w14:textId="77777777" w:rsidR="00C83636" w:rsidRPr="00CA6C91" w:rsidRDefault="00C83636">
      <w:pPr>
        <w:spacing w:after="160" w:line="360" w:lineRule="auto"/>
        <w:jc w:val="both"/>
        <w:rPr>
          <w:sz w:val="28"/>
          <w:szCs w:val="28"/>
        </w:rPr>
      </w:pPr>
    </w:p>
    <w:p w14:paraId="438CB014" w14:textId="77777777" w:rsidR="008D2923" w:rsidRPr="00CA6C91" w:rsidRDefault="00000000">
      <w:pPr>
        <w:pStyle w:val="Heading2"/>
        <w:rPr>
          <w:sz w:val="28"/>
          <w:szCs w:val="28"/>
        </w:rPr>
      </w:pPr>
      <w:r w:rsidRPr="00CA6C91">
        <w:rPr>
          <w:sz w:val="28"/>
          <w:szCs w:val="28"/>
        </w:rPr>
        <w:t>4.2 Organisational Culture</w:t>
      </w:r>
    </w:p>
    <w:p w14:paraId="438CB015" w14:textId="77777777" w:rsidR="008D2923" w:rsidRPr="00CA6C91" w:rsidRDefault="00000000">
      <w:pPr>
        <w:spacing w:after="160" w:line="360" w:lineRule="auto"/>
        <w:jc w:val="both"/>
        <w:rPr>
          <w:sz w:val="28"/>
          <w:szCs w:val="28"/>
        </w:rPr>
      </w:pPr>
      <w:r w:rsidRPr="00CA6C91">
        <w:rPr>
          <w:sz w:val="28"/>
          <w:szCs w:val="28"/>
        </w:rPr>
        <w:t>Schein’s (2010) model of organisational culture identifies three levels: artefacts (visible behaviours and structures), espoused values, and underlying assumptions. In the NHS, deeply embedded assumptions about professional autonomy – particularly among clinicians – can create significant resistance to technology-driven changes that are perceived as threatening clinical judgment or increasing managerial oversight. Schein’s framework suggests that sustainable change requires not only altering surface-level processes but also engaging with the deeper assumptions that shape how staff interpret and respond to change.</w:t>
      </w:r>
    </w:p>
    <w:p w14:paraId="438CB016" w14:textId="77777777" w:rsidR="008D2923" w:rsidRPr="00CA6C91" w:rsidRDefault="00000000">
      <w:pPr>
        <w:spacing w:after="160" w:line="360" w:lineRule="auto"/>
        <w:jc w:val="both"/>
        <w:rPr>
          <w:sz w:val="28"/>
          <w:szCs w:val="28"/>
        </w:rPr>
      </w:pPr>
      <w:r w:rsidRPr="00CA6C91">
        <w:rPr>
          <w:sz w:val="28"/>
          <w:szCs w:val="28"/>
        </w:rPr>
        <w:t>Handy’s (1993) cultural typology is also instructive. NHS organisations have traditionally exhibited characteristics of a role culture – hierarchical, process-driven, and risk-averse – which can hinder the agility required for digital innovation. Shifting towards a task culture that values cross-disciplinary collaboration, experimentation, and iterative improvement is a necessary cultural goal alongside the technical change programme. This cultural shift must be actively modelled by senior leaders and embedded in team structures, performance frameworks, and communications.</w:t>
      </w:r>
    </w:p>
    <w:p w14:paraId="438CB017" w14:textId="77777777" w:rsidR="008D2923" w:rsidRDefault="00000000">
      <w:pPr>
        <w:spacing w:after="160" w:line="360" w:lineRule="auto"/>
        <w:jc w:val="both"/>
        <w:rPr>
          <w:sz w:val="28"/>
          <w:szCs w:val="28"/>
        </w:rPr>
      </w:pPr>
      <w:r w:rsidRPr="00CA6C91">
        <w:rPr>
          <w:sz w:val="28"/>
          <w:szCs w:val="28"/>
        </w:rPr>
        <w:t xml:space="preserve">Hofstede’s cultural dimensions (Hofstede et al., 2010) are relevant in the context of NWL ICB’s diverse workforce. High power distance norms </w:t>
      </w:r>
      <w:r w:rsidRPr="00CA6C91">
        <w:rPr>
          <w:sz w:val="28"/>
          <w:szCs w:val="28"/>
        </w:rPr>
        <w:lastRenderedPageBreak/>
        <w:t>within some clinical hierarchies may mean that staff are unlikely to raise concerns about new technology unless actively encouraged to do so. This has implications for the feedback mechanisms built into the change programme, which must be genuinely inclusive and psychologically safe.</w:t>
      </w:r>
    </w:p>
    <w:p w14:paraId="2B314839" w14:textId="77777777" w:rsidR="00C83636" w:rsidRDefault="00C83636">
      <w:pPr>
        <w:spacing w:after="160" w:line="360" w:lineRule="auto"/>
        <w:jc w:val="both"/>
        <w:rPr>
          <w:sz w:val="28"/>
          <w:szCs w:val="28"/>
        </w:rPr>
      </w:pPr>
    </w:p>
    <w:p w14:paraId="22C3C698" w14:textId="77777777" w:rsidR="00C83636" w:rsidRPr="00CA6C91" w:rsidRDefault="00C83636">
      <w:pPr>
        <w:spacing w:after="160" w:line="360" w:lineRule="auto"/>
        <w:jc w:val="both"/>
        <w:rPr>
          <w:sz w:val="28"/>
          <w:szCs w:val="28"/>
        </w:rPr>
      </w:pPr>
    </w:p>
    <w:p w14:paraId="438CB018" w14:textId="4325CB62" w:rsidR="008D2923" w:rsidRPr="00CA6C91" w:rsidRDefault="008D2923">
      <w:pPr>
        <w:rPr>
          <w:sz w:val="28"/>
          <w:szCs w:val="28"/>
        </w:rPr>
      </w:pPr>
    </w:p>
    <w:p w14:paraId="438CB019" w14:textId="77777777" w:rsidR="008D2923" w:rsidRPr="00CA6C91" w:rsidRDefault="00000000">
      <w:pPr>
        <w:pStyle w:val="Heading1"/>
      </w:pPr>
      <w:r w:rsidRPr="00CA6C91">
        <w:t>5. Proposed Strategic Change Management Plan</w:t>
      </w:r>
    </w:p>
    <w:p w14:paraId="438CB01A" w14:textId="77777777" w:rsidR="008D2923" w:rsidRPr="00CA6C91" w:rsidRDefault="00000000">
      <w:pPr>
        <w:pStyle w:val="Heading2"/>
        <w:rPr>
          <w:sz w:val="28"/>
          <w:szCs w:val="28"/>
        </w:rPr>
      </w:pPr>
      <w:r w:rsidRPr="00CA6C91">
        <w:rPr>
          <w:sz w:val="28"/>
          <w:szCs w:val="28"/>
        </w:rPr>
        <w:t>5.1 Change Vision and Objectives</w:t>
      </w:r>
    </w:p>
    <w:p w14:paraId="438CB01B" w14:textId="0517868A" w:rsidR="008D2923" w:rsidRPr="00CA6C91" w:rsidRDefault="00000000">
      <w:pPr>
        <w:spacing w:after="160" w:line="360" w:lineRule="auto"/>
        <w:jc w:val="both"/>
        <w:rPr>
          <w:sz w:val="28"/>
          <w:szCs w:val="28"/>
        </w:rPr>
      </w:pPr>
      <w:r w:rsidRPr="00CA6C91">
        <w:rPr>
          <w:sz w:val="28"/>
          <w:szCs w:val="28"/>
        </w:rPr>
        <w:t xml:space="preserve">Vision: “To build a digitally enabled, data-driven health system in </w:t>
      </w:r>
      <w:r w:rsidR="00DD4879" w:rsidRPr="00CA6C91">
        <w:rPr>
          <w:sz w:val="28"/>
          <w:szCs w:val="28"/>
        </w:rPr>
        <w:t>Northwest</w:t>
      </w:r>
      <w:r w:rsidRPr="00CA6C91">
        <w:rPr>
          <w:sz w:val="28"/>
          <w:szCs w:val="28"/>
        </w:rPr>
        <w:t xml:space="preserve"> London that improves patient outcomes, reduces inequalities, and empowers staff through responsible use of AI and technology.”</w:t>
      </w:r>
    </w:p>
    <w:p w14:paraId="438CB01C" w14:textId="77777777" w:rsidR="008D2923" w:rsidRPr="00CA6C91" w:rsidRDefault="00000000">
      <w:pPr>
        <w:spacing w:after="160" w:line="360" w:lineRule="auto"/>
        <w:jc w:val="both"/>
        <w:rPr>
          <w:sz w:val="28"/>
          <w:szCs w:val="28"/>
        </w:rPr>
      </w:pPr>
      <w:r w:rsidRPr="00CA6C91">
        <w:rPr>
          <w:sz w:val="28"/>
          <w:szCs w:val="28"/>
        </w:rPr>
        <w:t>The following SMART objectives underpin the change programme:</w:t>
      </w:r>
    </w:p>
    <w:p w14:paraId="438CB01D" w14:textId="77777777" w:rsidR="008D2923" w:rsidRPr="00CA6C91" w:rsidRDefault="00000000">
      <w:pPr>
        <w:pStyle w:val="ListParagraph"/>
        <w:numPr>
          <w:ilvl w:val="0"/>
          <w:numId w:val="2"/>
        </w:numPr>
        <w:spacing w:after="80" w:line="360" w:lineRule="auto"/>
        <w:rPr>
          <w:sz w:val="28"/>
          <w:szCs w:val="28"/>
        </w:rPr>
      </w:pPr>
      <w:r w:rsidRPr="00CA6C91">
        <w:rPr>
          <w:sz w:val="28"/>
          <w:szCs w:val="28"/>
        </w:rPr>
        <w:t>Deploy a unified Electronic Patient Record (EPR) system across all NWL ICB partner organisations by Q4 2027, achieving 90% staff adoption.</w:t>
      </w:r>
    </w:p>
    <w:p w14:paraId="438CB01E" w14:textId="77777777" w:rsidR="008D2923" w:rsidRPr="00CA6C91" w:rsidRDefault="00000000">
      <w:pPr>
        <w:pStyle w:val="ListParagraph"/>
        <w:numPr>
          <w:ilvl w:val="0"/>
          <w:numId w:val="2"/>
        </w:numPr>
        <w:spacing w:after="80" w:line="360" w:lineRule="auto"/>
        <w:rPr>
          <w:sz w:val="28"/>
          <w:szCs w:val="28"/>
        </w:rPr>
      </w:pPr>
      <w:r w:rsidRPr="00CA6C91">
        <w:rPr>
          <w:sz w:val="28"/>
          <w:szCs w:val="28"/>
        </w:rPr>
        <w:t>Implement three AI-assisted clinical decision support tools (in radiology, urgent care triage, and diabetic retinopathy screening) by Q2 2027, with measurable accuracy benchmarks.</w:t>
      </w:r>
    </w:p>
    <w:p w14:paraId="438CB01F" w14:textId="77777777" w:rsidR="008D2923" w:rsidRPr="00CA6C91" w:rsidRDefault="00000000">
      <w:pPr>
        <w:pStyle w:val="ListParagraph"/>
        <w:numPr>
          <w:ilvl w:val="0"/>
          <w:numId w:val="2"/>
        </w:numPr>
        <w:spacing w:after="80" w:line="360" w:lineRule="auto"/>
        <w:rPr>
          <w:sz w:val="28"/>
          <w:szCs w:val="28"/>
        </w:rPr>
      </w:pPr>
      <w:r w:rsidRPr="00CA6C91">
        <w:rPr>
          <w:sz w:val="28"/>
          <w:szCs w:val="28"/>
        </w:rPr>
        <w:t>Achieve a 15% reduction in avoidable emergency admissions through predictive population health analytics by 2028.</w:t>
      </w:r>
    </w:p>
    <w:p w14:paraId="438CB020" w14:textId="77777777" w:rsidR="008D2923" w:rsidRPr="00CA6C91" w:rsidRDefault="00000000">
      <w:pPr>
        <w:pStyle w:val="ListParagraph"/>
        <w:numPr>
          <w:ilvl w:val="0"/>
          <w:numId w:val="2"/>
        </w:numPr>
        <w:spacing w:after="80" w:line="360" w:lineRule="auto"/>
        <w:rPr>
          <w:sz w:val="28"/>
          <w:szCs w:val="28"/>
        </w:rPr>
      </w:pPr>
      <w:r w:rsidRPr="00CA6C91">
        <w:rPr>
          <w:sz w:val="28"/>
          <w:szCs w:val="28"/>
        </w:rPr>
        <w:t>Ensure 95% of clinical and administrative staff receive mandatory digital literacy training by Q1 2027.</w:t>
      </w:r>
    </w:p>
    <w:p w14:paraId="64374F7F" w14:textId="4B217DEC" w:rsidR="00143767" w:rsidRDefault="00000000" w:rsidP="00143767">
      <w:pPr>
        <w:pStyle w:val="ListParagraph"/>
        <w:numPr>
          <w:ilvl w:val="0"/>
          <w:numId w:val="2"/>
        </w:numPr>
        <w:spacing w:after="80" w:line="360" w:lineRule="auto"/>
        <w:rPr>
          <w:sz w:val="28"/>
          <w:szCs w:val="28"/>
        </w:rPr>
      </w:pPr>
      <w:r w:rsidRPr="00CA6C91">
        <w:rPr>
          <w:sz w:val="28"/>
          <w:szCs w:val="28"/>
        </w:rPr>
        <w:t>Establish a digital inclusion programme reaching 80% of digitally excluded patient groups within the ICB footprint by end 2027.</w:t>
      </w:r>
    </w:p>
    <w:p w14:paraId="47314F26" w14:textId="77777777" w:rsidR="000F4519" w:rsidRDefault="000F4519" w:rsidP="000F4519">
      <w:pPr>
        <w:spacing w:after="80" w:line="360" w:lineRule="auto"/>
        <w:rPr>
          <w:sz w:val="28"/>
          <w:szCs w:val="28"/>
        </w:rPr>
      </w:pPr>
    </w:p>
    <w:p w14:paraId="1C554501" w14:textId="21DC8871" w:rsidR="000F4519" w:rsidRDefault="000F4519" w:rsidP="000F4519">
      <w:pPr>
        <w:spacing w:after="80" w:line="360" w:lineRule="auto"/>
        <w:rPr>
          <w:b/>
          <w:bCs/>
          <w:color w:val="0070C0"/>
          <w:sz w:val="28"/>
          <w:szCs w:val="28"/>
        </w:rPr>
      </w:pPr>
      <w:r w:rsidRPr="003C1D23">
        <w:rPr>
          <w:b/>
          <w:bCs/>
          <w:color w:val="0070C0"/>
          <w:sz w:val="28"/>
          <w:szCs w:val="28"/>
        </w:rPr>
        <w:lastRenderedPageBreak/>
        <w:t>Key components of</w:t>
      </w:r>
      <w:r w:rsidR="003C1D23" w:rsidRPr="003C1D23">
        <w:rPr>
          <w:b/>
          <w:bCs/>
          <w:color w:val="0070C0"/>
          <w:sz w:val="28"/>
          <w:szCs w:val="28"/>
        </w:rPr>
        <w:t xml:space="preserve"> Northwest London Integrated </w:t>
      </w:r>
      <w:proofErr w:type="gramStart"/>
      <w:r w:rsidR="003C1D23" w:rsidRPr="003C1D23">
        <w:rPr>
          <w:b/>
          <w:bCs/>
          <w:color w:val="0070C0"/>
          <w:sz w:val="28"/>
          <w:szCs w:val="28"/>
        </w:rPr>
        <w:t>care</w:t>
      </w:r>
      <w:proofErr w:type="gramEnd"/>
      <w:r w:rsidR="003C1D23" w:rsidRPr="003C1D23">
        <w:rPr>
          <w:b/>
          <w:bCs/>
          <w:color w:val="0070C0"/>
          <w:sz w:val="28"/>
          <w:szCs w:val="28"/>
        </w:rPr>
        <w:t xml:space="preserve"> Board</w:t>
      </w:r>
      <w:r w:rsidRPr="003C1D23">
        <w:rPr>
          <w:b/>
          <w:bCs/>
          <w:color w:val="0070C0"/>
          <w:sz w:val="28"/>
          <w:szCs w:val="28"/>
        </w:rPr>
        <w:t xml:space="preserve"> Vision</w:t>
      </w:r>
    </w:p>
    <w:p w14:paraId="54643554" w14:textId="7F0F916D" w:rsidR="003C1D23" w:rsidRPr="00197C46" w:rsidRDefault="006C2F59" w:rsidP="006C2F59">
      <w:pPr>
        <w:pStyle w:val="ListParagraph"/>
        <w:numPr>
          <w:ilvl w:val="0"/>
          <w:numId w:val="4"/>
        </w:numPr>
        <w:spacing w:after="80" w:line="360" w:lineRule="auto"/>
        <w:rPr>
          <w:sz w:val="28"/>
          <w:szCs w:val="28"/>
        </w:rPr>
      </w:pPr>
      <w:r w:rsidRPr="00197C46">
        <w:rPr>
          <w:sz w:val="28"/>
          <w:szCs w:val="28"/>
        </w:rPr>
        <w:t>Improving population health outcomes</w:t>
      </w:r>
    </w:p>
    <w:p w14:paraId="3CB20715" w14:textId="0908BB2F" w:rsidR="0070612E" w:rsidRPr="00197C46" w:rsidRDefault="0070612E" w:rsidP="006C2F59">
      <w:pPr>
        <w:pStyle w:val="ListParagraph"/>
        <w:numPr>
          <w:ilvl w:val="0"/>
          <w:numId w:val="4"/>
        </w:numPr>
        <w:spacing w:after="80" w:line="360" w:lineRule="auto"/>
        <w:rPr>
          <w:sz w:val="28"/>
          <w:szCs w:val="28"/>
        </w:rPr>
      </w:pPr>
      <w:r w:rsidRPr="00197C46">
        <w:rPr>
          <w:sz w:val="28"/>
          <w:szCs w:val="28"/>
        </w:rPr>
        <w:t>Reducing health inequ</w:t>
      </w:r>
      <w:r w:rsidR="000C4604" w:rsidRPr="00197C46">
        <w:rPr>
          <w:sz w:val="28"/>
          <w:szCs w:val="28"/>
        </w:rPr>
        <w:t>alities</w:t>
      </w:r>
    </w:p>
    <w:p w14:paraId="6E0FD008" w14:textId="07C18791" w:rsidR="000C4604" w:rsidRPr="00197C46" w:rsidRDefault="000C4604" w:rsidP="006C2F59">
      <w:pPr>
        <w:pStyle w:val="ListParagraph"/>
        <w:numPr>
          <w:ilvl w:val="0"/>
          <w:numId w:val="4"/>
        </w:numPr>
        <w:spacing w:after="80" w:line="360" w:lineRule="auto"/>
        <w:rPr>
          <w:sz w:val="28"/>
          <w:szCs w:val="28"/>
        </w:rPr>
      </w:pPr>
      <w:r w:rsidRPr="00197C46">
        <w:rPr>
          <w:sz w:val="28"/>
          <w:szCs w:val="28"/>
        </w:rPr>
        <w:t>Strengthening integrated Neighbourhood Teams</w:t>
      </w:r>
    </w:p>
    <w:p w14:paraId="431C43A0" w14:textId="53505950" w:rsidR="000C4604" w:rsidRPr="00197C46" w:rsidRDefault="00D62463" w:rsidP="006C2F59">
      <w:pPr>
        <w:pStyle w:val="ListParagraph"/>
        <w:numPr>
          <w:ilvl w:val="0"/>
          <w:numId w:val="4"/>
        </w:numPr>
        <w:spacing w:after="80" w:line="360" w:lineRule="auto"/>
        <w:rPr>
          <w:sz w:val="28"/>
          <w:szCs w:val="28"/>
        </w:rPr>
      </w:pPr>
      <w:r w:rsidRPr="00197C46">
        <w:rPr>
          <w:sz w:val="28"/>
          <w:szCs w:val="28"/>
        </w:rPr>
        <w:t>Enhancing children and young people’s Mental health</w:t>
      </w:r>
    </w:p>
    <w:p w14:paraId="464288E6" w14:textId="149C1DA5" w:rsidR="00D62463" w:rsidRPr="00197C46" w:rsidRDefault="00F76B8B" w:rsidP="006C2F59">
      <w:pPr>
        <w:pStyle w:val="ListParagraph"/>
        <w:numPr>
          <w:ilvl w:val="0"/>
          <w:numId w:val="4"/>
        </w:numPr>
        <w:spacing w:after="80" w:line="360" w:lineRule="auto"/>
        <w:rPr>
          <w:sz w:val="28"/>
          <w:szCs w:val="28"/>
        </w:rPr>
      </w:pPr>
      <w:r w:rsidRPr="00197C46">
        <w:rPr>
          <w:sz w:val="28"/>
          <w:szCs w:val="28"/>
        </w:rPr>
        <w:t xml:space="preserve">Financial sustainability and productivity. </w:t>
      </w:r>
    </w:p>
    <w:p w14:paraId="332B7960" w14:textId="7ACDC467" w:rsidR="00197C46" w:rsidRPr="00197C46" w:rsidRDefault="00197C46" w:rsidP="006C2F59">
      <w:pPr>
        <w:pStyle w:val="ListParagraph"/>
        <w:numPr>
          <w:ilvl w:val="0"/>
          <w:numId w:val="4"/>
        </w:numPr>
        <w:spacing w:after="80" w:line="360" w:lineRule="auto"/>
        <w:rPr>
          <w:sz w:val="28"/>
          <w:szCs w:val="28"/>
        </w:rPr>
      </w:pPr>
      <w:r w:rsidRPr="00197C46">
        <w:rPr>
          <w:sz w:val="28"/>
          <w:szCs w:val="28"/>
        </w:rPr>
        <w:t>Improving patient flow and care coordination</w:t>
      </w:r>
    </w:p>
    <w:p w14:paraId="0639509A" w14:textId="77777777" w:rsidR="003B68E5" w:rsidRPr="00197C46" w:rsidRDefault="003B68E5" w:rsidP="003B68E5">
      <w:pPr>
        <w:pStyle w:val="ListParagraph"/>
        <w:spacing w:after="80" w:line="360" w:lineRule="auto"/>
        <w:ind w:left="720"/>
        <w:rPr>
          <w:sz w:val="28"/>
          <w:szCs w:val="28"/>
        </w:rPr>
      </w:pPr>
    </w:p>
    <w:p w14:paraId="438CB022" w14:textId="77777777" w:rsidR="008D2923" w:rsidRPr="00CA6C91" w:rsidRDefault="00000000">
      <w:pPr>
        <w:pStyle w:val="Heading2"/>
        <w:rPr>
          <w:sz w:val="28"/>
          <w:szCs w:val="28"/>
        </w:rPr>
      </w:pPr>
      <w:r w:rsidRPr="00CA6C91">
        <w:rPr>
          <w:sz w:val="28"/>
          <w:szCs w:val="28"/>
        </w:rPr>
        <w:t>5.2 Stakeholder Analysis</w:t>
      </w:r>
    </w:p>
    <w:p w14:paraId="438CB023" w14:textId="77777777" w:rsidR="008D2923" w:rsidRPr="00CA6C91" w:rsidRDefault="00000000">
      <w:pPr>
        <w:spacing w:after="160" w:line="360" w:lineRule="auto"/>
        <w:jc w:val="both"/>
        <w:rPr>
          <w:sz w:val="28"/>
          <w:szCs w:val="28"/>
        </w:rPr>
      </w:pPr>
      <w:r w:rsidRPr="00CA6C91">
        <w:rPr>
          <w:sz w:val="28"/>
          <w:szCs w:val="28"/>
        </w:rPr>
        <w:t>A structured stakeholder analysis is essential for identifying potential supporters and resistors and designing targeted engagement strategies. The following table summarises key stakeholder groups:</w:t>
      </w:r>
    </w:p>
    <w:p w14:paraId="438CB024" w14:textId="77777777" w:rsidR="008D2923" w:rsidRPr="00CA6C91" w:rsidRDefault="008D2923">
      <w:pPr>
        <w:spacing w:before="160" w:after="160"/>
        <w:rPr>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1800"/>
        <w:gridCol w:w="1800"/>
        <w:gridCol w:w="3426"/>
      </w:tblGrid>
      <w:tr w:rsidR="008D2923" w:rsidRPr="00CA6C91" w14:paraId="438CB029" w14:textId="77777777">
        <w:trPr>
          <w:tblHeader/>
        </w:trPr>
        <w:tc>
          <w:tcPr>
            <w:tcW w:w="200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20" w:type="dxa"/>
              <w:bottom w:w="80" w:type="dxa"/>
              <w:right w:w="120" w:type="dxa"/>
            </w:tcMar>
          </w:tcPr>
          <w:p w14:paraId="438CB025" w14:textId="77777777" w:rsidR="008D2923" w:rsidRPr="00CA6C91" w:rsidRDefault="00000000">
            <w:pPr>
              <w:rPr>
                <w:sz w:val="28"/>
                <w:szCs w:val="28"/>
              </w:rPr>
            </w:pPr>
            <w:r w:rsidRPr="00CA6C91">
              <w:rPr>
                <w:b/>
                <w:bCs/>
                <w:color w:val="FFFFFF"/>
                <w:sz w:val="28"/>
                <w:szCs w:val="28"/>
              </w:rPr>
              <w:t>Stakeholder</w:t>
            </w:r>
          </w:p>
        </w:tc>
        <w:tc>
          <w:tcPr>
            <w:tcW w:w="180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20" w:type="dxa"/>
              <w:bottom w:w="80" w:type="dxa"/>
              <w:right w:w="120" w:type="dxa"/>
            </w:tcMar>
          </w:tcPr>
          <w:p w14:paraId="438CB026" w14:textId="77777777" w:rsidR="008D2923" w:rsidRPr="00CA6C91" w:rsidRDefault="00000000">
            <w:pPr>
              <w:rPr>
                <w:sz w:val="28"/>
                <w:szCs w:val="28"/>
              </w:rPr>
            </w:pPr>
            <w:r w:rsidRPr="00CA6C91">
              <w:rPr>
                <w:b/>
                <w:bCs/>
                <w:color w:val="FFFFFF"/>
                <w:sz w:val="28"/>
                <w:szCs w:val="28"/>
              </w:rPr>
              <w:t>Interest</w:t>
            </w:r>
          </w:p>
        </w:tc>
        <w:tc>
          <w:tcPr>
            <w:tcW w:w="180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20" w:type="dxa"/>
              <w:bottom w:w="80" w:type="dxa"/>
              <w:right w:w="120" w:type="dxa"/>
            </w:tcMar>
          </w:tcPr>
          <w:p w14:paraId="438CB027" w14:textId="77777777" w:rsidR="008D2923" w:rsidRPr="00CA6C91" w:rsidRDefault="00000000">
            <w:pPr>
              <w:rPr>
                <w:sz w:val="28"/>
                <w:szCs w:val="28"/>
              </w:rPr>
            </w:pPr>
            <w:r w:rsidRPr="00CA6C91">
              <w:rPr>
                <w:b/>
                <w:bCs/>
                <w:color w:val="FFFFFF"/>
                <w:sz w:val="28"/>
                <w:szCs w:val="28"/>
              </w:rPr>
              <w:t>Influence</w:t>
            </w:r>
          </w:p>
        </w:tc>
        <w:tc>
          <w:tcPr>
            <w:tcW w:w="3426" w:type="dxa"/>
            <w:tcBorders>
              <w:top w:val="single" w:sz="1" w:space="0" w:color="CCCCCC"/>
              <w:left w:val="single" w:sz="1" w:space="0" w:color="CCCCCC"/>
              <w:bottom w:val="single" w:sz="1" w:space="0" w:color="CCCCCC"/>
              <w:right w:val="single" w:sz="1" w:space="0" w:color="CCCCCC"/>
            </w:tcBorders>
            <w:shd w:val="clear" w:color="auto" w:fill="1F5C99"/>
            <w:tcMar>
              <w:top w:w="80" w:type="dxa"/>
              <w:left w:w="120" w:type="dxa"/>
              <w:bottom w:w="80" w:type="dxa"/>
              <w:right w:w="120" w:type="dxa"/>
            </w:tcMar>
          </w:tcPr>
          <w:p w14:paraId="438CB028" w14:textId="77777777" w:rsidR="008D2923" w:rsidRPr="00CA6C91" w:rsidRDefault="00000000">
            <w:pPr>
              <w:rPr>
                <w:sz w:val="28"/>
                <w:szCs w:val="28"/>
              </w:rPr>
            </w:pPr>
            <w:r w:rsidRPr="00CA6C91">
              <w:rPr>
                <w:b/>
                <w:bCs/>
                <w:color w:val="FFFFFF"/>
                <w:sz w:val="28"/>
                <w:szCs w:val="28"/>
              </w:rPr>
              <w:t>Engagement Strategy</w:t>
            </w:r>
          </w:p>
        </w:tc>
      </w:tr>
      <w:tr w:rsidR="008D2923" w:rsidRPr="00CA6C91" w14:paraId="438CB02E"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2A" w14:textId="77777777" w:rsidR="008D2923" w:rsidRPr="00CA6C91" w:rsidRDefault="00000000">
            <w:pPr>
              <w:rPr>
                <w:sz w:val="28"/>
                <w:szCs w:val="28"/>
              </w:rPr>
            </w:pPr>
            <w:r w:rsidRPr="00CA6C91">
              <w:rPr>
                <w:color w:val="000000"/>
                <w:sz w:val="28"/>
                <w:szCs w:val="28"/>
              </w:rPr>
              <w:t>ICB Board &amp; Executive</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2B" w14:textId="77777777" w:rsidR="008D2923" w:rsidRPr="00CA6C91" w:rsidRDefault="00000000">
            <w:pPr>
              <w:rPr>
                <w:sz w:val="28"/>
                <w:szCs w:val="28"/>
              </w:rPr>
            </w:pPr>
            <w:r w:rsidRPr="00CA6C91">
              <w:rPr>
                <w:color w:val="000000"/>
                <w:sz w:val="28"/>
                <w:szCs w:val="28"/>
              </w:rPr>
              <w:t>High</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2C" w14:textId="77777777" w:rsidR="008D2923" w:rsidRPr="00CA6C91" w:rsidRDefault="00000000">
            <w:pPr>
              <w:rPr>
                <w:sz w:val="28"/>
                <w:szCs w:val="28"/>
              </w:rPr>
            </w:pPr>
            <w:r w:rsidRPr="00CA6C91">
              <w:rPr>
                <w:color w:val="000000"/>
                <w:sz w:val="28"/>
                <w:szCs w:val="28"/>
              </w:rPr>
              <w:t>High</w:t>
            </w:r>
          </w:p>
        </w:tc>
        <w:tc>
          <w:tcPr>
            <w:tcW w:w="3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2D" w14:textId="77777777" w:rsidR="008D2923" w:rsidRPr="00CA6C91" w:rsidRDefault="00000000">
            <w:pPr>
              <w:rPr>
                <w:sz w:val="28"/>
                <w:szCs w:val="28"/>
              </w:rPr>
            </w:pPr>
            <w:r w:rsidRPr="00CA6C91">
              <w:rPr>
                <w:color w:val="000000"/>
                <w:sz w:val="28"/>
                <w:szCs w:val="28"/>
              </w:rPr>
              <w:t>Regular programme updates; sponsor role clarity</w:t>
            </w:r>
          </w:p>
        </w:tc>
      </w:tr>
      <w:tr w:rsidR="008D2923" w:rsidRPr="00CA6C91" w14:paraId="438CB033"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2F" w14:textId="77777777" w:rsidR="008D2923" w:rsidRPr="00CA6C91" w:rsidRDefault="00000000">
            <w:pPr>
              <w:rPr>
                <w:sz w:val="28"/>
                <w:szCs w:val="28"/>
              </w:rPr>
            </w:pPr>
            <w:r w:rsidRPr="00CA6C91">
              <w:rPr>
                <w:color w:val="000000"/>
                <w:sz w:val="28"/>
                <w:szCs w:val="28"/>
              </w:rPr>
              <w:t>Clinical Staff (GPs, Nurses)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0" w14:textId="77777777" w:rsidR="008D2923" w:rsidRPr="00CA6C91" w:rsidRDefault="00000000">
            <w:pPr>
              <w:rPr>
                <w:sz w:val="28"/>
                <w:szCs w:val="28"/>
              </w:rPr>
            </w:pPr>
            <w:r w:rsidRPr="00CA6C91">
              <w:rPr>
                <w:color w:val="000000"/>
                <w:sz w:val="28"/>
                <w:szCs w:val="28"/>
              </w:rPr>
              <w:t>High</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1" w14:textId="77777777" w:rsidR="008D2923" w:rsidRPr="00CA6C91" w:rsidRDefault="00000000">
            <w:pPr>
              <w:rPr>
                <w:sz w:val="28"/>
                <w:szCs w:val="28"/>
              </w:rPr>
            </w:pPr>
            <w:r w:rsidRPr="00CA6C91">
              <w:rPr>
                <w:color w:val="000000"/>
                <w:sz w:val="28"/>
                <w:szCs w:val="28"/>
              </w:rPr>
              <w:t>High</w:t>
            </w:r>
          </w:p>
        </w:tc>
        <w:tc>
          <w:tcPr>
            <w:tcW w:w="3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2" w14:textId="5AB99B6E" w:rsidR="008D2923" w:rsidRPr="00CA6C91" w:rsidRDefault="00000000">
            <w:pPr>
              <w:rPr>
                <w:sz w:val="28"/>
                <w:szCs w:val="28"/>
              </w:rPr>
            </w:pPr>
            <w:r w:rsidRPr="00CA6C91">
              <w:rPr>
                <w:color w:val="000000"/>
                <w:sz w:val="28"/>
                <w:szCs w:val="28"/>
              </w:rPr>
              <w:t xml:space="preserve">Co-design </w:t>
            </w:r>
            <w:r w:rsidR="00CD379D" w:rsidRPr="00CA6C91">
              <w:rPr>
                <w:color w:val="000000"/>
                <w:sz w:val="28"/>
                <w:szCs w:val="28"/>
              </w:rPr>
              <w:t>workshops:</w:t>
            </w:r>
            <w:r w:rsidRPr="00CA6C91">
              <w:rPr>
                <w:color w:val="000000"/>
                <w:sz w:val="28"/>
                <w:szCs w:val="28"/>
              </w:rPr>
              <w:t xml:space="preserve"> champions network</w:t>
            </w:r>
          </w:p>
        </w:tc>
      </w:tr>
      <w:tr w:rsidR="008D2923" w:rsidRPr="00CA6C91" w14:paraId="438CB038"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4" w14:textId="77777777" w:rsidR="008D2923" w:rsidRPr="00CA6C91" w:rsidRDefault="00000000">
            <w:pPr>
              <w:rPr>
                <w:sz w:val="28"/>
                <w:szCs w:val="28"/>
              </w:rPr>
            </w:pPr>
            <w:r w:rsidRPr="00CA6C91">
              <w:rPr>
                <w:color w:val="000000"/>
                <w:sz w:val="28"/>
                <w:szCs w:val="28"/>
              </w:rPr>
              <w:t>IT &amp; Digital Teams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5" w14:textId="77777777" w:rsidR="008D2923" w:rsidRPr="00CA6C91" w:rsidRDefault="00000000">
            <w:pPr>
              <w:rPr>
                <w:sz w:val="28"/>
                <w:szCs w:val="28"/>
              </w:rPr>
            </w:pPr>
            <w:r w:rsidRPr="00CA6C91">
              <w:rPr>
                <w:color w:val="000000"/>
                <w:sz w:val="28"/>
                <w:szCs w:val="28"/>
              </w:rPr>
              <w:t>High</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6" w14:textId="77777777" w:rsidR="008D2923" w:rsidRPr="00CA6C91" w:rsidRDefault="00000000">
            <w:pPr>
              <w:rPr>
                <w:sz w:val="28"/>
                <w:szCs w:val="28"/>
              </w:rPr>
            </w:pPr>
            <w:r w:rsidRPr="00CA6C91">
              <w:rPr>
                <w:color w:val="000000"/>
                <w:sz w:val="28"/>
                <w:szCs w:val="28"/>
              </w:rPr>
              <w:t>High</w:t>
            </w:r>
          </w:p>
        </w:tc>
        <w:tc>
          <w:tcPr>
            <w:tcW w:w="3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7" w14:textId="77777777" w:rsidR="008D2923" w:rsidRPr="00CA6C91" w:rsidRDefault="00000000">
            <w:pPr>
              <w:rPr>
                <w:sz w:val="28"/>
                <w:szCs w:val="28"/>
              </w:rPr>
            </w:pPr>
            <w:r w:rsidRPr="00CA6C91">
              <w:rPr>
                <w:color w:val="000000"/>
                <w:sz w:val="28"/>
                <w:szCs w:val="28"/>
              </w:rPr>
              <w:t>Embedded in programme governance</w:t>
            </w:r>
          </w:p>
        </w:tc>
      </w:tr>
      <w:tr w:rsidR="008D2923" w:rsidRPr="00CA6C91" w14:paraId="438CB03D"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9" w14:textId="77777777" w:rsidR="008D2923" w:rsidRPr="00CA6C91" w:rsidRDefault="00000000">
            <w:pPr>
              <w:rPr>
                <w:sz w:val="28"/>
                <w:szCs w:val="28"/>
              </w:rPr>
            </w:pPr>
            <w:r w:rsidRPr="00CA6C91">
              <w:rPr>
                <w:color w:val="000000"/>
                <w:sz w:val="28"/>
                <w:szCs w:val="28"/>
              </w:rPr>
              <w:t>Patients and Public</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A" w14:textId="77777777" w:rsidR="008D2923" w:rsidRPr="00CA6C91" w:rsidRDefault="00000000">
            <w:pPr>
              <w:rPr>
                <w:sz w:val="28"/>
                <w:szCs w:val="28"/>
              </w:rPr>
            </w:pPr>
            <w:r w:rsidRPr="00CA6C91">
              <w:rPr>
                <w:color w:val="000000"/>
                <w:sz w:val="28"/>
                <w:szCs w:val="28"/>
              </w:rPr>
              <w:t>High</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B" w14:textId="77777777" w:rsidR="008D2923" w:rsidRPr="00CA6C91" w:rsidRDefault="00000000">
            <w:pPr>
              <w:rPr>
                <w:sz w:val="28"/>
                <w:szCs w:val="28"/>
              </w:rPr>
            </w:pPr>
            <w:r w:rsidRPr="00CA6C91">
              <w:rPr>
                <w:color w:val="000000"/>
                <w:sz w:val="28"/>
                <w:szCs w:val="28"/>
              </w:rPr>
              <w:t>Medium</w:t>
            </w:r>
          </w:p>
        </w:tc>
        <w:tc>
          <w:tcPr>
            <w:tcW w:w="3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C" w14:textId="77777777" w:rsidR="008D2923" w:rsidRPr="00CA6C91" w:rsidRDefault="00000000">
            <w:pPr>
              <w:rPr>
                <w:sz w:val="28"/>
                <w:szCs w:val="28"/>
              </w:rPr>
            </w:pPr>
            <w:r w:rsidRPr="00CA6C91">
              <w:rPr>
                <w:color w:val="000000"/>
                <w:sz w:val="28"/>
                <w:szCs w:val="28"/>
              </w:rPr>
              <w:t>Patient forums; digital inclusion programme</w:t>
            </w:r>
          </w:p>
        </w:tc>
      </w:tr>
      <w:tr w:rsidR="008D2923" w:rsidRPr="00CA6C91" w14:paraId="438CB042"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E" w14:textId="77777777" w:rsidR="008D2923" w:rsidRPr="00CA6C91" w:rsidRDefault="00000000">
            <w:pPr>
              <w:rPr>
                <w:sz w:val="28"/>
                <w:szCs w:val="28"/>
              </w:rPr>
            </w:pPr>
            <w:r w:rsidRPr="00CA6C91">
              <w:rPr>
                <w:color w:val="000000"/>
                <w:sz w:val="28"/>
                <w:szCs w:val="28"/>
              </w:rPr>
              <w:t>NHS England / NHSE</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3F" w14:textId="77777777" w:rsidR="008D2923" w:rsidRPr="00CA6C91" w:rsidRDefault="00000000">
            <w:pPr>
              <w:rPr>
                <w:sz w:val="28"/>
                <w:szCs w:val="28"/>
              </w:rPr>
            </w:pPr>
            <w:r w:rsidRPr="00CA6C91">
              <w:rPr>
                <w:color w:val="000000"/>
                <w:sz w:val="28"/>
                <w:szCs w:val="28"/>
              </w:rPr>
              <w:t>Medium</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40" w14:textId="77777777" w:rsidR="008D2923" w:rsidRPr="00CA6C91" w:rsidRDefault="00000000">
            <w:pPr>
              <w:rPr>
                <w:sz w:val="28"/>
                <w:szCs w:val="28"/>
              </w:rPr>
            </w:pPr>
            <w:r w:rsidRPr="00CA6C91">
              <w:rPr>
                <w:color w:val="000000"/>
                <w:sz w:val="28"/>
                <w:szCs w:val="28"/>
              </w:rPr>
              <w:t>High</w:t>
            </w:r>
          </w:p>
        </w:tc>
        <w:tc>
          <w:tcPr>
            <w:tcW w:w="3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41" w14:textId="77777777" w:rsidR="008D2923" w:rsidRPr="00CA6C91" w:rsidRDefault="00000000">
            <w:pPr>
              <w:rPr>
                <w:sz w:val="28"/>
                <w:szCs w:val="28"/>
              </w:rPr>
            </w:pPr>
            <w:r w:rsidRPr="00CA6C91">
              <w:rPr>
                <w:color w:val="000000"/>
                <w:sz w:val="28"/>
                <w:szCs w:val="28"/>
              </w:rPr>
              <w:t>Alignment reports; quarterly assurance</w:t>
            </w:r>
          </w:p>
        </w:tc>
      </w:tr>
      <w:tr w:rsidR="008D2923" w:rsidRPr="00CA6C91" w14:paraId="438CB047"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43" w14:textId="77777777" w:rsidR="008D2923" w:rsidRPr="00CA6C91" w:rsidRDefault="00000000">
            <w:pPr>
              <w:rPr>
                <w:sz w:val="28"/>
                <w:szCs w:val="28"/>
              </w:rPr>
            </w:pPr>
            <w:r w:rsidRPr="00CA6C91">
              <w:rPr>
                <w:color w:val="000000"/>
                <w:sz w:val="28"/>
                <w:szCs w:val="28"/>
              </w:rPr>
              <w:t>Technology Suppliers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44" w14:textId="77777777" w:rsidR="008D2923" w:rsidRPr="00CA6C91" w:rsidRDefault="00000000">
            <w:pPr>
              <w:rPr>
                <w:sz w:val="28"/>
                <w:szCs w:val="28"/>
              </w:rPr>
            </w:pPr>
            <w:r w:rsidRPr="00CA6C91">
              <w:rPr>
                <w:color w:val="000000"/>
                <w:sz w:val="28"/>
                <w:szCs w:val="28"/>
              </w:rPr>
              <w:t>Low</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45" w14:textId="77777777" w:rsidR="008D2923" w:rsidRPr="00CA6C91" w:rsidRDefault="00000000">
            <w:pPr>
              <w:rPr>
                <w:sz w:val="28"/>
                <w:szCs w:val="28"/>
              </w:rPr>
            </w:pPr>
            <w:r w:rsidRPr="00CA6C91">
              <w:rPr>
                <w:color w:val="000000"/>
                <w:sz w:val="28"/>
                <w:szCs w:val="28"/>
              </w:rPr>
              <w:t>Medium</w:t>
            </w:r>
          </w:p>
        </w:tc>
        <w:tc>
          <w:tcPr>
            <w:tcW w:w="3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46" w14:textId="77777777" w:rsidR="008D2923" w:rsidRPr="00CA6C91" w:rsidRDefault="00000000">
            <w:pPr>
              <w:rPr>
                <w:sz w:val="28"/>
                <w:szCs w:val="28"/>
              </w:rPr>
            </w:pPr>
            <w:r w:rsidRPr="00CA6C91">
              <w:rPr>
                <w:color w:val="000000"/>
                <w:sz w:val="28"/>
                <w:szCs w:val="28"/>
              </w:rPr>
              <w:t>Contractual performance management</w:t>
            </w:r>
          </w:p>
        </w:tc>
      </w:tr>
    </w:tbl>
    <w:p w14:paraId="438CB048" w14:textId="77777777" w:rsidR="008D2923" w:rsidRPr="00CA6C91" w:rsidRDefault="008D2923">
      <w:pPr>
        <w:spacing w:before="160"/>
        <w:rPr>
          <w:sz w:val="28"/>
          <w:szCs w:val="28"/>
        </w:rPr>
      </w:pPr>
    </w:p>
    <w:p w14:paraId="438CB049" w14:textId="77777777" w:rsidR="008D2923" w:rsidRPr="00CA6C91" w:rsidRDefault="00000000">
      <w:pPr>
        <w:pStyle w:val="Heading2"/>
        <w:rPr>
          <w:sz w:val="28"/>
          <w:szCs w:val="28"/>
        </w:rPr>
      </w:pPr>
      <w:r w:rsidRPr="00CA6C91">
        <w:rPr>
          <w:sz w:val="28"/>
          <w:szCs w:val="28"/>
        </w:rPr>
        <w:t>5.3 Implementation Framework</w:t>
      </w:r>
    </w:p>
    <w:p w14:paraId="438CB04A" w14:textId="77777777" w:rsidR="008D2923" w:rsidRPr="00CA6C91" w:rsidRDefault="00000000">
      <w:pPr>
        <w:spacing w:after="160" w:line="360" w:lineRule="auto"/>
        <w:jc w:val="both"/>
        <w:rPr>
          <w:sz w:val="28"/>
          <w:szCs w:val="28"/>
        </w:rPr>
      </w:pPr>
      <w:r w:rsidRPr="00CA6C91">
        <w:rPr>
          <w:sz w:val="28"/>
          <w:szCs w:val="28"/>
        </w:rPr>
        <w:t>The implementation framework follows Kotter’s eight steps across three phases:</w:t>
      </w:r>
    </w:p>
    <w:p w14:paraId="438CB04B" w14:textId="77777777" w:rsidR="008D2923" w:rsidRPr="00CA6C91" w:rsidRDefault="00000000">
      <w:pPr>
        <w:spacing w:after="160" w:line="360" w:lineRule="auto"/>
        <w:jc w:val="both"/>
        <w:rPr>
          <w:sz w:val="28"/>
          <w:szCs w:val="28"/>
        </w:rPr>
      </w:pPr>
      <w:r w:rsidRPr="00CA6C91">
        <w:rPr>
          <w:sz w:val="28"/>
          <w:szCs w:val="28"/>
        </w:rPr>
        <w:t>Phase 1 – Foundation (Months 1–6): Establish urgency through a system-wide digital maturity assessment. Form a guiding coalition comprising clinical leaders, digital experts, and patient representatives. Develop and communicate the digital transformation vision through all-staff events, intranets, and team briefings. Conduct Lewin’s force field analysis to identify and address key barriers.</w:t>
      </w:r>
    </w:p>
    <w:p w14:paraId="438CB04C" w14:textId="77777777" w:rsidR="008D2923" w:rsidRPr="00CA6C91" w:rsidRDefault="00000000">
      <w:pPr>
        <w:spacing w:after="160" w:line="360" w:lineRule="auto"/>
        <w:jc w:val="both"/>
        <w:rPr>
          <w:sz w:val="28"/>
          <w:szCs w:val="28"/>
        </w:rPr>
      </w:pPr>
      <w:r w:rsidRPr="00CA6C91">
        <w:rPr>
          <w:sz w:val="28"/>
          <w:szCs w:val="28"/>
        </w:rPr>
        <w:t>Phase 2 – Implementation (Months 7–18): Begin EPR deployment in pilot sites. Launch the three AI clinical tools in designated test environments with close clinical oversight. Deliver phased digital literacy training to all staff cohorts using ADKAR-informed learning pathways. Generate and celebrate early short-term wins (for example, a 10% reduction in duplicate test ordering following EPR go-live).</w:t>
      </w:r>
    </w:p>
    <w:p w14:paraId="438CB04D" w14:textId="77777777" w:rsidR="008D2923" w:rsidRPr="00CA6C91" w:rsidRDefault="00000000">
      <w:pPr>
        <w:spacing w:after="160" w:line="360" w:lineRule="auto"/>
        <w:jc w:val="both"/>
        <w:rPr>
          <w:sz w:val="28"/>
          <w:szCs w:val="28"/>
        </w:rPr>
      </w:pPr>
      <w:r w:rsidRPr="00CA6C91">
        <w:rPr>
          <w:sz w:val="28"/>
          <w:szCs w:val="28"/>
        </w:rPr>
        <w:t>Phase 3 – Embedding and Sustaining (Months 19–36): Scale successful pilots across the full ICB footprint. Revise job descriptions, appraisal frameworks, and team structures to reflect digital working norms. Anchor new behaviours by integrating digital competency into recruitment criteria and mandatory training requirements.</w:t>
      </w:r>
    </w:p>
    <w:p w14:paraId="438CB04E" w14:textId="77777777" w:rsidR="008D2923" w:rsidRPr="00CA6C91" w:rsidRDefault="00000000">
      <w:pPr>
        <w:pStyle w:val="Heading2"/>
        <w:rPr>
          <w:sz w:val="28"/>
          <w:szCs w:val="28"/>
        </w:rPr>
      </w:pPr>
      <w:r w:rsidRPr="00CA6C91">
        <w:rPr>
          <w:sz w:val="28"/>
          <w:szCs w:val="28"/>
        </w:rPr>
        <w:t>5.4 Communication Plan</w:t>
      </w:r>
    </w:p>
    <w:p w14:paraId="438CB04F" w14:textId="77777777" w:rsidR="008D2923" w:rsidRPr="00CA6C91" w:rsidRDefault="00000000">
      <w:pPr>
        <w:spacing w:after="160" w:line="360" w:lineRule="auto"/>
        <w:jc w:val="both"/>
        <w:rPr>
          <w:sz w:val="28"/>
          <w:szCs w:val="28"/>
        </w:rPr>
      </w:pPr>
      <w:r w:rsidRPr="00CA6C91">
        <w:rPr>
          <w:sz w:val="28"/>
          <w:szCs w:val="28"/>
        </w:rPr>
        <w:t>Effective communication is central to managing resistance and building commitment. The communication plan adopts a multi-channel, segmented approach:</w:t>
      </w:r>
    </w:p>
    <w:p w14:paraId="438CB050" w14:textId="77777777" w:rsidR="008D2923" w:rsidRPr="00CA6C91" w:rsidRDefault="00000000">
      <w:pPr>
        <w:pStyle w:val="ListParagraph"/>
        <w:numPr>
          <w:ilvl w:val="0"/>
          <w:numId w:val="2"/>
        </w:numPr>
        <w:spacing w:after="80" w:line="360" w:lineRule="auto"/>
        <w:rPr>
          <w:sz w:val="28"/>
          <w:szCs w:val="28"/>
        </w:rPr>
      </w:pPr>
      <w:r w:rsidRPr="00CA6C91">
        <w:rPr>
          <w:sz w:val="28"/>
          <w:szCs w:val="28"/>
        </w:rPr>
        <w:lastRenderedPageBreak/>
        <w:t>Executive and Board: Monthly written programme updates and quarterly board presentations, including risk and financial dashboards.</w:t>
      </w:r>
    </w:p>
    <w:p w14:paraId="438CB051" w14:textId="77777777" w:rsidR="008D2923" w:rsidRPr="00CA6C91" w:rsidRDefault="00000000">
      <w:pPr>
        <w:pStyle w:val="ListParagraph"/>
        <w:numPr>
          <w:ilvl w:val="0"/>
          <w:numId w:val="2"/>
        </w:numPr>
        <w:spacing w:after="80" w:line="360" w:lineRule="auto"/>
        <w:rPr>
          <w:sz w:val="28"/>
          <w:szCs w:val="28"/>
        </w:rPr>
      </w:pPr>
      <w:r w:rsidRPr="00CA6C91">
        <w:rPr>
          <w:sz w:val="28"/>
          <w:szCs w:val="28"/>
        </w:rPr>
        <w:t>Clinical Staff: Bi-monthly digital transformation newsletters; briefings embedded in existing clinical governance meetings; a dedicated intranet hub with FAQs and case studies.</w:t>
      </w:r>
    </w:p>
    <w:p w14:paraId="438CB052" w14:textId="77777777" w:rsidR="008D2923" w:rsidRPr="00CA6C91" w:rsidRDefault="00000000">
      <w:pPr>
        <w:pStyle w:val="ListParagraph"/>
        <w:numPr>
          <w:ilvl w:val="0"/>
          <w:numId w:val="2"/>
        </w:numPr>
        <w:spacing w:after="80" w:line="360" w:lineRule="auto"/>
        <w:rPr>
          <w:sz w:val="28"/>
          <w:szCs w:val="28"/>
        </w:rPr>
      </w:pPr>
      <w:r w:rsidRPr="00CA6C91">
        <w:rPr>
          <w:sz w:val="28"/>
          <w:szCs w:val="28"/>
        </w:rPr>
        <w:t>Administrative and Support Staff: Team briefings delivered by line managers; monthly drop-in sessions with the digital programme team.</w:t>
      </w:r>
    </w:p>
    <w:p w14:paraId="438CB053" w14:textId="77777777" w:rsidR="008D2923" w:rsidRPr="00CA6C91" w:rsidRDefault="00000000">
      <w:pPr>
        <w:pStyle w:val="ListParagraph"/>
        <w:numPr>
          <w:ilvl w:val="0"/>
          <w:numId w:val="2"/>
        </w:numPr>
        <w:spacing w:after="80" w:line="360" w:lineRule="auto"/>
        <w:rPr>
          <w:sz w:val="28"/>
          <w:szCs w:val="28"/>
        </w:rPr>
      </w:pPr>
      <w:r w:rsidRPr="00CA6C91">
        <w:rPr>
          <w:sz w:val="28"/>
          <w:szCs w:val="28"/>
        </w:rPr>
        <w:t>Patients and Public: Plain English communications through GP practices, community pharmacies, and local Healthwatch; translated materials for non-English speaking communities.</w:t>
      </w:r>
    </w:p>
    <w:p w14:paraId="438CB054" w14:textId="77777777" w:rsidR="008D2923" w:rsidRPr="00CA6C91" w:rsidRDefault="00000000">
      <w:pPr>
        <w:spacing w:after="160" w:line="360" w:lineRule="auto"/>
        <w:jc w:val="both"/>
        <w:rPr>
          <w:sz w:val="28"/>
          <w:szCs w:val="28"/>
        </w:rPr>
      </w:pPr>
      <w:r w:rsidRPr="00CA6C91">
        <w:rPr>
          <w:sz w:val="28"/>
          <w:szCs w:val="28"/>
        </w:rPr>
        <w:t>All communications will reinforce the patient benefit narrative, explicitly linking each technological change to improved care outcomes or reduced waiting times. This approach addresses a documented risk in NHS change programmes: staff perceiving digitisation as a cost-reduction exercise rather than a care improvement initiative (King’s Fund, 2022).</w:t>
      </w:r>
    </w:p>
    <w:p w14:paraId="438CB055" w14:textId="77777777" w:rsidR="008D2923" w:rsidRPr="00CA6C91" w:rsidRDefault="00000000">
      <w:pPr>
        <w:pStyle w:val="Heading2"/>
        <w:rPr>
          <w:sz w:val="28"/>
          <w:szCs w:val="28"/>
        </w:rPr>
      </w:pPr>
      <w:r w:rsidRPr="00CA6C91">
        <w:rPr>
          <w:sz w:val="28"/>
          <w:szCs w:val="28"/>
        </w:rPr>
        <w:t>5.5 Financial and Resource Plan</w:t>
      </w:r>
    </w:p>
    <w:p w14:paraId="438CB056" w14:textId="77777777" w:rsidR="008D2923" w:rsidRDefault="00000000">
      <w:pPr>
        <w:spacing w:after="160" w:line="360" w:lineRule="auto"/>
        <w:jc w:val="both"/>
        <w:rPr>
          <w:sz w:val="28"/>
          <w:szCs w:val="28"/>
        </w:rPr>
      </w:pPr>
      <w:r w:rsidRPr="00CA6C91">
        <w:rPr>
          <w:sz w:val="28"/>
          <w:szCs w:val="28"/>
        </w:rPr>
        <w:t>The financial plan draws on existing NHS England Frontline Digitisation Programme funding (£200m nationally, with NWL ICB expected to receive approximately £18m based on population share) as well as local capital allocations. The table below outlines estimated costs across the three phases:</w:t>
      </w:r>
    </w:p>
    <w:p w14:paraId="2A448B2C" w14:textId="77777777" w:rsidR="004A5D4D" w:rsidRPr="00CA6C91" w:rsidRDefault="004A5D4D">
      <w:pPr>
        <w:spacing w:after="160" w:line="360" w:lineRule="auto"/>
        <w:jc w:val="both"/>
        <w:rPr>
          <w:sz w:val="28"/>
          <w:szCs w:val="28"/>
        </w:rPr>
      </w:pPr>
    </w:p>
    <w:p w14:paraId="438CB057" w14:textId="77777777" w:rsidR="008D2923" w:rsidRPr="00CA6C91" w:rsidRDefault="008D2923">
      <w:pPr>
        <w:spacing w:before="160" w:after="160"/>
        <w:rPr>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1842"/>
        <w:gridCol w:w="1842"/>
        <w:gridCol w:w="1842"/>
      </w:tblGrid>
      <w:tr w:rsidR="008D2923" w:rsidRPr="00CA6C91" w14:paraId="438CB05C" w14:textId="77777777">
        <w:trPr>
          <w:tblHeader/>
        </w:trPr>
        <w:tc>
          <w:tcPr>
            <w:tcW w:w="350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20" w:type="dxa"/>
              <w:bottom w:w="80" w:type="dxa"/>
              <w:right w:w="120" w:type="dxa"/>
            </w:tcMar>
          </w:tcPr>
          <w:p w14:paraId="438CB058" w14:textId="77777777" w:rsidR="008D2923" w:rsidRPr="00CA6C91" w:rsidRDefault="00000000">
            <w:pPr>
              <w:rPr>
                <w:sz w:val="28"/>
                <w:szCs w:val="28"/>
              </w:rPr>
            </w:pPr>
            <w:r w:rsidRPr="00CA6C91">
              <w:rPr>
                <w:b/>
                <w:bCs/>
                <w:color w:val="FFFFFF"/>
                <w:sz w:val="28"/>
                <w:szCs w:val="28"/>
              </w:rPr>
              <w:lastRenderedPageBreak/>
              <w:t>Cost Category</w:t>
            </w:r>
          </w:p>
        </w:tc>
        <w:tc>
          <w:tcPr>
            <w:tcW w:w="1842" w:type="dxa"/>
            <w:tcBorders>
              <w:top w:val="single" w:sz="1" w:space="0" w:color="CCCCCC"/>
              <w:left w:val="single" w:sz="1" w:space="0" w:color="CCCCCC"/>
              <w:bottom w:val="single" w:sz="1" w:space="0" w:color="CCCCCC"/>
              <w:right w:val="single" w:sz="1" w:space="0" w:color="CCCCCC"/>
            </w:tcBorders>
            <w:shd w:val="clear" w:color="auto" w:fill="1F5C99"/>
            <w:tcMar>
              <w:top w:w="80" w:type="dxa"/>
              <w:left w:w="120" w:type="dxa"/>
              <w:bottom w:w="80" w:type="dxa"/>
              <w:right w:w="120" w:type="dxa"/>
            </w:tcMar>
          </w:tcPr>
          <w:p w14:paraId="438CB059" w14:textId="77777777" w:rsidR="008D2923" w:rsidRPr="00CA6C91" w:rsidRDefault="00000000">
            <w:pPr>
              <w:rPr>
                <w:sz w:val="28"/>
                <w:szCs w:val="28"/>
              </w:rPr>
            </w:pPr>
            <w:r w:rsidRPr="00CA6C91">
              <w:rPr>
                <w:b/>
                <w:bCs/>
                <w:color w:val="FFFFFF"/>
                <w:sz w:val="28"/>
                <w:szCs w:val="28"/>
              </w:rPr>
              <w:t>Phase 1 (£m)</w:t>
            </w:r>
          </w:p>
        </w:tc>
        <w:tc>
          <w:tcPr>
            <w:tcW w:w="1842" w:type="dxa"/>
            <w:tcBorders>
              <w:top w:val="single" w:sz="1" w:space="0" w:color="CCCCCC"/>
              <w:left w:val="single" w:sz="1" w:space="0" w:color="CCCCCC"/>
              <w:bottom w:val="single" w:sz="1" w:space="0" w:color="CCCCCC"/>
              <w:right w:val="single" w:sz="1" w:space="0" w:color="CCCCCC"/>
            </w:tcBorders>
            <w:shd w:val="clear" w:color="auto" w:fill="1F5C99"/>
            <w:tcMar>
              <w:top w:w="80" w:type="dxa"/>
              <w:left w:w="120" w:type="dxa"/>
              <w:bottom w:w="80" w:type="dxa"/>
              <w:right w:w="120" w:type="dxa"/>
            </w:tcMar>
          </w:tcPr>
          <w:p w14:paraId="438CB05A" w14:textId="77777777" w:rsidR="008D2923" w:rsidRPr="00CA6C91" w:rsidRDefault="00000000">
            <w:pPr>
              <w:rPr>
                <w:sz w:val="28"/>
                <w:szCs w:val="28"/>
              </w:rPr>
            </w:pPr>
            <w:r w:rsidRPr="00CA6C91">
              <w:rPr>
                <w:b/>
                <w:bCs/>
                <w:color w:val="FFFFFF"/>
                <w:sz w:val="28"/>
                <w:szCs w:val="28"/>
              </w:rPr>
              <w:t>Phase 2 (£m)</w:t>
            </w:r>
          </w:p>
        </w:tc>
        <w:tc>
          <w:tcPr>
            <w:tcW w:w="1842" w:type="dxa"/>
            <w:tcBorders>
              <w:top w:val="single" w:sz="1" w:space="0" w:color="CCCCCC"/>
              <w:left w:val="single" w:sz="1" w:space="0" w:color="CCCCCC"/>
              <w:bottom w:val="single" w:sz="1" w:space="0" w:color="CCCCCC"/>
              <w:right w:val="single" w:sz="1" w:space="0" w:color="CCCCCC"/>
            </w:tcBorders>
            <w:shd w:val="clear" w:color="auto" w:fill="1F5C99"/>
            <w:tcMar>
              <w:top w:w="80" w:type="dxa"/>
              <w:left w:w="120" w:type="dxa"/>
              <w:bottom w:w="80" w:type="dxa"/>
              <w:right w:w="120" w:type="dxa"/>
            </w:tcMar>
          </w:tcPr>
          <w:p w14:paraId="438CB05B" w14:textId="77777777" w:rsidR="008D2923" w:rsidRPr="00CA6C91" w:rsidRDefault="00000000">
            <w:pPr>
              <w:rPr>
                <w:sz w:val="28"/>
                <w:szCs w:val="28"/>
              </w:rPr>
            </w:pPr>
            <w:r w:rsidRPr="00CA6C91">
              <w:rPr>
                <w:b/>
                <w:bCs/>
                <w:color w:val="FFFFFF"/>
                <w:sz w:val="28"/>
                <w:szCs w:val="28"/>
              </w:rPr>
              <w:t>Phase 3 (£m)</w:t>
            </w:r>
          </w:p>
        </w:tc>
      </w:tr>
      <w:tr w:rsidR="008D2923" w:rsidRPr="00CA6C91" w14:paraId="438CB061"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5D" w14:textId="77777777" w:rsidR="008D2923" w:rsidRPr="00CA6C91" w:rsidRDefault="00000000">
            <w:pPr>
              <w:rPr>
                <w:sz w:val="28"/>
                <w:szCs w:val="28"/>
              </w:rPr>
            </w:pPr>
            <w:r w:rsidRPr="00CA6C91">
              <w:rPr>
                <w:color w:val="000000"/>
                <w:sz w:val="28"/>
                <w:szCs w:val="28"/>
              </w:rPr>
              <w:t>EPR Licensing and Infrastructure</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5E" w14:textId="77777777" w:rsidR="008D2923" w:rsidRPr="00CA6C91" w:rsidRDefault="00000000">
            <w:pPr>
              <w:rPr>
                <w:sz w:val="28"/>
                <w:szCs w:val="28"/>
              </w:rPr>
            </w:pPr>
            <w:r w:rsidRPr="00CA6C91">
              <w:rPr>
                <w:color w:val="000000"/>
                <w:sz w:val="28"/>
                <w:szCs w:val="28"/>
              </w:rPr>
              <w:t>2.0</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5F" w14:textId="77777777" w:rsidR="008D2923" w:rsidRPr="00CA6C91" w:rsidRDefault="00000000">
            <w:pPr>
              <w:rPr>
                <w:sz w:val="28"/>
                <w:szCs w:val="28"/>
              </w:rPr>
            </w:pPr>
            <w:r w:rsidRPr="00CA6C91">
              <w:rPr>
                <w:color w:val="000000"/>
                <w:sz w:val="28"/>
                <w:szCs w:val="28"/>
              </w:rPr>
              <w:t>5.5</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0" w14:textId="77777777" w:rsidR="008D2923" w:rsidRPr="00CA6C91" w:rsidRDefault="00000000">
            <w:pPr>
              <w:rPr>
                <w:sz w:val="28"/>
                <w:szCs w:val="28"/>
              </w:rPr>
            </w:pPr>
            <w:r w:rsidRPr="00CA6C91">
              <w:rPr>
                <w:color w:val="000000"/>
                <w:sz w:val="28"/>
                <w:szCs w:val="28"/>
              </w:rPr>
              <w:t>2.0</w:t>
            </w:r>
          </w:p>
        </w:tc>
      </w:tr>
      <w:tr w:rsidR="008D2923" w:rsidRPr="00CA6C91" w14:paraId="438CB066"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2" w14:textId="77777777" w:rsidR="008D2923" w:rsidRPr="00CA6C91" w:rsidRDefault="00000000">
            <w:pPr>
              <w:rPr>
                <w:sz w:val="28"/>
                <w:szCs w:val="28"/>
              </w:rPr>
            </w:pPr>
            <w:r w:rsidRPr="00CA6C91">
              <w:rPr>
                <w:color w:val="000000"/>
                <w:sz w:val="28"/>
                <w:szCs w:val="28"/>
              </w:rPr>
              <w:t>AI Tool Procurement and Integration</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3" w14:textId="77777777" w:rsidR="008D2923" w:rsidRPr="00CA6C91" w:rsidRDefault="00000000">
            <w:pPr>
              <w:rPr>
                <w:sz w:val="28"/>
                <w:szCs w:val="28"/>
              </w:rPr>
            </w:pPr>
            <w:r w:rsidRPr="00CA6C91">
              <w:rPr>
                <w:color w:val="000000"/>
                <w:sz w:val="28"/>
                <w:szCs w:val="28"/>
              </w:rPr>
              <w:t>0.5</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4" w14:textId="77777777" w:rsidR="008D2923" w:rsidRPr="00CA6C91" w:rsidRDefault="00000000">
            <w:pPr>
              <w:rPr>
                <w:sz w:val="28"/>
                <w:szCs w:val="28"/>
              </w:rPr>
            </w:pPr>
            <w:r w:rsidRPr="00CA6C91">
              <w:rPr>
                <w:color w:val="000000"/>
                <w:sz w:val="28"/>
                <w:szCs w:val="28"/>
              </w:rPr>
              <w:t>2.0</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5" w14:textId="77777777" w:rsidR="008D2923" w:rsidRPr="00CA6C91" w:rsidRDefault="00000000">
            <w:pPr>
              <w:rPr>
                <w:sz w:val="28"/>
                <w:szCs w:val="28"/>
              </w:rPr>
            </w:pPr>
            <w:r w:rsidRPr="00CA6C91">
              <w:rPr>
                <w:color w:val="000000"/>
                <w:sz w:val="28"/>
                <w:szCs w:val="28"/>
              </w:rPr>
              <w:t>1.0</w:t>
            </w:r>
          </w:p>
        </w:tc>
      </w:tr>
      <w:tr w:rsidR="008D2923" w:rsidRPr="00CA6C91" w14:paraId="438CB06B"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7" w14:textId="77777777" w:rsidR="008D2923" w:rsidRPr="00CA6C91" w:rsidRDefault="00000000">
            <w:pPr>
              <w:rPr>
                <w:sz w:val="28"/>
                <w:szCs w:val="28"/>
              </w:rPr>
            </w:pPr>
            <w:r w:rsidRPr="00CA6C91">
              <w:rPr>
                <w:color w:val="000000"/>
                <w:sz w:val="28"/>
                <w:szCs w:val="28"/>
              </w:rPr>
              <w:t>Staff Training and Change Management</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8" w14:textId="77777777" w:rsidR="008D2923" w:rsidRPr="00CA6C91" w:rsidRDefault="00000000">
            <w:pPr>
              <w:rPr>
                <w:sz w:val="28"/>
                <w:szCs w:val="28"/>
              </w:rPr>
            </w:pPr>
            <w:r w:rsidRPr="00CA6C91">
              <w:rPr>
                <w:color w:val="000000"/>
                <w:sz w:val="28"/>
                <w:szCs w:val="28"/>
              </w:rPr>
              <w:t>0.8</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9" w14:textId="77777777" w:rsidR="008D2923" w:rsidRPr="00CA6C91" w:rsidRDefault="00000000">
            <w:pPr>
              <w:rPr>
                <w:sz w:val="28"/>
                <w:szCs w:val="28"/>
              </w:rPr>
            </w:pPr>
            <w:r w:rsidRPr="00CA6C91">
              <w:rPr>
                <w:color w:val="000000"/>
                <w:sz w:val="28"/>
                <w:szCs w:val="28"/>
              </w:rPr>
              <w:t>1.2</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A" w14:textId="77777777" w:rsidR="008D2923" w:rsidRPr="00CA6C91" w:rsidRDefault="00000000">
            <w:pPr>
              <w:rPr>
                <w:sz w:val="28"/>
                <w:szCs w:val="28"/>
              </w:rPr>
            </w:pPr>
            <w:r w:rsidRPr="00CA6C91">
              <w:rPr>
                <w:color w:val="000000"/>
                <w:sz w:val="28"/>
                <w:szCs w:val="28"/>
              </w:rPr>
              <w:t>0.5</w:t>
            </w:r>
          </w:p>
        </w:tc>
      </w:tr>
      <w:tr w:rsidR="008D2923" w:rsidRPr="00CA6C91" w14:paraId="438CB070"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C" w14:textId="77777777" w:rsidR="008D2923" w:rsidRPr="00CA6C91" w:rsidRDefault="00000000">
            <w:pPr>
              <w:rPr>
                <w:sz w:val="28"/>
                <w:szCs w:val="28"/>
              </w:rPr>
            </w:pPr>
            <w:r w:rsidRPr="00CA6C91">
              <w:rPr>
                <w:color w:val="000000"/>
                <w:sz w:val="28"/>
                <w:szCs w:val="28"/>
              </w:rPr>
              <w:t>Digital Inclusion Programme</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D" w14:textId="77777777" w:rsidR="008D2923" w:rsidRPr="00CA6C91" w:rsidRDefault="00000000">
            <w:pPr>
              <w:rPr>
                <w:sz w:val="28"/>
                <w:szCs w:val="28"/>
              </w:rPr>
            </w:pPr>
            <w:r w:rsidRPr="00CA6C91">
              <w:rPr>
                <w:color w:val="000000"/>
                <w:sz w:val="28"/>
                <w:szCs w:val="28"/>
              </w:rPr>
              <w:t>0.2</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E" w14:textId="77777777" w:rsidR="008D2923" w:rsidRPr="00CA6C91" w:rsidRDefault="00000000">
            <w:pPr>
              <w:rPr>
                <w:sz w:val="28"/>
                <w:szCs w:val="28"/>
              </w:rPr>
            </w:pPr>
            <w:r w:rsidRPr="00CA6C91">
              <w:rPr>
                <w:color w:val="000000"/>
                <w:sz w:val="28"/>
                <w:szCs w:val="28"/>
              </w:rPr>
              <w:t>0.3</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6F" w14:textId="77777777" w:rsidR="008D2923" w:rsidRPr="00CA6C91" w:rsidRDefault="00000000">
            <w:pPr>
              <w:rPr>
                <w:sz w:val="28"/>
                <w:szCs w:val="28"/>
              </w:rPr>
            </w:pPr>
            <w:r w:rsidRPr="00CA6C91">
              <w:rPr>
                <w:color w:val="000000"/>
                <w:sz w:val="28"/>
                <w:szCs w:val="28"/>
              </w:rPr>
              <w:t>0.2</w:t>
            </w:r>
          </w:p>
        </w:tc>
      </w:tr>
      <w:tr w:rsidR="008D2923" w:rsidRPr="00CA6C91" w14:paraId="438CB075"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1" w14:textId="77777777" w:rsidR="008D2923" w:rsidRPr="00CA6C91" w:rsidRDefault="00000000">
            <w:pPr>
              <w:rPr>
                <w:sz w:val="28"/>
                <w:szCs w:val="28"/>
              </w:rPr>
            </w:pPr>
            <w:r w:rsidRPr="00CA6C91">
              <w:rPr>
                <w:color w:val="000000"/>
                <w:sz w:val="28"/>
                <w:szCs w:val="28"/>
              </w:rPr>
              <w:t>Programme Management and Governance</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2" w14:textId="77777777" w:rsidR="008D2923" w:rsidRPr="00CA6C91" w:rsidRDefault="00000000">
            <w:pPr>
              <w:rPr>
                <w:sz w:val="28"/>
                <w:szCs w:val="28"/>
              </w:rPr>
            </w:pPr>
            <w:r w:rsidRPr="00CA6C91">
              <w:rPr>
                <w:color w:val="000000"/>
                <w:sz w:val="28"/>
                <w:szCs w:val="28"/>
              </w:rPr>
              <w:t>0.3</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3" w14:textId="77777777" w:rsidR="008D2923" w:rsidRPr="00CA6C91" w:rsidRDefault="00000000">
            <w:pPr>
              <w:rPr>
                <w:sz w:val="28"/>
                <w:szCs w:val="28"/>
              </w:rPr>
            </w:pPr>
            <w:r w:rsidRPr="00CA6C91">
              <w:rPr>
                <w:color w:val="000000"/>
                <w:sz w:val="28"/>
                <w:szCs w:val="28"/>
              </w:rPr>
              <w:t>0.5</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4" w14:textId="77777777" w:rsidR="008D2923" w:rsidRPr="00CA6C91" w:rsidRDefault="00000000">
            <w:pPr>
              <w:rPr>
                <w:sz w:val="28"/>
                <w:szCs w:val="28"/>
              </w:rPr>
            </w:pPr>
            <w:r w:rsidRPr="00CA6C91">
              <w:rPr>
                <w:color w:val="000000"/>
                <w:sz w:val="28"/>
                <w:szCs w:val="28"/>
              </w:rPr>
              <w:t>0.3</w:t>
            </w:r>
          </w:p>
        </w:tc>
      </w:tr>
      <w:tr w:rsidR="008D2923" w:rsidRPr="00CA6C91" w14:paraId="438CB07A"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6" w14:textId="77777777" w:rsidR="008D2923" w:rsidRPr="00CA6C91" w:rsidRDefault="00000000">
            <w:pPr>
              <w:rPr>
                <w:sz w:val="28"/>
                <w:szCs w:val="28"/>
              </w:rPr>
            </w:pPr>
            <w:r w:rsidRPr="00CA6C91">
              <w:rPr>
                <w:color w:val="000000"/>
                <w:sz w:val="28"/>
                <w:szCs w:val="28"/>
              </w:rPr>
              <w:t>Contingency (10%)</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7" w14:textId="77777777" w:rsidR="008D2923" w:rsidRPr="00CA6C91" w:rsidRDefault="00000000">
            <w:pPr>
              <w:rPr>
                <w:sz w:val="28"/>
                <w:szCs w:val="28"/>
              </w:rPr>
            </w:pPr>
            <w:r w:rsidRPr="00CA6C91">
              <w:rPr>
                <w:color w:val="000000"/>
                <w:sz w:val="28"/>
                <w:szCs w:val="28"/>
              </w:rPr>
              <w:t>0.4</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8" w14:textId="77777777" w:rsidR="008D2923" w:rsidRPr="00CA6C91" w:rsidRDefault="00000000">
            <w:pPr>
              <w:rPr>
                <w:sz w:val="28"/>
                <w:szCs w:val="28"/>
              </w:rPr>
            </w:pPr>
            <w:r w:rsidRPr="00CA6C91">
              <w:rPr>
                <w:color w:val="000000"/>
                <w:sz w:val="28"/>
                <w:szCs w:val="28"/>
              </w:rPr>
              <w:t>0.9</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9" w14:textId="77777777" w:rsidR="008D2923" w:rsidRPr="00CA6C91" w:rsidRDefault="00000000">
            <w:pPr>
              <w:rPr>
                <w:sz w:val="28"/>
                <w:szCs w:val="28"/>
              </w:rPr>
            </w:pPr>
            <w:r w:rsidRPr="00CA6C91">
              <w:rPr>
                <w:color w:val="000000"/>
                <w:sz w:val="28"/>
                <w:szCs w:val="28"/>
              </w:rPr>
              <w:t>0.4</w:t>
            </w:r>
          </w:p>
        </w:tc>
      </w:tr>
      <w:tr w:rsidR="008D2923" w:rsidRPr="00CA6C91" w14:paraId="438CB07F"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B" w14:textId="77777777" w:rsidR="008D2923" w:rsidRPr="00CA6C91" w:rsidRDefault="00000000">
            <w:pPr>
              <w:rPr>
                <w:sz w:val="28"/>
                <w:szCs w:val="28"/>
              </w:rPr>
            </w:pPr>
            <w:r w:rsidRPr="00CA6C91">
              <w:rPr>
                <w:color w:val="000000"/>
                <w:sz w:val="28"/>
                <w:szCs w:val="28"/>
              </w:rPr>
              <w:t>Total</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C" w14:textId="77777777" w:rsidR="008D2923" w:rsidRPr="00CA6C91" w:rsidRDefault="00000000">
            <w:pPr>
              <w:rPr>
                <w:sz w:val="28"/>
                <w:szCs w:val="28"/>
              </w:rPr>
            </w:pPr>
            <w:r w:rsidRPr="00CA6C91">
              <w:rPr>
                <w:color w:val="000000"/>
                <w:sz w:val="28"/>
                <w:szCs w:val="28"/>
              </w:rPr>
              <w:t>4.2</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D" w14:textId="77777777" w:rsidR="008D2923" w:rsidRPr="00CA6C91" w:rsidRDefault="00000000">
            <w:pPr>
              <w:rPr>
                <w:sz w:val="28"/>
                <w:szCs w:val="28"/>
              </w:rPr>
            </w:pPr>
            <w:r w:rsidRPr="00CA6C91">
              <w:rPr>
                <w:color w:val="000000"/>
                <w:sz w:val="28"/>
                <w:szCs w:val="28"/>
              </w:rPr>
              <w:t>10.4</w:t>
            </w:r>
          </w:p>
        </w:tc>
        <w:tc>
          <w:tcPr>
            <w:tcW w:w="184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8CB07E" w14:textId="77777777" w:rsidR="008D2923" w:rsidRPr="00CA6C91" w:rsidRDefault="00000000">
            <w:pPr>
              <w:rPr>
                <w:sz w:val="28"/>
                <w:szCs w:val="28"/>
              </w:rPr>
            </w:pPr>
            <w:r w:rsidRPr="00CA6C91">
              <w:rPr>
                <w:color w:val="000000"/>
                <w:sz w:val="28"/>
                <w:szCs w:val="28"/>
              </w:rPr>
              <w:t>4.4</w:t>
            </w:r>
          </w:p>
        </w:tc>
      </w:tr>
    </w:tbl>
    <w:p w14:paraId="438CB080" w14:textId="77777777" w:rsidR="008D2923" w:rsidRPr="00CA6C91" w:rsidRDefault="008D2923">
      <w:pPr>
        <w:spacing w:before="160"/>
        <w:rPr>
          <w:sz w:val="28"/>
          <w:szCs w:val="28"/>
        </w:rPr>
      </w:pPr>
    </w:p>
    <w:p w14:paraId="438CB081" w14:textId="77777777" w:rsidR="008D2923" w:rsidRDefault="00000000">
      <w:pPr>
        <w:spacing w:after="160" w:line="360" w:lineRule="auto"/>
        <w:jc w:val="both"/>
        <w:rPr>
          <w:sz w:val="28"/>
          <w:szCs w:val="28"/>
        </w:rPr>
      </w:pPr>
      <w:r w:rsidRPr="00CA6C91">
        <w:rPr>
          <w:sz w:val="28"/>
          <w:szCs w:val="28"/>
        </w:rPr>
        <w:t>The anticipated return on investment includes reduced duplication of clinical tests, lower administrative burden, improved bed management efficiency, and a projected reduction in avoidable admissions worth an estimated £25m over five years, consistent with NHS England modelling for comparable ICB digital programmes (NHS England, 2022).</w:t>
      </w:r>
    </w:p>
    <w:p w14:paraId="29C19B64" w14:textId="77777777" w:rsidR="003B68E5" w:rsidRPr="00CA6C91" w:rsidRDefault="003B68E5">
      <w:pPr>
        <w:spacing w:after="160" w:line="360" w:lineRule="auto"/>
        <w:jc w:val="both"/>
        <w:rPr>
          <w:sz w:val="28"/>
          <w:szCs w:val="28"/>
        </w:rPr>
      </w:pPr>
    </w:p>
    <w:p w14:paraId="438CB082" w14:textId="77777777" w:rsidR="008D2923" w:rsidRPr="00CA6C91" w:rsidRDefault="00000000">
      <w:pPr>
        <w:pStyle w:val="Heading2"/>
        <w:rPr>
          <w:sz w:val="28"/>
          <w:szCs w:val="28"/>
        </w:rPr>
      </w:pPr>
      <w:r w:rsidRPr="00CA6C91">
        <w:rPr>
          <w:sz w:val="28"/>
          <w:szCs w:val="28"/>
        </w:rPr>
        <w:t>5.6 Risk Assessment and Mitigation</w:t>
      </w:r>
    </w:p>
    <w:p w14:paraId="438CB083" w14:textId="77777777" w:rsidR="008D2923" w:rsidRPr="00CA6C91" w:rsidRDefault="00000000">
      <w:pPr>
        <w:spacing w:after="160" w:line="360" w:lineRule="auto"/>
        <w:jc w:val="both"/>
        <w:rPr>
          <w:sz w:val="28"/>
          <w:szCs w:val="28"/>
        </w:rPr>
      </w:pPr>
      <w:r w:rsidRPr="00CA6C91">
        <w:rPr>
          <w:sz w:val="28"/>
          <w:szCs w:val="28"/>
        </w:rPr>
        <w:t>Key risks and mitigations are identified below:</w:t>
      </w:r>
    </w:p>
    <w:p w14:paraId="438CB084" w14:textId="77777777" w:rsidR="008D2923" w:rsidRPr="00CA6C91" w:rsidRDefault="00000000">
      <w:pPr>
        <w:pStyle w:val="ListParagraph"/>
        <w:numPr>
          <w:ilvl w:val="0"/>
          <w:numId w:val="2"/>
        </w:numPr>
        <w:spacing w:after="80" w:line="360" w:lineRule="auto"/>
        <w:rPr>
          <w:sz w:val="28"/>
          <w:szCs w:val="28"/>
        </w:rPr>
      </w:pPr>
      <w:r w:rsidRPr="00CA6C91">
        <w:rPr>
          <w:sz w:val="28"/>
          <w:szCs w:val="28"/>
        </w:rPr>
        <w:t>Cyber Security: Risk of data breach or ransomware attack (High likelihood, High impact). Mitigation: Mandatory compliance with NHS Data Security and Protection Toolkit; dedicated cyber security resource; regular penetration testing.</w:t>
      </w:r>
    </w:p>
    <w:p w14:paraId="438CB085" w14:textId="77777777" w:rsidR="008D2923" w:rsidRPr="00CA6C91" w:rsidRDefault="00000000">
      <w:pPr>
        <w:pStyle w:val="ListParagraph"/>
        <w:numPr>
          <w:ilvl w:val="0"/>
          <w:numId w:val="2"/>
        </w:numPr>
        <w:spacing w:after="80" w:line="360" w:lineRule="auto"/>
        <w:rPr>
          <w:sz w:val="28"/>
          <w:szCs w:val="28"/>
        </w:rPr>
      </w:pPr>
      <w:r w:rsidRPr="00CA6C91">
        <w:rPr>
          <w:sz w:val="28"/>
          <w:szCs w:val="28"/>
        </w:rPr>
        <w:t>Staff Resistance: Risk of low adoption and workarounds (Medium likelihood, High impact). Mitigation: ADKAR-based engagement; visible clinical champions; peer-learning networks.</w:t>
      </w:r>
    </w:p>
    <w:p w14:paraId="438CB086" w14:textId="77777777" w:rsidR="008D2923" w:rsidRPr="00CA6C91" w:rsidRDefault="00000000">
      <w:pPr>
        <w:pStyle w:val="ListParagraph"/>
        <w:numPr>
          <w:ilvl w:val="0"/>
          <w:numId w:val="2"/>
        </w:numPr>
        <w:spacing w:after="80" w:line="360" w:lineRule="auto"/>
        <w:rPr>
          <w:sz w:val="28"/>
          <w:szCs w:val="28"/>
        </w:rPr>
      </w:pPr>
      <w:r w:rsidRPr="00CA6C91">
        <w:rPr>
          <w:sz w:val="28"/>
          <w:szCs w:val="28"/>
        </w:rPr>
        <w:lastRenderedPageBreak/>
        <w:t>Digital Exclusion: Risk of exacerbating health inequalities for patients with low digital access (Medium likelihood, High impact). Mitigation: Maintain non-digital access routes; proactive digital inclusion outreach.</w:t>
      </w:r>
    </w:p>
    <w:p w14:paraId="438CB087" w14:textId="77777777" w:rsidR="008D2923" w:rsidRPr="00CA6C91" w:rsidRDefault="00000000">
      <w:pPr>
        <w:pStyle w:val="ListParagraph"/>
        <w:numPr>
          <w:ilvl w:val="0"/>
          <w:numId w:val="2"/>
        </w:numPr>
        <w:spacing w:after="80" w:line="360" w:lineRule="auto"/>
        <w:rPr>
          <w:sz w:val="28"/>
          <w:szCs w:val="28"/>
        </w:rPr>
      </w:pPr>
      <w:r w:rsidRPr="00CA6C91">
        <w:rPr>
          <w:sz w:val="28"/>
          <w:szCs w:val="28"/>
        </w:rPr>
        <w:t>Supplier Failure: Risk of delayed delivery or underperformance by technology vendors (Low likelihood, High impact). Mitigation: Robust contract management; break clauses and performance penalties; contingency funding.</w:t>
      </w:r>
    </w:p>
    <w:p w14:paraId="7BEED4F4" w14:textId="2AA32B40" w:rsidR="00CD379D" w:rsidRDefault="00000000" w:rsidP="00CD379D">
      <w:pPr>
        <w:pStyle w:val="ListParagraph"/>
        <w:numPr>
          <w:ilvl w:val="0"/>
          <w:numId w:val="2"/>
        </w:numPr>
        <w:spacing w:after="80" w:line="360" w:lineRule="auto"/>
        <w:rPr>
          <w:sz w:val="28"/>
          <w:szCs w:val="28"/>
        </w:rPr>
      </w:pPr>
      <w:r w:rsidRPr="00CD379D">
        <w:rPr>
          <w:sz w:val="28"/>
          <w:szCs w:val="28"/>
        </w:rPr>
        <w:t>Regulatory Non-compliance: Risk of AI tools breaching UK GDPR or clinical safety standards (Low likelihood, Very High impact). Mitigation: Mandatory clinical safety case process; Information Governance approval; NHS AI Lab guidance compliance.</w:t>
      </w:r>
    </w:p>
    <w:p w14:paraId="68CFDA01" w14:textId="77777777" w:rsidR="002510CA" w:rsidRDefault="002510CA" w:rsidP="002510CA">
      <w:pPr>
        <w:pStyle w:val="ListParagraph"/>
        <w:spacing w:after="80" w:line="360" w:lineRule="auto"/>
        <w:ind w:left="720"/>
        <w:rPr>
          <w:sz w:val="28"/>
          <w:szCs w:val="28"/>
        </w:rPr>
      </w:pPr>
    </w:p>
    <w:p w14:paraId="4CF5D2BC" w14:textId="77777777" w:rsidR="00CD379D" w:rsidRPr="00CD379D" w:rsidRDefault="00CD379D" w:rsidP="00CD379D">
      <w:pPr>
        <w:spacing w:after="80" w:line="360" w:lineRule="auto"/>
        <w:rPr>
          <w:sz w:val="28"/>
          <w:szCs w:val="28"/>
        </w:rPr>
      </w:pPr>
    </w:p>
    <w:p w14:paraId="438CB089" w14:textId="77777777" w:rsidR="008D2923" w:rsidRPr="00CA6C91" w:rsidRDefault="00000000">
      <w:pPr>
        <w:pStyle w:val="Heading2"/>
        <w:rPr>
          <w:sz w:val="28"/>
          <w:szCs w:val="28"/>
        </w:rPr>
      </w:pPr>
      <w:r w:rsidRPr="00CA6C91">
        <w:rPr>
          <w:sz w:val="28"/>
          <w:szCs w:val="28"/>
        </w:rPr>
        <w:t>5.7 Evaluation and KPIs</w:t>
      </w:r>
    </w:p>
    <w:p w14:paraId="438CB08A" w14:textId="77777777" w:rsidR="008D2923" w:rsidRPr="00CA6C91" w:rsidRDefault="00000000">
      <w:pPr>
        <w:spacing w:after="160" w:line="360" w:lineRule="auto"/>
        <w:jc w:val="both"/>
        <w:rPr>
          <w:sz w:val="28"/>
          <w:szCs w:val="28"/>
        </w:rPr>
      </w:pPr>
      <w:r w:rsidRPr="00CA6C91">
        <w:rPr>
          <w:sz w:val="28"/>
          <w:szCs w:val="28"/>
        </w:rPr>
        <w:t>Programme evaluation will be conducted through a balanced scorecard approach across four dimensions: patient outcomes, operational efficiency, staff engagement, and financial performance. Key Performance Indicators include:</w:t>
      </w:r>
    </w:p>
    <w:p w14:paraId="438CB08B" w14:textId="77777777" w:rsidR="008D2923" w:rsidRPr="00CA6C91" w:rsidRDefault="00000000">
      <w:pPr>
        <w:pStyle w:val="ListParagraph"/>
        <w:numPr>
          <w:ilvl w:val="0"/>
          <w:numId w:val="2"/>
        </w:numPr>
        <w:spacing w:after="80" w:line="360" w:lineRule="auto"/>
        <w:rPr>
          <w:sz w:val="28"/>
          <w:szCs w:val="28"/>
        </w:rPr>
      </w:pPr>
      <w:r w:rsidRPr="00CA6C91">
        <w:rPr>
          <w:sz w:val="28"/>
          <w:szCs w:val="28"/>
        </w:rPr>
        <w:t>EPR adoption rate: target 90% of eligible clinical encounters recorded digitally by Q4 2027.</w:t>
      </w:r>
    </w:p>
    <w:p w14:paraId="438CB08C" w14:textId="77777777" w:rsidR="008D2923" w:rsidRPr="00CA6C91" w:rsidRDefault="00000000">
      <w:pPr>
        <w:pStyle w:val="ListParagraph"/>
        <w:numPr>
          <w:ilvl w:val="0"/>
          <w:numId w:val="2"/>
        </w:numPr>
        <w:spacing w:after="80" w:line="360" w:lineRule="auto"/>
        <w:rPr>
          <w:sz w:val="28"/>
          <w:szCs w:val="28"/>
        </w:rPr>
      </w:pPr>
      <w:r w:rsidRPr="00CA6C91">
        <w:rPr>
          <w:sz w:val="28"/>
          <w:szCs w:val="28"/>
        </w:rPr>
        <w:t>AI diagnostic accuracy: target ≥95% sensitivity in each deployed AI clinical tool, validated against clinical audit data.</w:t>
      </w:r>
    </w:p>
    <w:p w14:paraId="438CB08D" w14:textId="77777777" w:rsidR="008D2923" w:rsidRPr="00CA6C91" w:rsidRDefault="00000000">
      <w:pPr>
        <w:pStyle w:val="ListParagraph"/>
        <w:numPr>
          <w:ilvl w:val="0"/>
          <w:numId w:val="2"/>
        </w:numPr>
        <w:spacing w:after="80" w:line="360" w:lineRule="auto"/>
        <w:rPr>
          <w:sz w:val="28"/>
          <w:szCs w:val="28"/>
        </w:rPr>
      </w:pPr>
      <w:r w:rsidRPr="00CA6C91">
        <w:rPr>
          <w:sz w:val="28"/>
          <w:szCs w:val="28"/>
        </w:rPr>
        <w:t>Staff digital confidence score: target 80% of staff reporting confidence in using new digital systems (measured via bi-annual staff survey).</w:t>
      </w:r>
    </w:p>
    <w:p w14:paraId="438CB08E" w14:textId="77777777" w:rsidR="008D2923" w:rsidRPr="00CA6C91" w:rsidRDefault="00000000">
      <w:pPr>
        <w:pStyle w:val="ListParagraph"/>
        <w:numPr>
          <w:ilvl w:val="0"/>
          <w:numId w:val="2"/>
        </w:numPr>
        <w:spacing w:after="80" w:line="360" w:lineRule="auto"/>
        <w:rPr>
          <w:sz w:val="28"/>
          <w:szCs w:val="28"/>
        </w:rPr>
      </w:pPr>
      <w:r w:rsidRPr="00CA6C91">
        <w:rPr>
          <w:sz w:val="28"/>
          <w:szCs w:val="28"/>
        </w:rPr>
        <w:lastRenderedPageBreak/>
        <w:t>Avoidable emergency admissions: target 15% reduction by 2028 against 2024 baseline.</w:t>
      </w:r>
    </w:p>
    <w:p w14:paraId="438CB08F" w14:textId="77777777" w:rsidR="008D2923" w:rsidRPr="00CA6C91" w:rsidRDefault="00000000">
      <w:pPr>
        <w:pStyle w:val="ListParagraph"/>
        <w:numPr>
          <w:ilvl w:val="0"/>
          <w:numId w:val="2"/>
        </w:numPr>
        <w:spacing w:after="80" w:line="360" w:lineRule="auto"/>
        <w:rPr>
          <w:sz w:val="28"/>
          <w:szCs w:val="28"/>
        </w:rPr>
      </w:pPr>
      <w:r w:rsidRPr="00CA6C91">
        <w:rPr>
          <w:sz w:val="28"/>
          <w:szCs w:val="28"/>
        </w:rPr>
        <w:t>Patient satisfaction with digital services: target score ≥8/10 in quarterly patient experience surveys.</w:t>
      </w:r>
    </w:p>
    <w:p w14:paraId="438CB090" w14:textId="77777777" w:rsidR="008D2923" w:rsidRPr="00CA6C91" w:rsidRDefault="00000000">
      <w:pPr>
        <w:spacing w:after="160" w:line="360" w:lineRule="auto"/>
        <w:jc w:val="both"/>
        <w:rPr>
          <w:sz w:val="28"/>
          <w:szCs w:val="28"/>
        </w:rPr>
      </w:pPr>
      <w:r w:rsidRPr="00CA6C91">
        <w:rPr>
          <w:sz w:val="28"/>
          <w:szCs w:val="28"/>
        </w:rPr>
        <w:t>Quarterly programme board reviews will track progress against these KPIs. An independent mid-programme evaluation will be commissioned at Month 18 to assess whether the implementation is on track and identify any required adjustments.</w:t>
      </w:r>
    </w:p>
    <w:p w14:paraId="438CB091" w14:textId="77777777" w:rsidR="008D2923" w:rsidRPr="00CA6C91" w:rsidRDefault="00000000">
      <w:pPr>
        <w:rPr>
          <w:sz w:val="28"/>
          <w:szCs w:val="28"/>
        </w:rPr>
      </w:pPr>
      <w:r w:rsidRPr="00CA6C91">
        <w:rPr>
          <w:sz w:val="28"/>
          <w:szCs w:val="28"/>
        </w:rPr>
        <w:br w:type="page"/>
      </w:r>
    </w:p>
    <w:p w14:paraId="438CB092" w14:textId="77777777" w:rsidR="008D2923" w:rsidRPr="00CA6C91" w:rsidRDefault="00000000">
      <w:pPr>
        <w:pStyle w:val="Heading1"/>
      </w:pPr>
      <w:r w:rsidRPr="00CA6C91">
        <w:lastRenderedPageBreak/>
        <w:t>6. Discussion and Critical Reflection</w:t>
      </w:r>
    </w:p>
    <w:p w14:paraId="438CB093" w14:textId="77777777" w:rsidR="008D2923" w:rsidRPr="00CA6C91" w:rsidRDefault="00000000">
      <w:pPr>
        <w:spacing w:after="160" w:line="360" w:lineRule="auto"/>
        <w:jc w:val="both"/>
        <w:rPr>
          <w:sz w:val="28"/>
          <w:szCs w:val="28"/>
        </w:rPr>
      </w:pPr>
      <w:r w:rsidRPr="00CA6C91">
        <w:rPr>
          <w:sz w:val="28"/>
          <w:szCs w:val="28"/>
        </w:rPr>
        <w:t>The proposed change plan offers a comprehensive and theoretically grounded framework for digital transformation at NWL ICB. Its key strength lies in the integration of macro-level strategic change management (Kotter) with individual-level behavioural change (ADKAR), addressing a common failure point in NHS transformation programmes – the neglect of the human dimension (King’s Fund, 2022). The stakeholder-centred communication strategy and the explicit digital inclusion programme also strengthen the plan’s equity credentials, which is critical in a diverse urban ICB.</w:t>
      </w:r>
    </w:p>
    <w:p w14:paraId="438CB094" w14:textId="77777777" w:rsidR="008D2923" w:rsidRPr="00CA6C91" w:rsidRDefault="00000000">
      <w:pPr>
        <w:spacing w:after="160" w:line="360" w:lineRule="auto"/>
        <w:jc w:val="both"/>
        <w:rPr>
          <w:sz w:val="28"/>
          <w:szCs w:val="28"/>
        </w:rPr>
      </w:pPr>
      <w:r w:rsidRPr="00CA6C91">
        <w:rPr>
          <w:sz w:val="28"/>
          <w:szCs w:val="28"/>
        </w:rPr>
        <w:t>However, several limitations must be acknowledged. First, the financial projections are based on national NHS estimates and may not fully capture local cost variables, particularly around legacy system decommissioning. A detailed technical feasibility study would be required before committing to Phase 2 expenditure. Second, the plan assumes a degree of organisational stability that may not reflect the reality of an ICB that is itself newly formed and still consolidating its governance structures. Significant leadership changes, which are common in NHS reorganisations, could disrupt the guiding coalition and undermine momentum.</w:t>
      </w:r>
    </w:p>
    <w:p w14:paraId="438CB095" w14:textId="77777777" w:rsidR="008D2923" w:rsidRPr="00CA6C91" w:rsidRDefault="00000000">
      <w:pPr>
        <w:spacing w:after="160" w:line="360" w:lineRule="auto"/>
        <w:jc w:val="both"/>
        <w:rPr>
          <w:sz w:val="28"/>
          <w:szCs w:val="28"/>
        </w:rPr>
      </w:pPr>
      <w:r w:rsidRPr="00CA6C91">
        <w:rPr>
          <w:sz w:val="28"/>
          <w:szCs w:val="28"/>
        </w:rPr>
        <w:t>Ethically, the deployment of AI in clinical decision-making raises important questions about accountability, transparency, and bias. NHS AI Lab guidance (2023) emphasises the need for algorithmic transparency and ongoing bias monitoring, particularly given the risk that AI tools trained on historically skewed datasets may perpetuate inequalities rather than reduce them. The plan must incorporate robust clinical safety governance and patient consent frameworks before any AI tool is deployed at scale.</w:t>
      </w:r>
    </w:p>
    <w:p w14:paraId="438CB096" w14:textId="77777777" w:rsidR="008D2923" w:rsidRPr="00CA6C91" w:rsidRDefault="00000000">
      <w:pPr>
        <w:spacing w:after="160" w:line="360" w:lineRule="auto"/>
        <w:jc w:val="both"/>
        <w:rPr>
          <w:sz w:val="28"/>
          <w:szCs w:val="28"/>
        </w:rPr>
      </w:pPr>
      <w:r w:rsidRPr="00CA6C91">
        <w:rPr>
          <w:sz w:val="28"/>
          <w:szCs w:val="28"/>
        </w:rPr>
        <w:lastRenderedPageBreak/>
        <w:t>From a sustainability perspective, the plan aligns with NHS England’s net zero commitments by enabling virtual consultations and reducing unnecessary travel. However, the environmental costs of digital infrastructure – including data centre energy consumption – should be explicitly assessed and mitigated through the procurement process.</w:t>
      </w:r>
    </w:p>
    <w:p w14:paraId="438CB097" w14:textId="62EE18D9" w:rsidR="008D2923" w:rsidRPr="00CA6C91" w:rsidRDefault="008D2923">
      <w:pPr>
        <w:rPr>
          <w:sz w:val="28"/>
          <w:szCs w:val="28"/>
        </w:rPr>
      </w:pPr>
    </w:p>
    <w:p w14:paraId="438CB098" w14:textId="77777777" w:rsidR="008D2923" w:rsidRPr="00CA6C91" w:rsidRDefault="00000000">
      <w:pPr>
        <w:pStyle w:val="Heading1"/>
      </w:pPr>
      <w:r w:rsidRPr="00CA6C91">
        <w:t>7. Conclusion</w:t>
      </w:r>
    </w:p>
    <w:p w14:paraId="438CB099" w14:textId="1321D774" w:rsidR="008D2923" w:rsidRPr="00CA6C91" w:rsidRDefault="00000000">
      <w:pPr>
        <w:spacing w:after="160" w:line="360" w:lineRule="auto"/>
        <w:jc w:val="both"/>
        <w:rPr>
          <w:sz w:val="28"/>
          <w:szCs w:val="28"/>
        </w:rPr>
      </w:pPr>
      <w:r w:rsidRPr="00CA6C91">
        <w:rPr>
          <w:sz w:val="28"/>
          <w:szCs w:val="28"/>
        </w:rPr>
        <w:t xml:space="preserve">This report has presented a strategic change management plan for NHS </w:t>
      </w:r>
      <w:r w:rsidR="00CD379D" w:rsidRPr="00CA6C91">
        <w:rPr>
          <w:sz w:val="28"/>
          <w:szCs w:val="28"/>
        </w:rPr>
        <w:t>Northwest</w:t>
      </w:r>
      <w:r w:rsidRPr="00CA6C91">
        <w:rPr>
          <w:sz w:val="28"/>
          <w:szCs w:val="28"/>
        </w:rPr>
        <w:t xml:space="preserve"> London Integrated Care Board, centred on the adoption of digital technologies and artificial intelligence. The environmental analysis demonstrated that NWL ICB faces substantial and growing pressures from technological disruption, post-pandemic demand surges, and NHS policy imperatives, making digital transformation both urgent and strategically necessary.</w:t>
      </w:r>
    </w:p>
    <w:p w14:paraId="438CB09A" w14:textId="77777777" w:rsidR="008D2923" w:rsidRPr="00CA6C91" w:rsidRDefault="00000000">
      <w:pPr>
        <w:spacing w:after="160" w:line="360" w:lineRule="auto"/>
        <w:jc w:val="both"/>
        <w:rPr>
          <w:sz w:val="28"/>
          <w:szCs w:val="28"/>
        </w:rPr>
      </w:pPr>
      <w:r w:rsidRPr="00CA6C91">
        <w:rPr>
          <w:sz w:val="28"/>
          <w:szCs w:val="28"/>
        </w:rPr>
        <w:t>Drawing on a hybrid Kotter-ADKAR framework, supported by transformational leadership and a deliberate cultural change strategy, the plan provides a phased, evidence-based roadmap for the period 2025–2028. The proposed programme is financially costed at approximately £19m and projected to deliver measurable improvements in patient outcomes, operational efficiency, and staff capability. Risk mitigation strategies address the most significant threats, including cyber security, staff resistance, and digital exclusion.</w:t>
      </w:r>
    </w:p>
    <w:p w14:paraId="438CB09B" w14:textId="77777777" w:rsidR="008D2923" w:rsidRDefault="00000000">
      <w:pPr>
        <w:spacing w:after="160" w:line="360" w:lineRule="auto"/>
        <w:jc w:val="both"/>
        <w:rPr>
          <w:sz w:val="28"/>
          <w:szCs w:val="28"/>
        </w:rPr>
      </w:pPr>
      <w:r w:rsidRPr="00CA6C91">
        <w:rPr>
          <w:sz w:val="28"/>
          <w:szCs w:val="28"/>
        </w:rPr>
        <w:t xml:space="preserve">The board is recommended to: (1) endorse the change vision and formally appoint a programme executive sponsor with cross-system authority; (2) commission a digital maturity baseline assessment across all partner organisations within three months; (3) establish the guiding coalition and programme governance structure before initiating any technology </w:t>
      </w:r>
      <w:r w:rsidRPr="00CA6C91">
        <w:rPr>
          <w:sz w:val="28"/>
          <w:szCs w:val="28"/>
        </w:rPr>
        <w:lastRenderedPageBreak/>
        <w:t>procurement; and (4) integrate digital transformation objectives into all executive and clinical leadership performance frameworks. With strong leadership, genuine clinical engagement, and rigorous programme governance, NWL ICB has the capacity to become a leading example of responsible, equitable digital transformation within the NHS.</w:t>
      </w:r>
    </w:p>
    <w:p w14:paraId="70DC1185" w14:textId="77777777" w:rsidR="003B68E5" w:rsidRDefault="003B68E5">
      <w:pPr>
        <w:spacing w:after="160" w:line="360" w:lineRule="auto"/>
        <w:jc w:val="both"/>
        <w:rPr>
          <w:sz w:val="28"/>
          <w:szCs w:val="28"/>
        </w:rPr>
      </w:pPr>
    </w:p>
    <w:p w14:paraId="1988BFB1" w14:textId="77777777" w:rsidR="003B68E5" w:rsidRDefault="003B68E5">
      <w:pPr>
        <w:spacing w:after="160" w:line="360" w:lineRule="auto"/>
        <w:jc w:val="both"/>
        <w:rPr>
          <w:sz w:val="28"/>
          <w:szCs w:val="28"/>
        </w:rPr>
      </w:pPr>
    </w:p>
    <w:p w14:paraId="507A4AD9" w14:textId="77777777" w:rsidR="003B68E5" w:rsidRDefault="003B68E5">
      <w:pPr>
        <w:spacing w:after="160" w:line="360" w:lineRule="auto"/>
        <w:jc w:val="both"/>
        <w:rPr>
          <w:sz w:val="28"/>
          <w:szCs w:val="28"/>
        </w:rPr>
      </w:pPr>
    </w:p>
    <w:p w14:paraId="6624ADAE" w14:textId="77777777" w:rsidR="003B68E5" w:rsidRDefault="003B68E5">
      <w:pPr>
        <w:spacing w:after="160" w:line="360" w:lineRule="auto"/>
        <w:jc w:val="both"/>
        <w:rPr>
          <w:sz w:val="28"/>
          <w:szCs w:val="28"/>
        </w:rPr>
      </w:pPr>
    </w:p>
    <w:p w14:paraId="1A8F1F42" w14:textId="77777777" w:rsidR="003B68E5" w:rsidRDefault="003B68E5">
      <w:pPr>
        <w:spacing w:after="160" w:line="360" w:lineRule="auto"/>
        <w:jc w:val="both"/>
        <w:rPr>
          <w:sz w:val="28"/>
          <w:szCs w:val="28"/>
        </w:rPr>
      </w:pPr>
    </w:p>
    <w:p w14:paraId="72839FDC" w14:textId="77777777" w:rsidR="003B68E5" w:rsidRDefault="003B68E5">
      <w:pPr>
        <w:spacing w:after="160" w:line="360" w:lineRule="auto"/>
        <w:jc w:val="both"/>
        <w:rPr>
          <w:sz w:val="28"/>
          <w:szCs w:val="28"/>
        </w:rPr>
      </w:pPr>
    </w:p>
    <w:p w14:paraId="04948946" w14:textId="77777777" w:rsidR="003B68E5" w:rsidRDefault="003B68E5">
      <w:pPr>
        <w:spacing w:after="160" w:line="360" w:lineRule="auto"/>
        <w:jc w:val="both"/>
        <w:rPr>
          <w:sz w:val="28"/>
          <w:szCs w:val="28"/>
        </w:rPr>
      </w:pPr>
    </w:p>
    <w:p w14:paraId="5A27D1FB" w14:textId="77777777" w:rsidR="003B68E5" w:rsidRPr="00CA6C91" w:rsidRDefault="003B68E5">
      <w:pPr>
        <w:spacing w:after="160" w:line="360" w:lineRule="auto"/>
        <w:jc w:val="both"/>
        <w:rPr>
          <w:sz w:val="28"/>
          <w:szCs w:val="28"/>
        </w:rPr>
      </w:pPr>
    </w:p>
    <w:p w14:paraId="438CB09C" w14:textId="14533304" w:rsidR="008D2923" w:rsidRPr="00CA6C91" w:rsidRDefault="008D2923">
      <w:pPr>
        <w:rPr>
          <w:sz w:val="28"/>
          <w:szCs w:val="28"/>
        </w:rPr>
      </w:pPr>
    </w:p>
    <w:p w14:paraId="438CB09D" w14:textId="4EA392BC" w:rsidR="008D2923" w:rsidRPr="00CA6C91" w:rsidRDefault="00000000">
      <w:pPr>
        <w:pStyle w:val="Heading1"/>
      </w:pPr>
      <w:r w:rsidRPr="00CA6C91">
        <w:t>Reference List</w:t>
      </w:r>
    </w:p>
    <w:p w14:paraId="438CB09E" w14:textId="77777777" w:rsidR="008D2923" w:rsidRPr="00CA6C91" w:rsidRDefault="00000000">
      <w:pPr>
        <w:spacing w:after="160" w:line="360" w:lineRule="auto"/>
        <w:jc w:val="both"/>
        <w:rPr>
          <w:sz w:val="28"/>
          <w:szCs w:val="28"/>
        </w:rPr>
      </w:pPr>
      <w:r w:rsidRPr="00CA6C91">
        <w:rPr>
          <w:sz w:val="28"/>
          <w:szCs w:val="28"/>
        </w:rPr>
        <w:t>Appelbaum, S.H., Habashy, S., Malo, J.L. and Shafiq, H. (2012) ‘Back to the future: revisiting Kotter’s 1996 change model’, Journal of Management Development, 31(8), pp. 764–782.</w:t>
      </w:r>
    </w:p>
    <w:p w14:paraId="438CB09F" w14:textId="77777777" w:rsidR="008D2923" w:rsidRPr="00CA6C91" w:rsidRDefault="00000000">
      <w:pPr>
        <w:spacing w:after="160" w:line="360" w:lineRule="auto"/>
        <w:jc w:val="both"/>
        <w:rPr>
          <w:sz w:val="28"/>
          <w:szCs w:val="28"/>
        </w:rPr>
      </w:pPr>
      <w:r w:rsidRPr="00CA6C91">
        <w:rPr>
          <w:sz w:val="28"/>
          <w:szCs w:val="28"/>
        </w:rPr>
        <w:t xml:space="preserve">Bass, B.M. and Riggio, R.E. (2006) Transformational Leadership. 2nd </w:t>
      </w:r>
      <w:proofErr w:type="spellStart"/>
      <w:r w:rsidRPr="00CA6C91">
        <w:rPr>
          <w:sz w:val="28"/>
          <w:szCs w:val="28"/>
        </w:rPr>
        <w:t>edn</w:t>
      </w:r>
      <w:proofErr w:type="spellEnd"/>
      <w:r w:rsidRPr="00CA6C91">
        <w:rPr>
          <w:sz w:val="28"/>
          <w:szCs w:val="28"/>
        </w:rPr>
        <w:t>. Mahwah, NJ: Lawrence Erlbaum Associates.</w:t>
      </w:r>
    </w:p>
    <w:p w14:paraId="438CB0A0" w14:textId="77777777" w:rsidR="008D2923" w:rsidRPr="00CA6C91" w:rsidRDefault="00000000">
      <w:pPr>
        <w:spacing w:after="160" w:line="360" w:lineRule="auto"/>
        <w:jc w:val="both"/>
        <w:rPr>
          <w:sz w:val="28"/>
          <w:szCs w:val="28"/>
        </w:rPr>
      </w:pPr>
      <w:r w:rsidRPr="00CA6C91">
        <w:rPr>
          <w:sz w:val="28"/>
          <w:szCs w:val="28"/>
        </w:rPr>
        <w:t>Burnes, B. (2004) ‘Kurt Lewin and the planned approach to change: a re-appraisal’, Journal of Management Studies, 41(6), pp. 977–1002.</w:t>
      </w:r>
    </w:p>
    <w:p w14:paraId="438CB0A1" w14:textId="77777777" w:rsidR="008D2923" w:rsidRPr="00CA6C91" w:rsidRDefault="00000000">
      <w:pPr>
        <w:spacing w:after="160" w:line="360" w:lineRule="auto"/>
        <w:jc w:val="both"/>
        <w:rPr>
          <w:sz w:val="28"/>
          <w:szCs w:val="28"/>
        </w:rPr>
      </w:pPr>
      <w:r w:rsidRPr="00CA6C91">
        <w:rPr>
          <w:sz w:val="28"/>
          <w:szCs w:val="28"/>
        </w:rPr>
        <w:t xml:space="preserve">Cameron, E. and Green, M. (2019) Making Sense of Change Management. 5th </w:t>
      </w:r>
      <w:proofErr w:type="spellStart"/>
      <w:r w:rsidRPr="00CA6C91">
        <w:rPr>
          <w:sz w:val="28"/>
          <w:szCs w:val="28"/>
        </w:rPr>
        <w:t>edn</w:t>
      </w:r>
      <w:proofErr w:type="spellEnd"/>
      <w:r w:rsidRPr="00CA6C91">
        <w:rPr>
          <w:sz w:val="28"/>
          <w:szCs w:val="28"/>
        </w:rPr>
        <w:t>. London: Kogan Page.</w:t>
      </w:r>
    </w:p>
    <w:p w14:paraId="438CB0A2" w14:textId="77777777" w:rsidR="008D2923" w:rsidRPr="00CA6C91" w:rsidRDefault="00000000">
      <w:pPr>
        <w:spacing w:after="160" w:line="360" w:lineRule="auto"/>
        <w:jc w:val="both"/>
        <w:rPr>
          <w:sz w:val="28"/>
          <w:szCs w:val="28"/>
        </w:rPr>
      </w:pPr>
      <w:r w:rsidRPr="00CA6C91">
        <w:rPr>
          <w:sz w:val="28"/>
          <w:szCs w:val="28"/>
        </w:rPr>
        <w:lastRenderedPageBreak/>
        <w:t xml:space="preserve">Handy, C. (1993) Understanding Organisations. 4th </w:t>
      </w:r>
      <w:proofErr w:type="spellStart"/>
      <w:r w:rsidRPr="00CA6C91">
        <w:rPr>
          <w:sz w:val="28"/>
          <w:szCs w:val="28"/>
        </w:rPr>
        <w:t>edn</w:t>
      </w:r>
      <w:proofErr w:type="spellEnd"/>
      <w:r w:rsidRPr="00CA6C91">
        <w:rPr>
          <w:sz w:val="28"/>
          <w:szCs w:val="28"/>
        </w:rPr>
        <w:t>. London: Penguin Books.</w:t>
      </w:r>
    </w:p>
    <w:p w14:paraId="438CB0A3" w14:textId="77777777" w:rsidR="008D2923" w:rsidRPr="00CA6C91" w:rsidRDefault="00000000">
      <w:pPr>
        <w:spacing w:after="160" w:line="360" w:lineRule="auto"/>
        <w:jc w:val="both"/>
        <w:rPr>
          <w:sz w:val="28"/>
          <w:szCs w:val="28"/>
        </w:rPr>
      </w:pPr>
      <w:r w:rsidRPr="00CA6C91">
        <w:rPr>
          <w:sz w:val="28"/>
          <w:szCs w:val="28"/>
        </w:rPr>
        <w:t xml:space="preserve">Hersey, P. and Blanchard, K.H. (1988) Management of Organizational </w:t>
      </w:r>
      <w:proofErr w:type="spellStart"/>
      <w:r w:rsidRPr="00CA6C91">
        <w:rPr>
          <w:sz w:val="28"/>
          <w:szCs w:val="28"/>
        </w:rPr>
        <w:t>Behavior</w:t>
      </w:r>
      <w:proofErr w:type="spellEnd"/>
      <w:r w:rsidRPr="00CA6C91">
        <w:rPr>
          <w:sz w:val="28"/>
          <w:szCs w:val="28"/>
        </w:rPr>
        <w:t xml:space="preserve">: Utilizing Human Resources. 5th </w:t>
      </w:r>
      <w:proofErr w:type="spellStart"/>
      <w:r w:rsidRPr="00CA6C91">
        <w:rPr>
          <w:sz w:val="28"/>
          <w:szCs w:val="28"/>
        </w:rPr>
        <w:t>edn</w:t>
      </w:r>
      <w:proofErr w:type="spellEnd"/>
      <w:r w:rsidRPr="00CA6C91">
        <w:rPr>
          <w:sz w:val="28"/>
          <w:szCs w:val="28"/>
        </w:rPr>
        <w:t>. Englewood Cliffs, NJ: Prentice Hall.</w:t>
      </w:r>
    </w:p>
    <w:p w14:paraId="438CB0A4" w14:textId="77777777" w:rsidR="008D2923" w:rsidRPr="00CA6C91" w:rsidRDefault="00000000">
      <w:pPr>
        <w:spacing w:after="160" w:line="360" w:lineRule="auto"/>
        <w:jc w:val="both"/>
        <w:rPr>
          <w:sz w:val="28"/>
          <w:szCs w:val="28"/>
        </w:rPr>
      </w:pPr>
      <w:r w:rsidRPr="00CA6C91">
        <w:rPr>
          <w:sz w:val="28"/>
          <w:szCs w:val="28"/>
        </w:rPr>
        <w:t xml:space="preserve">Hiatt, J.M. (2006) ADKAR: A Model for Change in Business, Government and our Community. Fort Collins, CO: </w:t>
      </w:r>
      <w:proofErr w:type="spellStart"/>
      <w:r w:rsidRPr="00CA6C91">
        <w:rPr>
          <w:sz w:val="28"/>
          <w:szCs w:val="28"/>
        </w:rPr>
        <w:t>Prosci</w:t>
      </w:r>
      <w:proofErr w:type="spellEnd"/>
      <w:r w:rsidRPr="00CA6C91">
        <w:rPr>
          <w:sz w:val="28"/>
          <w:szCs w:val="28"/>
        </w:rPr>
        <w:t xml:space="preserve"> Learning </w:t>
      </w:r>
      <w:proofErr w:type="spellStart"/>
      <w:r w:rsidRPr="00CA6C91">
        <w:rPr>
          <w:sz w:val="28"/>
          <w:szCs w:val="28"/>
        </w:rPr>
        <w:t>Center</w:t>
      </w:r>
      <w:proofErr w:type="spellEnd"/>
      <w:r w:rsidRPr="00CA6C91">
        <w:rPr>
          <w:sz w:val="28"/>
          <w:szCs w:val="28"/>
        </w:rPr>
        <w:t xml:space="preserve"> Publications.</w:t>
      </w:r>
    </w:p>
    <w:p w14:paraId="438CB0A5" w14:textId="77777777" w:rsidR="008D2923" w:rsidRPr="00CA6C91" w:rsidRDefault="00000000">
      <w:pPr>
        <w:spacing w:after="160" w:line="360" w:lineRule="auto"/>
        <w:jc w:val="both"/>
        <w:rPr>
          <w:sz w:val="28"/>
          <w:szCs w:val="28"/>
        </w:rPr>
      </w:pPr>
      <w:r w:rsidRPr="00CA6C91">
        <w:rPr>
          <w:sz w:val="28"/>
          <w:szCs w:val="28"/>
        </w:rPr>
        <w:t xml:space="preserve">Hofstede, G., Hofstede, G.J. and Minkov, M. (2010) Cultures and Organizations: Software of the Mind. 3rd </w:t>
      </w:r>
      <w:proofErr w:type="spellStart"/>
      <w:r w:rsidRPr="00CA6C91">
        <w:rPr>
          <w:sz w:val="28"/>
          <w:szCs w:val="28"/>
        </w:rPr>
        <w:t>edn</w:t>
      </w:r>
      <w:proofErr w:type="spellEnd"/>
      <w:r w:rsidRPr="00CA6C91">
        <w:rPr>
          <w:sz w:val="28"/>
          <w:szCs w:val="28"/>
        </w:rPr>
        <w:t>. New York: McGraw-Hill.</w:t>
      </w:r>
    </w:p>
    <w:p w14:paraId="438CB0A6" w14:textId="77777777" w:rsidR="008D2923" w:rsidRPr="00CA6C91" w:rsidRDefault="00000000">
      <w:pPr>
        <w:spacing w:after="160" w:line="360" w:lineRule="auto"/>
        <w:jc w:val="both"/>
        <w:rPr>
          <w:sz w:val="28"/>
          <w:szCs w:val="28"/>
        </w:rPr>
      </w:pPr>
      <w:r w:rsidRPr="00CA6C91">
        <w:rPr>
          <w:sz w:val="28"/>
          <w:szCs w:val="28"/>
        </w:rPr>
        <w:t>King’s Fund (2022) Digital Transformation in the NHS: A Guide for Board Members. London: The King’s Fund. Available at: https://www.kingsfund.org.uk (Accessed: 1 March 2026).</w:t>
      </w:r>
    </w:p>
    <w:p w14:paraId="438CB0A7" w14:textId="77777777" w:rsidR="008D2923" w:rsidRPr="00CA6C91" w:rsidRDefault="00000000">
      <w:pPr>
        <w:spacing w:after="160" w:line="360" w:lineRule="auto"/>
        <w:jc w:val="both"/>
        <w:rPr>
          <w:sz w:val="28"/>
          <w:szCs w:val="28"/>
        </w:rPr>
      </w:pPr>
      <w:r w:rsidRPr="00CA6C91">
        <w:rPr>
          <w:sz w:val="28"/>
          <w:szCs w:val="28"/>
        </w:rPr>
        <w:t>Kotter, J.P. (1996) Leading Change. Boston, MA: Harvard Business School Press.</w:t>
      </w:r>
    </w:p>
    <w:p w14:paraId="438CB0A8" w14:textId="77777777" w:rsidR="008D2923" w:rsidRPr="00CA6C91" w:rsidRDefault="00000000">
      <w:pPr>
        <w:spacing w:after="160" w:line="360" w:lineRule="auto"/>
        <w:jc w:val="both"/>
        <w:rPr>
          <w:sz w:val="28"/>
          <w:szCs w:val="28"/>
        </w:rPr>
      </w:pPr>
      <w:r w:rsidRPr="00CA6C91">
        <w:rPr>
          <w:sz w:val="28"/>
          <w:szCs w:val="28"/>
        </w:rPr>
        <w:t>Lewin, K. (1951) Field Theory in Social Science. New York: Harper and Row.</w:t>
      </w:r>
    </w:p>
    <w:p w14:paraId="438CB0A9" w14:textId="77777777" w:rsidR="008D2923" w:rsidRPr="00CA6C91" w:rsidRDefault="00000000">
      <w:pPr>
        <w:spacing w:after="160" w:line="360" w:lineRule="auto"/>
        <w:jc w:val="both"/>
        <w:rPr>
          <w:sz w:val="28"/>
          <w:szCs w:val="28"/>
        </w:rPr>
      </w:pPr>
      <w:r w:rsidRPr="00CA6C91">
        <w:rPr>
          <w:sz w:val="28"/>
          <w:szCs w:val="28"/>
        </w:rPr>
        <w:t>National Audit Office (2018) Investigation: WannaCry Cyber Attack and the NHS. London: NAO. Available at: https://www.nao.org.uk (Accessed: 1 March 2026).</w:t>
      </w:r>
    </w:p>
    <w:p w14:paraId="438CB0AA" w14:textId="77777777" w:rsidR="008D2923" w:rsidRPr="00CA6C91" w:rsidRDefault="00000000">
      <w:pPr>
        <w:spacing w:after="160" w:line="360" w:lineRule="auto"/>
        <w:jc w:val="both"/>
        <w:rPr>
          <w:sz w:val="28"/>
          <w:szCs w:val="28"/>
        </w:rPr>
      </w:pPr>
      <w:r w:rsidRPr="00CA6C91">
        <w:rPr>
          <w:sz w:val="28"/>
          <w:szCs w:val="28"/>
        </w:rPr>
        <w:t>NHS AI Lab (2023) A Buyer’s Guide to AI in Health and Care. London: NHS England. Available at: https://www.nhsx.nhs.uk (Accessed: 1 March 2026).</w:t>
      </w:r>
    </w:p>
    <w:p w14:paraId="438CB0AB" w14:textId="77777777" w:rsidR="008D2923" w:rsidRPr="00CA6C91" w:rsidRDefault="00000000">
      <w:pPr>
        <w:spacing w:after="160" w:line="360" w:lineRule="auto"/>
        <w:jc w:val="both"/>
        <w:rPr>
          <w:sz w:val="28"/>
          <w:szCs w:val="28"/>
        </w:rPr>
      </w:pPr>
      <w:r w:rsidRPr="00CA6C91">
        <w:rPr>
          <w:sz w:val="28"/>
          <w:szCs w:val="28"/>
        </w:rPr>
        <w:t>NHS England (2022) Frontline Digitisation Programme. London: NHS England. Available at: https://www.england.nhs.uk (Accessed: 1 March 2026).</w:t>
      </w:r>
    </w:p>
    <w:p w14:paraId="438CB0AC" w14:textId="77777777" w:rsidR="008D2923" w:rsidRPr="00CA6C91" w:rsidRDefault="00000000">
      <w:pPr>
        <w:spacing w:after="160" w:line="360" w:lineRule="auto"/>
        <w:jc w:val="both"/>
        <w:rPr>
          <w:sz w:val="28"/>
          <w:szCs w:val="28"/>
        </w:rPr>
      </w:pPr>
      <w:r w:rsidRPr="00CA6C91">
        <w:rPr>
          <w:sz w:val="28"/>
          <w:szCs w:val="28"/>
        </w:rPr>
        <w:lastRenderedPageBreak/>
        <w:t>NHS England (2023) NHS Waiting Times and Activity Data. London: NHS England. Available at: https://www.england.nhs.uk (Accessed: 1 March 2026).</w:t>
      </w:r>
    </w:p>
    <w:p w14:paraId="438CB0AD" w14:textId="77777777" w:rsidR="008D2923" w:rsidRPr="00CA6C91" w:rsidRDefault="00000000">
      <w:pPr>
        <w:spacing w:after="160" w:line="360" w:lineRule="auto"/>
        <w:jc w:val="both"/>
        <w:rPr>
          <w:sz w:val="28"/>
          <w:szCs w:val="28"/>
        </w:rPr>
      </w:pPr>
      <w:r w:rsidRPr="00CA6C91">
        <w:rPr>
          <w:sz w:val="28"/>
          <w:szCs w:val="28"/>
        </w:rPr>
        <w:t>NHS Long Term Plan (2019) The NHS Long Term Plan. London: NHS England. Available at: https://www.longtermplan.nhs.uk (Accessed: 1 March 2026).</w:t>
      </w:r>
    </w:p>
    <w:p w14:paraId="438CB0AE" w14:textId="77777777" w:rsidR="008D2923" w:rsidRPr="00CA6C91" w:rsidRDefault="00000000">
      <w:pPr>
        <w:spacing w:after="160" w:line="360" w:lineRule="auto"/>
        <w:jc w:val="both"/>
        <w:rPr>
          <w:sz w:val="28"/>
          <w:szCs w:val="28"/>
        </w:rPr>
      </w:pPr>
      <w:r w:rsidRPr="00CA6C91">
        <w:rPr>
          <w:sz w:val="28"/>
          <w:szCs w:val="28"/>
        </w:rPr>
        <w:t xml:space="preserve">NHS NWL ICB (2023) </w:t>
      </w:r>
      <w:proofErr w:type="gramStart"/>
      <w:r w:rsidRPr="00CA6C91">
        <w:rPr>
          <w:sz w:val="28"/>
          <w:szCs w:val="28"/>
        </w:rPr>
        <w:t>North West</w:t>
      </w:r>
      <w:proofErr w:type="gramEnd"/>
      <w:r w:rsidRPr="00CA6C91">
        <w:rPr>
          <w:sz w:val="28"/>
          <w:szCs w:val="28"/>
        </w:rPr>
        <w:t xml:space="preserve"> London ICB Annual Report 2022/23. London: NWL ICB. Available at: https://www.nwlondonicb.nhs.uk (Accessed: 1 March 2026).</w:t>
      </w:r>
    </w:p>
    <w:p w14:paraId="438CB0AF" w14:textId="77777777" w:rsidR="008D2923" w:rsidRPr="00CA6C91" w:rsidRDefault="00000000">
      <w:pPr>
        <w:spacing w:after="160" w:line="360" w:lineRule="auto"/>
        <w:jc w:val="both"/>
        <w:rPr>
          <w:sz w:val="28"/>
          <w:szCs w:val="28"/>
        </w:rPr>
      </w:pPr>
      <w:r w:rsidRPr="00CA6C91">
        <w:rPr>
          <w:sz w:val="28"/>
          <w:szCs w:val="28"/>
        </w:rPr>
        <w:t>NHSX (2021) What Good Looks Like: Digital Aspirations for Integrated Care Systems. London: NHS England. Available at: https://www.nhsx.nhs.uk (Accessed: 1 March 2026).</w:t>
      </w:r>
    </w:p>
    <w:p w14:paraId="438CB0B0" w14:textId="77777777" w:rsidR="008D2923" w:rsidRPr="00CA6C91" w:rsidRDefault="00000000">
      <w:pPr>
        <w:spacing w:after="160" w:line="360" w:lineRule="auto"/>
        <w:jc w:val="both"/>
        <w:rPr>
          <w:sz w:val="28"/>
          <w:szCs w:val="28"/>
        </w:rPr>
      </w:pPr>
      <w:r w:rsidRPr="00CA6C91">
        <w:rPr>
          <w:sz w:val="28"/>
          <w:szCs w:val="28"/>
        </w:rPr>
        <w:t xml:space="preserve">Schein, E.H. (2010) Organizational Culture and Leadership. 4th </w:t>
      </w:r>
      <w:proofErr w:type="spellStart"/>
      <w:r w:rsidRPr="00CA6C91">
        <w:rPr>
          <w:sz w:val="28"/>
          <w:szCs w:val="28"/>
        </w:rPr>
        <w:t>edn</w:t>
      </w:r>
      <w:proofErr w:type="spellEnd"/>
      <w:r w:rsidRPr="00CA6C91">
        <w:rPr>
          <w:sz w:val="28"/>
          <w:szCs w:val="28"/>
        </w:rPr>
        <w:t>. San Francisco, CA: Jossey-Bass.</w:t>
      </w:r>
    </w:p>
    <w:p w14:paraId="438CB0B1" w14:textId="77777777" w:rsidR="008D2923" w:rsidRPr="00CA6C91" w:rsidRDefault="00000000">
      <w:pPr>
        <w:spacing w:after="160" w:line="360" w:lineRule="auto"/>
        <w:jc w:val="both"/>
        <w:rPr>
          <w:sz w:val="28"/>
          <w:szCs w:val="28"/>
        </w:rPr>
      </w:pPr>
      <w:r w:rsidRPr="00CA6C91">
        <w:rPr>
          <w:sz w:val="28"/>
          <w:szCs w:val="28"/>
        </w:rPr>
        <w:t>Topol, E. (2019) The Topol Review: Preparing the Healthcare Workforce to Deliver the Digital Future. London: Health Education England. Available at: https://topol.hee.nhs.uk (Accessed: 1 March 2026).</w:t>
      </w:r>
    </w:p>
    <w:p w14:paraId="438CB0B2" w14:textId="77777777" w:rsidR="008D2923" w:rsidRPr="00CA6C91" w:rsidRDefault="00000000">
      <w:pPr>
        <w:spacing w:after="160" w:line="360" w:lineRule="auto"/>
        <w:jc w:val="both"/>
        <w:rPr>
          <w:sz w:val="28"/>
          <w:szCs w:val="28"/>
        </w:rPr>
      </w:pPr>
      <w:r w:rsidRPr="00CA6C91">
        <w:rPr>
          <w:sz w:val="28"/>
          <w:szCs w:val="28"/>
        </w:rPr>
        <w:t>Wachter, R. (2016) Making IT Work: Harnessing the Power of Health Information Technology to Improve Care in England. London: Department of Health. Available at: https://www.gov.uk (Accessed: 1 March 2026).</w:t>
      </w:r>
    </w:p>
    <w:sectPr w:rsidR="008D2923" w:rsidRPr="00CA6C91">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1CA94" w14:textId="77777777" w:rsidR="00C45B3A" w:rsidRDefault="00C45B3A">
      <w:r>
        <w:separator/>
      </w:r>
    </w:p>
  </w:endnote>
  <w:endnote w:type="continuationSeparator" w:id="0">
    <w:p w14:paraId="4EF8CDCE" w14:textId="77777777" w:rsidR="00C45B3A" w:rsidRDefault="00C45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B0B3" w14:textId="2CCAAF13" w:rsidR="008D2923" w:rsidRDefault="008D2923">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E6A99" w14:textId="77777777" w:rsidR="00C45B3A" w:rsidRDefault="00C45B3A">
      <w:r>
        <w:separator/>
      </w:r>
    </w:p>
  </w:footnote>
  <w:footnote w:type="continuationSeparator" w:id="0">
    <w:p w14:paraId="0503ED6D" w14:textId="77777777" w:rsidR="00C45B3A" w:rsidRDefault="00C45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35556"/>
    <w:multiLevelType w:val="hybridMultilevel"/>
    <w:tmpl w:val="15C0C810"/>
    <w:lvl w:ilvl="0" w:tplc="A0D0DB42">
      <w:start w:val="1"/>
      <w:numFmt w:val="bullet"/>
      <w:lvlText w:val="●"/>
      <w:lvlJc w:val="left"/>
      <w:pPr>
        <w:ind w:left="720" w:hanging="360"/>
      </w:pPr>
    </w:lvl>
    <w:lvl w:ilvl="1" w:tplc="F8A2E06E">
      <w:start w:val="1"/>
      <w:numFmt w:val="bullet"/>
      <w:lvlText w:val="○"/>
      <w:lvlJc w:val="left"/>
      <w:pPr>
        <w:ind w:left="1440" w:hanging="360"/>
      </w:pPr>
    </w:lvl>
    <w:lvl w:ilvl="2" w:tplc="66D22528">
      <w:start w:val="1"/>
      <w:numFmt w:val="bullet"/>
      <w:lvlText w:val="■"/>
      <w:lvlJc w:val="left"/>
      <w:pPr>
        <w:ind w:left="2160" w:hanging="360"/>
      </w:pPr>
    </w:lvl>
    <w:lvl w:ilvl="3" w:tplc="ED36F8E2">
      <w:start w:val="1"/>
      <w:numFmt w:val="bullet"/>
      <w:lvlText w:val="●"/>
      <w:lvlJc w:val="left"/>
      <w:pPr>
        <w:ind w:left="2880" w:hanging="360"/>
      </w:pPr>
    </w:lvl>
    <w:lvl w:ilvl="4" w:tplc="BC7A14EE">
      <w:start w:val="1"/>
      <w:numFmt w:val="bullet"/>
      <w:lvlText w:val="○"/>
      <w:lvlJc w:val="left"/>
      <w:pPr>
        <w:ind w:left="3600" w:hanging="360"/>
      </w:pPr>
    </w:lvl>
    <w:lvl w:ilvl="5" w:tplc="5CAEF162">
      <w:start w:val="1"/>
      <w:numFmt w:val="bullet"/>
      <w:lvlText w:val="■"/>
      <w:lvlJc w:val="left"/>
      <w:pPr>
        <w:ind w:left="4320" w:hanging="360"/>
      </w:pPr>
    </w:lvl>
    <w:lvl w:ilvl="6" w:tplc="D75C7452">
      <w:start w:val="1"/>
      <w:numFmt w:val="bullet"/>
      <w:lvlText w:val="●"/>
      <w:lvlJc w:val="left"/>
      <w:pPr>
        <w:ind w:left="5040" w:hanging="360"/>
      </w:pPr>
    </w:lvl>
    <w:lvl w:ilvl="7" w:tplc="C9D6CCE6">
      <w:start w:val="1"/>
      <w:numFmt w:val="bullet"/>
      <w:lvlText w:val="●"/>
      <w:lvlJc w:val="left"/>
      <w:pPr>
        <w:ind w:left="5760" w:hanging="360"/>
      </w:pPr>
    </w:lvl>
    <w:lvl w:ilvl="8" w:tplc="4252B236">
      <w:start w:val="1"/>
      <w:numFmt w:val="bullet"/>
      <w:lvlText w:val="●"/>
      <w:lvlJc w:val="left"/>
      <w:pPr>
        <w:ind w:left="6480" w:hanging="360"/>
      </w:pPr>
    </w:lvl>
  </w:abstractNum>
  <w:abstractNum w:abstractNumId="1" w15:restartNumberingAfterBreak="0">
    <w:nsid w:val="2CF27FA6"/>
    <w:multiLevelType w:val="hybridMultilevel"/>
    <w:tmpl w:val="9790D522"/>
    <w:lvl w:ilvl="0" w:tplc="F7922762">
      <w:start w:val="1"/>
      <w:numFmt w:val="bullet"/>
      <w:lvlText w:val="•"/>
      <w:lvlJc w:val="left"/>
      <w:pPr>
        <w:ind w:left="720" w:hanging="360"/>
      </w:pPr>
    </w:lvl>
    <w:lvl w:ilvl="1" w:tplc="1CCABB26">
      <w:numFmt w:val="decimal"/>
      <w:lvlText w:val=""/>
      <w:lvlJc w:val="left"/>
    </w:lvl>
    <w:lvl w:ilvl="2" w:tplc="14B82170">
      <w:numFmt w:val="decimal"/>
      <w:lvlText w:val=""/>
      <w:lvlJc w:val="left"/>
    </w:lvl>
    <w:lvl w:ilvl="3" w:tplc="280CAD7A">
      <w:numFmt w:val="decimal"/>
      <w:lvlText w:val=""/>
      <w:lvlJc w:val="left"/>
    </w:lvl>
    <w:lvl w:ilvl="4" w:tplc="BC0A667C">
      <w:numFmt w:val="decimal"/>
      <w:lvlText w:val=""/>
      <w:lvlJc w:val="left"/>
    </w:lvl>
    <w:lvl w:ilvl="5" w:tplc="3940B37A">
      <w:numFmt w:val="decimal"/>
      <w:lvlText w:val=""/>
      <w:lvlJc w:val="left"/>
    </w:lvl>
    <w:lvl w:ilvl="6" w:tplc="C1F8F56A">
      <w:numFmt w:val="decimal"/>
      <w:lvlText w:val=""/>
      <w:lvlJc w:val="left"/>
    </w:lvl>
    <w:lvl w:ilvl="7" w:tplc="AECC38F6">
      <w:numFmt w:val="decimal"/>
      <w:lvlText w:val=""/>
      <w:lvlJc w:val="left"/>
    </w:lvl>
    <w:lvl w:ilvl="8" w:tplc="B330CF8E">
      <w:numFmt w:val="decimal"/>
      <w:lvlText w:val=""/>
      <w:lvlJc w:val="left"/>
    </w:lvl>
  </w:abstractNum>
  <w:abstractNum w:abstractNumId="2" w15:restartNumberingAfterBreak="0">
    <w:nsid w:val="4CFB10F5"/>
    <w:multiLevelType w:val="hybridMultilevel"/>
    <w:tmpl w:val="8708AE52"/>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C5227D7"/>
    <w:multiLevelType w:val="hybridMultilevel"/>
    <w:tmpl w:val="7DE68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8374415">
    <w:abstractNumId w:val="0"/>
    <w:lvlOverride w:ilvl="0">
      <w:startOverride w:val="1"/>
    </w:lvlOverride>
  </w:num>
  <w:num w:numId="2" w16cid:durableId="28724581">
    <w:abstractNumId w:val="1"/>
    <w:lvlOverride w:ilvl="0">
      <w:startOverride w:val="1"/>
    </w:lvlOverride>
  </w:num>
  <w:num w:numId="3" w16cid:durableId="313025078">
    <w:abstractNumId w:val="3"/>
  </w:num>
  <w:num w:numId="4" w16cid:durableId="6678275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923"/>
    <w:rsid w:val="00001D32"/>
    <w:rsid w:val="000110BD"/>
    <w:rsid w:val="00043E71"/>
    <w:rsid w:val="0009794B"/>
    <w:rsid w:val="000C4604"/>
    <w:rsid w:val="000F4519"/>
    <w:rsid w:val="000F6242"/>
    <w:rsid w:val="00102606"/>
    <w:rsid w:val="00112303"/>
    <w:rsid w:val="00112F0F"/>
    <w:rsid w:val="00140629"/>
    <w:rsid w:val="00143767"/>
    <w:rsid w:val="00143940"/>
    <w:rsid w:val="00197C46"/>
    <w:rsid w:val="001A1656"/>
    <w:rsid w:val="001B07F5"/>
    <w:rsid w:val="001B34CA"/>
    <w:rsid w:val="001D2B7F"/>
    <w:rsid w:val="001E2A7C"/>
    <w:rsid w:val="00220926"/>
    <w:rsid w:val="00236F3C"/>
    <w:rsid w:val="002510CA"/>
    <w:rsid w:val="002553C6"/>
    <w:rsid w:val="00285EF5"/>
    <w:rsid w:val="002B6859"/>
    <w:rsid w:val="002D18E3"/>
    <w:rsid w:val="002E3FD4"/>
    <w:rsid w:val="0032356E"/>
    <w:rsid w:val="0033132F"/>
    <w:rsid w:val="0036250E"/>
    <w:rsid w:val="00387F38"/>
    <w:rsid w:val="003B68E5"/>
    <w:rsid w:val="003C1D23"/>
    <w:rsid w:val="003C7A7D"/>
    <w:rsid w:val="00424A05"/>
    <w:rsid w:val="0043599B"/>
    <w:rsid w:val="00455378"/>
    <w:rsid w:val="004A298E"/>
    <w:rsid w:val="004A5D4D"/>
    <w:rsid w:val="004B4BE2"/>
    <w:rsid w:val="00523896"/>
    <w:rsid w:val="00552B3D"/>
    <w:rsid w:val="005B54ED"/>
    <w:rsid w:val="005C25DA"/>
    <w:rsid w:val="005C33C4"/>
    <w:rsid w:val="005C414C"/>
    <w:rsid w:val="005E5090"/>
    <w:rsid w:val="005F28BC"/>
    <w:rsid w:val="006057DF"/>
    <w:rsid w:val="00627300"/>
    <w:rsid w:val="006676A9"/>
    <w:rsid w:val="00667B81"/>
    <w:rsid w:val="0068521A"/>
    <w:rsid w:val="006A044E"/>
    <w:rsid w:val="006C2F59"/>
    <w:rsid w:val="006C4871"/>
    <w:rsid w:val="006E3672"/>
    <w:rsid w:val="0070130C"/>
    <w:rsid w:val="0070612E"/>
    <w:rsid w:val="00791B61"/>
    <w:rsid w:val="007C640A"/>
    <w:rsid w:val="007E16E6"/>
    <w:rsid w:val="008625F3"/>
    <w:rsid w:val="00882A96"/>
    <w:rsid w:val="008B3176"/>
    <w:rsid w:val="008D2923"/>
    <w:rsid w:val="009125F3"/>
    <w:rsid w:val="009150BE"/>
    <w:rsid w:val="00930193"/>
    <w:rsid w:val="00932AB8"/>
    <w:rsid w:val="00955392"/>
    <w:rsid w:val="00977BA4"/>
    <w:rsid w:val="009B0342"/>
    <w:rsid w:val="00A36973"/>
    <w:rsid w:val="00A60BF1"/>
    <w:rsid w:val="00AC2503"/>
    <w:rsid w:val="00AD74DE"/>
    <w:rsid w:val="00B150DB"/>
    <w:rsid w:val="00B57E8C"/>
    <w:rsid w:val="00B722C1"/>
    <w:rsid w:val="00B7524A"/>
    <w:rsid w:val="00B96F8D"/>
    <w:rsid w:val="00BD4D0B"/>
    <w:rsid w:val="00C07B3A"/>
    <w:rsid w:val="00C141D0"/>
    <w:rsid w:val="00C33417"/>
    <w:rsid w:val="00C45B3A"/>
    <w:rsid w:val="00C60C65"/>
    <w:rsid w:val="00C623D6"/>
    <w:rsid w:val="00C83636"/>
    <w:rsid w:val="00C9128E"/>
    <w:rsid w:val="00CA6C91"/>
    <w:rsid w:val="00CD379D"/>
    <w:rsid w:val="00CD5E7C"/>
    <w:rsid w:val="00D62463"/>
    <w:rsid w:val="00DB514A"/>
    <w:rsid w:val="00DD4879"/>
    <w:rsid w:val="00E15204"/>
    <w:rsid w:val="00E53C5D"/>
    <w:rsid w:val="00EB7170"/>
    <w:rsid w:val="00EE1993"/>
    <w:rsid w:val="00F50F1D"/>
    <w:rsid w:val="00F56523"/>
    <w:rsid w:val="00F76B8B"/>
    <w:rsid w:val="00FF1CA1"/>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CAFE0"/>
  <w15:docId w15:val="{8C790060-8F20-4B3C-A26E-40EE6769A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ta-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color w:val="1F5C99"/>
      <w:sz w:val="28"/>
      <w:szCs w:val="28"/>
    </w:rPr>
  </w:style>
  <w:style w:type="paragraph" w:styleId="Heading2">
    <w:name w:val="heading 2"/>
    <w:uiPriority w:val="9"/>
    <w:unhideWhenUsed/>
    <w:qFormat/>
    <w:pPr>
      <w:spacing w:before="240" w:after="80"/>
      <w:outlineLvl w:val="1"/>
    </w:pPr>
    <w:rPr>
      <w:b/>
      <w:bCs/>
      <w:color w:val="2E75B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E15204"/>
    <w:pPr>
      <w:tabs>
        <w:tab w:val="center" w:pos="4513"/>
        <w:tab w:val="right" w:pos="9026"/>
      </w:tabs>
    </w:pPr>
  </w:style>
  <w:style w:type="character" w:customStyle="1" w:styleId="HeaderChar">
    <w:name w:val="Header Char"/>
    <w:basedOn w:val="DefaultParagraphFont"/>
    <w:link w:val="Header"/>
    <w:uiPriority w:val="99"/>
    <w:rsid w:val="00E15204"/>
  </w:style>
  <w:style w:type="paragraph" w:styleId="Footer">
    <w:name w:val="footer"/>
    <w:basedOn w:val="Normal"/>
    <w:link w:val="FooterChar"/>
    <w:uiPriority w:val="99"/>
    <w:unhideWhenUsed/>
    <w:rsid w:val="00E15204"/>
    <w:pPr>
      <w:tabs>
        <w:tab w:val="center" w:pos="4513"/>
        <w:tab w:val="right" w:pos="9026"/>
      </w:tabs>
    </w:pPr>
  </w:style>
  <w:style w:type="character" w:customStyle="1" w:styleId="FooterChar">
    <w:name w:val="Footer Char"/>
    <w:basedOn w:val="DefaultParagraphFont"/>
    <w:link w:val="Footer"/>
    <w:uiPriority w:val="99"/>
    <w:rsid w:val="00E15204"/>
  </w:style>
  <w:style w:type="character" w:styleId="UnresolvedMention">
    <w:name w:val="Unresolved Mention"/>
    <w:basedOn w:val="DefaultParagraphFont"/>
    <w:uiPriority w:val="99"/>
    <w:semiHidden/>
    <w:unhideWhenUsed/>
    <w:rsid w:val="00AC2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naginglifeatwork.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144</TotalTime>
  <Pages>22</Pages>
  <Words>4511</Words>
  <Characters>25713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Jamuthra Srikumar</cp:lastModifiedBy>
  <cp:revision>96</cp:revision>
  <dcterms:created xsi:type="dcterms:W3CDTF">2026-03-06T10:13:00Z</dcterms:created>
  <dcterms:modified xsi:type="dcterms:W3CDTF">2026-03-23T12:35:00Z</dcterms:modified>
</cp:coreProperties>
</file>