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E5AD8" w14:textId="473A3191" w:rsidR="000E4CC6" w:rsidRPr="000E4CC6" w:rsidRDefault="000E4CC6" w:rsidP="000E4CC6">
      <w:pPr>
        <w:spacing w:line="360" w:lineRule="auto"/>
        <w:rPr>
          <w:rFonts w:ascii="Arial" w:hAnsi="Arial" w:cs="Arial"/>
          <w:sz w:val="44"/>
          <w:szCs w:val="44"/>
        </w:rPr>
      </w:pPr>
      <w:r w:rsidRPr="000E4CC6">
        <w:rPr>
          <w:rFonts w:ascii="Arial" w:hAnsi="Arial" w:cs="Arial"/>
          <w:sz w:val="44"/>
          <w:szCs w:val="44"/>
        </w:rPr>
        <w:t xml:space="preserve">Name: </w:t>
      </w:r>
      <w:proofErr w:type="spellStart"/>
      <w:r w:rsidRPr="000E4CC6">
        <w:rPr>
          <w:rFonts w:ascii="Arial" w:hAnsi="Arial" w:cs="Arial"/>
          <w:sz w:val="44"/>
          <w:szCs w:val="44"/>
        </w:rPr>
        <w:t>Meheret</w:t>
      </w:r>
      <w:proofErr w:type="spellEnd"/>
      <w:r w:rsidRPr="000E4CC6">
        <w:rPr>
          <w:rFonts w:ascii="Arial" w:hAnsi="Arial" w:cs="Arial"/>
          <w:sz w:val="44"/>
          <w:szCs w:val="44"/>
        </w:rPr>
        <w:t xml:space="preserve"> Zeleke</w:t>
      </w:r>
    </w:p>
    <w:p w14:paraId="08BB6F2F" w14:textId="126916C8" w:rsidR="000E4CC6" w:rsidRPr="000E4CC6" w:rsidRDefault="000E4CC6" w:rsidP="000E4CC6">
      <w:pPr>
        <w:spacing w:line="360" w:lineRule="auto"/>
        <w:rPr>
          <w:rFonts w:ascii="Arial" w:hAnsi="Arial" w:cs="Arial"/>
          <w:sz w:val="44"/>
          <w:szCs w:val="44"/>
        </w:rPr>
      </w:pPr>
      <w:r w:rsidRPr="000E4CC6">
        <w:rPr>
          <w:rFonts w:ascii="Arial" w:hAnsi="Arial" w:cs="Arial"/>
          <w:sz w:val="44"/>
          <w:szCs w:val="44"/>
        </w:rPr>
        <w:t xml:space="preserve">Student number:     </w:t>
      </w:r>
    </w:p>
    <w:p w14:paraId="553DD519" w14:textId="4A80D8AF" w:rsidR="000E4CC6" w:rsidRPr="000E4CC6" w:rsidRDefault="000E4CC6" w:rsidP="000E4CC6">
      <w:pPr>
        <w:spacing w:line="360" w:lineRule="auto"/>
        <w:rPr>
          <w:rFonts w:ascii="Arial" w:hAnsi="Arial" w:cs="Arial"/>
          <w:sz w:val="44"/>
          <w:szCs w:val="44"/>
        </w:rPr>
      </w:pPr>
      <w:r w:rsidRPr="000E4CC6">
        <w:rPr>
          <w:rFonts w:ascii="Arial" w:hAnsi="Arial" w:cs="Arial"/>
          <w:sz w:val="44"/>
          <w:szCs w:val="44"/>
        </w:rPr>
        <w:t>Module code: BMHP5019</w:t>
      </w:r>
    </w:p>
    <w:p w14:paraId="09DC690A" w14:textId="7A4F1503" w:rsidR="000E4CC6" w:rsidRPr="000E4CC6" w:rsidRDefault="000E4CC6" w:rsidP="000E4CC6">
      <w:pPr>
        <w:spacing w:line="360" w:lineRule="auto"/>
        <w:rPr>
          <w:rFonts w:ascii="Arial" w:hAnsi="Arial" w:cs="Arial"/>
          <w:sz w:val="44"/>
          <w:szCs w:val="44"/>
        </w:rPr>
      </w:pPr>
      <w:r w:rsidRPr="000E4CC6">
        <w:rPr>
          <w:rFonts w:ascii="Arial" w:hAnsi="Arial" w:cs="Arial"/>
          <w:sz w:val="44"/>
          <w:szCs w:val="44"/>
        </w:rPr>
        <w:t>Module: Introduction to Independent Research Skills</w:t>
      </w:r>
    </w:p>
    <w:p w14:paraId="3C47DE1D" w14:textId="5193BF54" w:rsidR="000E4CC6" w:rsidRPr="000E4CC6" w:rsidRDefault="000E4CC6" w:rsidP="000E4CC6">
      <w:pPr>
        <w:rPr>
          <w:rFonts w:ascii="Arial" w:hAnsi="Arial" w:cs="Arial"/>
          <w:sz w:val="22"/>
          <w:szCs w:val="22"/>
        </w:rPr>
      </w:pPr>
      <w:r w:rsidRPr="000E4CC6">
        <w:rPr>
          <w:rFonts w:ascii="Arial" w:hAnsi="Arial" w:cs="Arial"/>
          <w:sz w:val="44"/>
          <w:szCs w:val="44"/>
        </w:rPr>
        <w:t>Assignment</w:t>
      </w:r>
      <w:r w:rsidRPr="000E4CC6">
        <w:rPr>
          <w:rFonts w:ascii="Arial" w:hAnsi="Arial" w:cs="Arial"/>
          <w:sz w:val="44"/>
          <w:szCs w:val="44"/>
        </w:rPr>
        <w:t xml:space="preserve"> </w:t>
      </w:r>
      <w:r w:rsidRPr="000E4CC6">
        <w:rPr>
          <w:rFonts w:ascii="Arial" w:hAnsi="Arial" w:cs="Arial"/>
          <w:sz w:val="44"/>
          <w:szCs w:val="44"/>
        </w:rPr>
        <w:t>Title:</w:t>
      </w:r>
      <w:r w:rsidRPr="000E4CC6">
        <w:rPr>
          <w:rFonts w:ascii="Arial" w:hAnsi="Arial" w:cs="Arial"/>
          <w:sz w:val="44"/>
          <w:szCs w:val="44"/>
        </w:rPr>
        <w:t xml:space="preserve"> </w:t>
      </w:r>
      <w:r w:rsidRPr="000E4CC6">
        <w:rPr>
          <w:rFonts w:ascii="Arial" w:hAnsi="Arial" w:cs="Arial"/>
          <w:sz w:val="44"/>
          <w:szCs w:val="44"/>
        </w:rPr>
        <w:t>Component 1:</w:t>
      </w:r>
      <w:r w:rsidRPr="000E4CC6">
        <w:rPr>
          <w:rFonts w:ascii="Arial" w:hAnsi="Arial" w:cs="Arial"/>
          <w:sz w:val="44"/>
          <w:szCs w:val="44"/>
        </w:rPr>
        <w:t xml:space="preserve"> </w:t>
      </w:r>
      <w:r w:rsidRPr="000E4CC6">
        <w:rPr>
          <w:rFonts w:ascii="Arial" w:hAnsi="Arial" w:cs="Arial"/>
          <w:sz w:val="44"/>
          <w:szCs w:val="44"/>
        </w:rPr>
        <w:t>Written Assignment (Research</w:t>
      </w:r>
      <w:r w:rsidRPr="000E4CC6">
        <w:rPr>
          <w:rFonts w:ascii="Arial" w:hAnsi="Arial" w:cs="Arial"/>
          <w:sz w:val="44"/>
          <w:szCs w:val="44"/>
        </w:rPr>
        <w:t xml:space="preserve"> </w:t>
      </w:r>
      <w:r w:rsidRPr="000E4CC6">
        <w:rPr>
          <w:rFonts w:ascii="Arial" w:hAnsi="Arial" w:cs="Arial"/>
          <w:sz w:val="44"/>
          <w:szCs w:val="44"/>
        </w:rPr>
        <w:t>Proposal)</w:t>
      </w:r>
      <w:r>
        <w:rPr>
          <w:rFonts w:ascii="Arial" w:hAnsi="Arial" w:cs="Arial"/>
          <w:sz w:val="22"/>
          <w:szCs w:val="22"/>
        </w:rPr>
        <w:br w:type="page"/>
      </w:r>
      <w:r w:rsidRPr="000E4CC6">
        <w:rPr>
          <w:rFonts w:ascii="Arial" w:hAnsi="Arial" w:cs="Arial"/>
          <w:sz w:val="22"/>
          <w:szCs w:val="22"/>
        </w:rPr>
        <w:lastRenderedPageBreak/>
        <w:t xml:space="preserve">Digital technologies are increasingly being introduced into adult social care in the UK, including digital social care records, home sensors and virtual communication. This proposal will map how these technologies are used and what outcomes are reported for service users and care workers. The review question is: </w:t>
      </w:r>
      <w:r w:rsidRPr="00C46492">
        <w:rPr>
          <w:rFonts w:ascii="Arial" w:hAnsi="Arial" w:cs="Arial"/>
          <w:sz w:val="22"/>
          <w:szCs w:val="22"/>
        </w:rPr>
        <w:t xml:space="preserve">How is digital technology being used in UK adult social care, and what are its reported outcomes for service users and care workers? </w:t>
      </w:r>
      <w:r w:rsidRPr="000E4CC6">
        <w:rPr>
          <w:rFonts w:ascii="Arial" w:hAnsi="Arial" w:cs="Arial"/>
          <w:sz w:val="22"/>
          <w:szCs w:val="22"/>
        </w:rPr>
        <w:t>Its objectives are to identify the technologies and care settings studied; describe reported benefits and challenges for service users and workers; and identify gaps in the UK evidence.</w:t>
      </w:r>
    </w:p>
    <w:p w14:paraId="2C20DF1F" w14:textId="6671590C" w:rsidR="000E4CC6" w:rsidRPr="000E4CC6" w:rsidRDefault="000E4CC6" w:rsidP="000E4CC6">
      <w:pPr>
        <w:spacing w:line="360" w:lineRule="auto"/>
        <w:rPr>
          <w:rFonts w:ascii="Arial" w:hAnsi="Arial" w:cs="Arial"/>
          <w:sz w:val="22"/>
          <w:szCs w:val="22"/>
        </w:rPr>
      </w:pPr>
      <w:r w:rsidRPr="000E4CC6">
        <w:rPr>
          <w:rFonts w:ascii="Arial" w:hAnsi="Arial" w:cs="Arial"/>
          <w:sz w:val="22"/>
          <w:szCs w:val="22"/>
        </w:rPr>
        <w:t xml:space="preserve">This topic is important because technology is promoted </w:t>
      </w:r>
      <w:r w:rsidR="00C46492" w:rsidRPr="000E4CC6">
        <w:rPr>
          <w:rFonts w:ascii="Arial" w:hAnsi="Arial" w:cs="Arial"/>
          <w:sz w:val="22"/>
          <w:szCs w:val="22"/>
        </w:rPr>
        <w:t>to</w:t>
      </w:r>
      <w:r w:rsidRPr="000E4CC6">
        <w:rPr>
          <w:rFonts w:ascii="Arial" w:hAnsi="Arial" w:cs="Arial"/>
          <w:sz w:val="22"/>
          <w:szCs w:val="22"/>
        </w:rPr>
        <w:t xml:space="preserve"> support care delivery, yet adoption alone does not guarantee better outcomes. A recent evaluation in England found that digital records could save time, but implementation was resource-intensive and experiences varied; accessibility, training, system choice and ongoing affordability were </w:t>
      </w:r>
      <w:r w:rsidRPr="000E4CC6">
        <w:rPr>
          <w:rFonts w:ascii="Arial" w:hAnsi="Arial" w:cs="Arial"/>
          <w:sz w:val="22"/>
          <w:szCs w:val="22"/>
        </w:rPr>
        <w:t>concerns (</w:t>
      </w:r>
      <w:r w:rsidRPr="000E4CC6">
        <w:rPr>
          <w:rFonts w:ascii="Arial" w:hAnsi="Arial" w:cs="Arial"/>
          <w:sz w:val="22"/>
          <w:szCs w:val="22"/>
        </w:rPr>
        <w:t>Malley et al., 2026). Home sensors have been used in assessment, reablement and ongoing care, with perceived benefits including independence, safety and better-informed conversations, although evidence of impact was limited</w:t>
      </w:r>
      <w:r w:rsidRPr="000E4CC6">
        <w:rPr>
          <w:rFonts w:ascii="Arial" w:hAnsi="Arial" w:cs="Arial"/>
          <w:sz w:val="22"/>
          <w:szCs w:val="22"/>
        </w:rPr>
        <w:t xml:space="preserve"> </w:t>
      </w:r>
      <w:r w:rsidRPr="000E4CC6">
        <w:rPr>
          <w:rFonts w:ascii="Arial" w:hAnsi="Arial" w:cs="Arial"/>
          <w:sz w:val="22"/>
          <w:szCs w:val="22"/>
        </w:rPr>
        <w:t>(</w:t>
      </w:r>
      <w:proofErr w:type="spellStart"/>
      <w:r w:rsidRPr="000E4CC6">
        <w:rPr>
          <w:rFonts w:ascii="Arial" w:hAnsi="Arial" w:cs="Arial"/>
          <w:sz w:val="22"/>
          <w:szCs w:val="22"/>
        </w:rPr>
        <w:t>Wherton</w:t>
      </w:r>
      <w:proofErr w:type="spellEnd"/>
      <w:r w:rsidRPr="000E4CC6">
        <w:rPr>
          <w:rFonts w:ascii="Arial" w:hAnsi="Arial" w:cs="Arial"/>
          <w:sz w:val="22"/>
          <w:szCs w:val="22"/>
        </w:rPr>
        <w:t xml:space="preserve"> et al., 2025). Technology can also create unequal access: a review of virtual communication in adult social care identified both positive experiences and exclusion associated with availability, capacity and security concerns</w:t>
      </w:r>
      <w:r w:rsidRPr="000E4CC6">
        <w:rPr>
          <w:rFonts w:ascii="Arial" w:hAnsi="Arial" w:cs="Arial"/>
          <w:sz w:val="22"/>
          <w:szCs w:val="22"/>
        </w:rPr>
        <w:t xml:space="preserve"> </w:t>
      </w:r>
      <w:r w:rsidRPr="000E4CC6">
        <w:rPr>
          <w:rFonts w:ascii="Arial" w:hAnsi="Arial" w:cs="Arial"/>
          <w:sz w:val="22"/>
          <w:szCs w:val="22"/>
        </w:rPr>
        <w:t>(Dodd et al., 2026)</w:t>
      </w:r>
      <w:r w:rsidRPr="000E4CC6">
        <w:rPr>
          <w:rFonts w:ascii="Arial" w:hAnsi="Arial" w:cs="Arial"/>
          <w:sz w:val="22"/>
          <w:szCs w:val="22"/>
        </w:rPr>
        <w:t xml:space="preserve"> </w:t>
      </w:r>
      <w:r w:rsidRPr="000E4CC6">
        <w:rPr>
          <w:rFonts w:ascii="Arial" w:hAnsi="Arial" w:cs="Arial"/>
          <w:sz w:val="22"/>
          <w:szCs w:val="22"/>
        </w:rPr>
        <w:t>. For care workers, research suggests that adoption depends not only on digital skills but also on technology design, job role, provider context and supportive learning environments</w:t>
      </w:r>
      <w:r w:rsidRPr="000E4CC6">
        <w:rPr>
          <w:rFonts w:ascii="Arial" w:hAnsi="Arial" w:cs="Arial"/>
          <w:sz w:val="22"/>
          <w:szCs w:val="22"/>
        </w:rPr>
        <w:t xml:space="preserve"> </w:t>
      </w:r>
      <w:r w:rsidRPr="000E4CC6">
        <w:rPr>
          <w:rFonts w:ascii="Arial" w:hAnsi="Arial" w:cs="Arial"/>
          <w:sz w:val="22"/>
          <w:szCs w:val="22"/>
        </w:rPr>
        <w:t>(Whitfield et al., 2025)</w:t>
      </w:r>
      <w:r w:rsidRPr="000E4CC6">
        <w:rPr>
          <w:rFonts w:ascii="Arial" w:hAnsi="Arial" w:cs="Arial"/>
          <w:sz w:val="22"/>
          <w:szCs w:val="22"/>
        </w:rPr>
        <w:t xml:space="preserve"> </w:t>
      </w:r>
      <w:r w:rsidRPr="000E4CC6">
        <w:rPr>
          <w:rFonts w:ascii="Arial" w:hAnsi="Arial" w:cs="Arial"/>
          <w:sz w:val="22"/>
          <w:szCs w:val="22"/>
        </w:rPr>
        <w:t>. Mapping these findings is relevant to social-care professionals and providers making decisions about safe, inclusive and workable technology use.</w:t>
      </w:r>
    </w:p>
    <w:p w14:paraId="6652940A" w14:textId="77777777" w:rsidR="000E4CC6" w:rsidRPr="000E4CC6" w:rsidRDefault="000E4CC6" w:rsidP="000E4CC6">
      <w:pPr>
        <w:spacing w:line="360" w:lineRule="auto"/>
        <w:rPr>
          <w:rFonts w:ascii="Arial" w:hAnsi="Arial" w:cs="Arial"/>
          <w:sz w:val="22"/>
          <w:szCs w:val="22"/>
        </w:rPr>
      </w:pPr>
      <w:r w:rsidRPr="000E4CC6">
        <w:rPr>
          <w:rFonts w:ascii="Arial" w:hAnsi="Arial" w:cs="Arial"/>
          <w:sz w:val="22"/>
          <w:szCs w:val="22"/>
        </w:rPr>
        <w:t>The review will follow a scoping-review approach, guided by the Population–Concept–Context framework and reported using PRISMA-</w:t>
      </w:r>
      <w:proofErr w:type="spellStart"/>
      <w:r w:rsidRPr="000E4CC6">
        <w:rPr>
          <w:rFonts w:ascii="Arial" w:hAnsi="Arial" w:cs="Arial"/>
          <w:sz w:val="22"/>
          <w:szCs w:val="22"/>
        </w:rPr>
        <w:t>ScR.</w:t>
      </w:r>
      <w:proofErr w:type="spellEnd"/>
      <w:r w:rsidRPr="000E4CC6">
        <w:rPr>
          <w:rFonts w:ascii="Arial" w:hAnsi="Arial" w:cs="Arial"/>
          <w:sz w:val="22"/>
          <w:szCs w:val="22"/>
        </w:rPr>
        <w:t xml:space="preserve"> The population will be adults drawing on care and the adult social-care workforce; the concept will be digital technology used to deliver, coordinate, record or support care; and the context will be UK adult social care. Searches will be conducted in CINAHL, MEDLINE, Scopus, ASSIA and Social Care Online for peer-reviewed primary and secondary research published in English. Search terms will combine adult social care, care workers or service users with digital records, telecare, sensors, assistive technology and virtual care. After duplicate removal, titles/abstracts and then full texts will be screened against stated criteria. Data will be charted on study design, UK nation, population, technology, setting, outcomes and barriers, then summarized descriptively and thematically. No effectiveness claims will be inferred beyond the included studies.</w:t>
      </w:r>
    </w:p>
    <w:p w14:paraId="09061ED3" w14:textId="77777777" w:rsidR="000E4CC6" w:rsidRPr="000E4CC6" w:rsidRDefault="000E4CC6" w:rsidP="000E4CC6">
      <w:pPr>
        <w:spacing w:line="360" w:lineRule="auto"/>
        <w:rPr>
          <w:rFonts w:ascii="Arial" w:hAnsi="Arial" w:cs="Arial"/>
          <w:sz w:val="22"/>
          <w:szCs w:val="22"/>
        </w:rPr>
      </w:pPr>
      <w:r w:rsidRPr="000E4CC6">
        <w:rPr>
          <w:rFonts w:ascii="Arial" w:hAnsi="Arial" w:cs="Arial"/>
          <w:sz w:val="22"/>
          <w:szCs w:val="22"/>
        </w:rPr>
        <w:t>As this is secondary research using published studies, it is not expected to require participant recruitment or collection of identifiable personal data. </w:t>
      </w:r>
    </w:p>
    <w:p w14:paraId="213FFF62" w14:textId="77777777" w:rsidR="00C46492" w:rsidRDefault="00C46492" w:rsidP="000E4CC6">
      <w:pPr>
        <w:spacing w:line="360" w:lineRule="auto"/>
        <w:rPr>
          <w:rFonts w:ascii="Arial" w:hAnsi="Arial" w:cs="Arial"/>
          <w:sz w:val="22"/>
          <w:szCs w:val="22"/>
        </w:rPr>
      </w:pPr>
    </w:p>
    <w:p w14:paraId="2460DDE4" w14:textId="01D0D4E3" w:rsidR="000E4CC6" w:rsidRDefault="00C46492" w:rsidP="000E4CC6">
      <w:pPr>
        <w:spacing w:line="360" w:lineRule="auto"/>
        <w:rPr>
          <w:rFonts w:ascii="Arial" w:hAnsi="Arial" w:cs="Arial"/>
          <w:sz w:val="22"/>
          <w:szCs w:val="22"/>
        </w:rPr>
      </w:pPr>
      <w:r w:rsidRPr="000E4CC6">
        <w:rPr>
          <w:rFonts w:ascii="Arial" w:hAnsi="Arial" w:cs="Arial"/>
          <w:sz w:val="22"/>
          <w:szCs w:val="22"/>
        </w:rPr>
        <w:lastRenderedPageBreak/>
        <w:t>References</w:t>
      </w:r>
      <w:r w:rsidR="000E4CC6" w:rsidRPr="000E4CC6">
        <w:rPr>
          <w:rFonts w:ascii="Arial" w:hAnsi="Arial" w:cs="Arial"/>
          <w:sz w:val="22"/>
          <w:szCs w:val="22"/>
        </w:rPr>
        <w:t xml:space="preserve"> </w:t>
      </w:r>
    </w:p>
    <w:p w14:paraId="31F1F65D" w14:textId="77777777" w:rsidR="00C46492" w:rsidRPr="00C46492" w:rsidRDefault="00C46492" w:rsidP="00C46492">
      <w:pPr>
        <w:spacing w:line="360" w:lineRule="auto"/>
        <w:rPr>
          <w:rFonts w:ascii="Arial" w:hAnsi="Arial" w:cs="Arial"/>
          <w:sz w:val="22"/>
          <w:szCs w:val="22"/>
        </w:rPr>
      </w:pPr>
      <w:r w:rsidRPr="00C46492">
        <w:rPr>
          <w:rFonts w:ascii="Arial" w:hAnsi="Arial" w:cs="Arial"/>
          <w:sz w:val="22"/>
          <w:szCs w:val="22"/>
        </w:rPr>
        <w:t xml:space="preserve">Dodd, C. </w:t>
      </w:r>
      <w:r w:rsidRPr="00C46492">
        <w:rPr>
          <w:rFonts w:ascii="Arial" w:hAnsi="Arial" w:cs="Arial"/>
          <w:i/>
          <w:iCs/>
          <w:sz w:val="22"/>
          <w:szCs w:val="22"/>
        </w:rPr>
        <w:t>et al.</w:t>
      </w:r>
      <w:r w:rsidRPr="00C46492">
        <w:rPr>
          <w:rFonts w:ascii="Arial" w:hAnsi="Arial" w:cs="Arial"/>
          <w:sz w:val="22"/>
          <w:szCs w:val="22"/>
        </w:rPr>
        <w:t xml:space="preserve"> (2026) 'Systematic review of evidence on the use of synchronous virtual communication in adult social care: experiences of individuals with social care needs and their carers', </w:t>
      </w:r>
      <w:r w:rsidRPr="00C46492">
        <w:rPr>
          <w:rFonts w:ascii="Arial" w:hAnsi="Arial" w:cs="Arial"/>
          <w:i/>
          <w:iCs/>
          <w:sz w:val="22"/>
          <w:szCs w:val="22"/>
        </w:rPr>
        <w:t>Health &amp; Social Care in the Community</w:t>
      </w:r>
      <w:r w:rsidRPr="00C46492">
        <w:rPr>
          <w:rFonts w:ascii="Arial" w:hAnsi="Arial" w:cs="Arial"/>
          <w:sz w:val="22"/>
          <w:szCs w:val="22"/>
        </w:rPr>
        <w:t xml:space="preserve">, 2026, 8622670. Available at: </w:t>
      </w:r>
      <w:hyperlink r:id="rId4" w:tgtFrame="_blank" w:history="1">
        <w:r w:rsidRPr="00C46492">
          <w:rPr>
            <w:rStyle w:val="Hyperlink"/>
            <w:rFonts w:ascii="Arial" w:hAnsi="Arial" w:cs="Arial"/>
            <w:sz w:val="22"/>
            <w:szCs w:val="22"/>
          </w:rPr>
          <w:t>https://doi.org/10.1155/hsc/8622670</w:t>
        </w:r>
      </w:hyperlink>
      <w:r w:rsidRPr="00C46492">
        <w:rPr>
          <w:rFonts w:ascii="Arial" w:hAnsi="Arial" w:cs="Arial"/>
          <w:sz w:val="22"/>
          <w:szCs w:val="22"/>
        </w:rPr>
        <w:t>.</w:t>
      </w:r>
    </w:p>
    <w:p w14:paraId="2A851D5C" w14:textId="77777777" w:rsidR="00C46492" w:rsidRPr="00C46492" w:rsidRDefault="00C46492" w:rsidP="00C46492">
      <w:pPr>
        <w:spacing w:line="360" w:lineRule="auto"/>
        <w:rPr>
          <w:rFonts w:ascii="Arial" w:hAnsi="Arial" w:cs="Arial"/>
          <w:sz w:val="22"/>
          <w:szCs w:val="22"/>
        </w:rPr>
      </w:pPr>
      <w:r w:rsidRPr="00C46492">
        <w:rPr>
          <w:rFonts w:ascii="Arial" w:hAnsi="Arial" w:cs="Arial"/>
          <w:sz w:val="22"/>
          <w:szCs w:val="22"/>
        </w:rPr>
        <w:t xml:space="preserve">Malley, J. </w:t>
      </w:r>
      <w:r w:rsidRPr="00C46492">
        <w:rPr>
          <w:rFonts w:ascii="Arial" w:hAnsi="Arial" w:cs="Arial"/>
          <w:i/>
          <w:iCs/>
          <w:sz w:val="22"/>
          <w:szCs w:val="22"/>
        </w:rPr>
        <w:t>et al.</w:t>
      </w:r>
      <w:r w:rsidRPr="00C46492">
        <w:rPr>
          <w:rFonts w:ascii="Arial" w:hAnsi="Arial" w:cs="Arial"/>
          <w:sz w:val="22"/>
          <w:szCs w:val="22"/>
        </w:rPr>
        <w:t xml:space="preserve"> (2026) 'A rapid evaluation of the implementation of Digital Social Care Records in England', </w:t>
      </w:r>
      <w:r w:rsidRPr="00C46492">
        <w:rPr>
          <w:rFonts w:ascii="Arial" w:hAnsi="Arial" w:cs="Arial"/>
          <w:i/>
          <w:iCs/>
          <w:sz w:val="22"/>
          <w:szCs w:val="22"/>
        </w:rPr>
        <w:t>Health and Social Care Delivery Research</w:t>
      </w:r>
      <w:r w:rsidRPr="00C46492">
        <w:rPr>
          <w:rFonts w:ascii="Arial" w:hAnsi="Arial" w:cs="Arial"/>
          <w:sz w:val="22"/>
          <w:szCs w:val="22"/>
        </w:rPr>
        <w:t xml:space="preserve">, 14(16), pp. 1–82. Available at: </w:t>
      </w:r>
      <w:hyperlink r:id="rId5" w:tgtFrame="_blank" w:history="1">
        <w:r w:rsidRPr="00C46492">
          <w:rPr>
            <w:rStyle w:val="Hyperlink"/>
            <w:rFonts w:ascii="Arial" w:hAnsi="Arial" w:cs="Arial"/>
            <w:sz w:val="22"/>
            <w:szCs w:val="22"/>
          </w:rPr>
          <w:t>https://doi.org/10.3310/GJJW2821</w:t>
        </w:r>
      </w:hyperlink>
      <w:r w:rsidRPr="00C46492">
        <w:rPr>
          <w:rFonts w:ascii="Arial" w:hAnsi="Arial" w:cs="Arial"/>
          <w:sz w:val="22"/>
          <w:szCs w:val="22"/>
        </w:rPr>
        <w:t>.</w:t>
      </w:r>
    </w:p>
    <w:p w14:paraId="4FC42884" w14:textId="77777777" w:rsidR="00C46492" w:rsidRPr="00C46492" w:rsidRDefault="00C46492" w:rsidP="00C46492">
      <w:pPr>
        <w:spacing w:line="360" w:lineRule="auto"/>
        <w:rPr>
          <w:rFonts w:ascii="Arial" w:hAnsi="Arial" w:cs="Arial"/>
          <w:sz w:val="22"/>
          <w:szCs w:val="22"/>
        </w:rPr>
      </w:pPr>
      <w:proofErr w:type="spellStart"/>
      <w:r w:rsidRPr="00C46492">
        <w:rPr>
          <w:rFonts w:ascii="Arial" w:hAnsi="Arial" w:cs="Arial"/>
          <w:sz w:val="22"/>
          <w:szCs w:val="22"/>
        </w:rPr>
        <w:t>Wherton</w:t>
      </w:r>
      <w:proofErr w:type="spellEnd"/>
      <w:r w:rsidRPr="00C46492">
        <w:rPr>
          <w:rFonts w:ascii="Arial" w:hAnsi="Arial" w:cs="Arial"/>
          <w:sz w:val="22"/>
          <w:szCs w:val="22"/>
        </w:rPr>
        <w:t xml:space="preserve">, J. </w:t>
      </w:r>
      <w:r w:rsidRPr="00C46492">
        <w:rPr>
          <w:rFonts w:ascii="Arial" w:hAnsi="Arial" w:cs="Arial"/>
          <w:i/>
          <w:iCs/>
          <w:sz w:val="22"/>
          <w:szCs w:val="22"/>
        </w:rPr>
        <w:t>et al.</w:t>
      </w:r>
      <w:r w:rsidRPr="00C46492">
        <w:rPr>
          <w:rFonts w:ascii="Arial" w:hAnsi="Arial" w:cs="Arial"/>
          <w:sz w:val="22"/>
          <w:szCs w:val="22"/>
        </w:rPr>
        <w:t xml:space="preserve"> (2025) 'Adopting and embedding home sensors in social care: findings from a mixed methods, rapid evaluation', </w:t>
      </w:r>
      <w:r w:rsidRPr="00C46492">
        <w:rPr>
          <w:rFonts w:ascii="Arial" w:hAnsi="Arial" w:cs="Arial"/>
          <w:i/>
          <w:iCs/>
          <w:sz w:val="22"/>
          <w:szCs w:val="22"/>
        </w:rPr>
        <w:t>NIHR Open Research</w:t>
      </w:r>
      <w:r w:rsidRPr="00C46492">
        <w:rPr>
          <w:rFonts w:ascii="Arial" w:hAnsi="Arial" w:cs="Arial"/>
          <w:sz w:val="22"/>
          <w:szCs w:val="22"/>
        </w:rPr>
        <w:t xml:space="preserve">, 5, 71. Available at: </w:t>
      </w:r>
      <w:hyperlink r:id="rId6" w:tgtFrame="_blank" w:history="1">
        <w:r w:rsidRPr="00C46492">
          <w:rPr>
            <w:rStyle w:val="Hyperlink"/>
            <w:rFonts w:ascii="Arial" w:hAnsi="Arial" w:cs="Arial"/>
            <w:sz w:val="22"/>
            <w:szCs w:val="22"/>
          </w:rPr>
          <w:t>https://doi.org/10.3310/nihropenres.14011.2</w:t>
        </w:r>
      </w:hyperlink>
      <w:r w:rsidRPr="00C46492">
        <w:rPr>
          <w:rFonts w:ascii="Arial" w:hAnsi="Arial" w:cs="Arial"/>
          <w:sz w:val="22"/>
          <w:szCs w:val="22"/>
        </w:rPr>
        <w:t>.</w:t>
      </w:r>
    </w:p>
    <w:p w14:paraId="33531E7B" w14:textId="77777777" w:rsidR="00C46492" w:rsidRPr="00C46492" w:rsidRDefault="00C46492" w:rsidP="00C46492">
      <w:pPr>
        <w:spacing w:line="360" w:lineRule="auto"/>
        <w:rPr>
          <w:rFonts w:ascii="Arial" w:hAnsi="Arial" w:cs="Arial"/>
          <w:sz w:val="22"/>
          <w:szCs w:val="22"/>
        </w:rPr>
      </w:pPr>
      <w:r w:rsidRPr="00C46492">
        <w:rPr>
          <w:rFonts w:ascii="Arial" w:hAnsi="Arial" w:cs="Arial"/>
          <w:sz w:val="22"/>
          <w:szCs w:val="22"/>
        </w:rPr>
        <w:t xml:space="preserve">Whitfield, G.J. </w:t>
      </w:r>
      <w:r w:rsidRPr="00C46492">
        <w:rPr>
          <w:rFonts w:ascii="Arial" w:hAnsi="Arial" w:cs="Arial"/>
          <w:i/>
          <w:iCs/>
          <w:sz w:val="22"/>
          <w:szCs w:val="22"/>
        </w:rPr>
        <w:t>et al.</w:t>
      </w:r>
      <w:r w:rsidRPr="00C46492">
        <w:rPr>
          <w:rFonts w:ascii="Arial" w:hAnsi="Arial" w:cs="Arial"/>
          <w:sz w:val="22"/>
          <w:szCs w:val="22"/>
        </w:rPr>
        <w:t xml:space="preserve"> (2025) 'How the care workforce navigates the digital ‘skills gap’: problems and opportunities from policy to practice', </w:t>
      </w:r>
      <w:r w:rsidRPr="00C46492">
        <w:rPr>
          <w:rFonts w:ascii="Arial" w:hAnsi="Arial" w:cs="Arial"/>
          <w:i/>
          <w:iCs/>
          <w:sz w:val="22"/>
          <w:szCs w:val="22"/>
        </w:rPr>
        <w:t>Frontiers in Sociology</w:t>
      </w:r>
      <w:r w:rsidRPr="00C46492">
        <w:rPr>
          <w:rFonts w:ascii="Arial" w:hAnsi="Arial" w:cs="Arial"/>
          <w:sz w:val="22"/>
          <w:szCs w:val="22"/>
        </w:rPr>
        <w:t xml:space="preserve">, 10, 1552672. Available at: </w:t>
      </w:r>
      <w:hyperlink r:id="rId7" w:tgtFrame="_blank" w:history="1">
        <w:r w:rsidRPr="00C46492">
          <w:rPr>
            <w:rStyle w:val="Hyperlink"/>
            <w:rFonts w:ascii="Arial" w:hAnsi="Arial" w:cs="Arial"/>
            <w:sz w:val="22"/>
            <w:szCs w:val="22"/>
          </w:rPr>
          <w:t>https://doi.org/10.3389/fsoc.2025.1552672</w:t>
        </w:r>
      </w:hyperlink>
      <w:r w:rsidRPr="00C46492">
        <w:rPr>
          <w:rFonts w:ascii="Arial" w:hAnsi="Arial" w:cs="Arial"/>
          <w:sz w:val="22"/>
          <w:szCs w:val="22"/>
        </w:rPr>
        <w:t>.</w:t>
      </w:r>
    </w:p>
    <w:p w14:paraId="211A14B9" w14:textId="77777777" w:rsidR="00C46492" w:rsidRPr="000E4CC6" w:rsidRDefault="00C46492" w:rsidP="000E4CC6">
      <w:pPr>
        <w:spacing w:line="360" w:lineRule="auto"/>
        <w:rPr>
          <w:rFonts w:ascii="Arial" w:hAnsi="Arial" w:cs="Arial"/>
          <w:sz w:val="22"/>
          <w:szCs w:val="22"/>
        </w:rPr>
      </w:pPr>
    </w:p>
    <w:p w14:paraId="3AAB97D4" w14:textId="77777777" w:rsidR="000A450A" w:rsidRPr="000E4CC6" w:rsidRDefault="000A450A" w:rsidP="000E4CC6">
      <w:pPr>
        <w:spacing w:line="360" w:lineRule="auto"/>
        <w:rPr>
          <w:rFonts w:ascii="Arial" w:hAnsi="Arial" w:cs="Arial"/>
          <w:sz w:val="22"/>
          <w:szCs w:val="22"/>
        </w:rPr>
      </w:pPr>
    </w:p>
    <w:sectPr w:rsidR="000A450A" w:rsidRPr="000E4C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0E3"/>
    <w:rsid w:val="000A450A"/>
    <w:rsid w:val="000E4CC6"/>
    <w:rsid w:val="00247B5B"/>
    <w:rsid w:val="003178D6"/>
    <w:rsid w:val="00C46492"/>
    <w:rsid w:val="00E62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06F62"/>
  <w15:chartTrackingRefBased/>
  <w15:docId w15:val="{8DB6FDB0-4AB8-4AEE-8D09-B55B0694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0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20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0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0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0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20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0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0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0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0E3"/>
    <w:rPr>
      <w:rFonts w:eastAsiaTheme="majorEastAsia" w:cstheme="majorBidi"/>
      <w:color w:val="272727" w:themeColor="text1" w:themeTint="D8"/>
    </w:rPr>
  </w:style>
  <w:style w:type="paragraph" w:styleId="Title">
    <w:name w:val="Title"/>
    <w:basedOn w:val="Normal"/>
    <w:next w:val="Normal"/>
    <w:link w:val="TitleChar"/>
    <w:uiPriority w:val="10"/>
    <w:qFormat/>
    <w:rsid w:val="00E62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0E3"/>
    <w:pPr>
      <w:spacing w:before="160"/>
      <w:jc w:val="center"/>
    </w:pPr>
    <w:rPr>
      <w:i/>
      <w:iCs/>
      <w:color w:val="404040" w:themeColor="text1" w:themeTint="BF"/>
    </w:rPr>
  </w:style>
  <w:style w:type="character" w:customStyle="1" w:styleId="QuoteChar">
    <w:name w:val="Quote Char"/>
    <w:basedOn w:val="DefaultParagraphFont"/>
    <w:link w:val="Quote"/>
    <w:uiPriority w:val="29"/>
    <w:rsid w:val="00E620E3"/>
    <w:rPr>
      <w:i/>
      <w:iCs/>
      <w:color w:val="404040" w:themeColor="text1" w:themeTint="BF"/>
    </w:rPr>
  </w:style>
  <w:style w:type="paragraph" w:styleId="ListParagraph">
    <w:name w:val="List Paragraph"/>
    <w:basedOn w:val="Normal"/>
    <w:uiPriority w:val="34"/>
    <w:qFormat/>
    <w:rsid w:val="00E620E3"/>
    <w:pPr>
      <w:ind w:left="720"/>
      <w:contextualSpacing/>
    </w:pPr>
  </w:style>
  <w:style w:type="character" w:styleId="IntenseEmphasis">
    <w:name w:val="Intense Emphasis"/>
    <w:basedOn w:val="DefaultParagraphFont"/>
    <w:uiPriority w:val="21"/>
    <w:qFormat/>
    <w:rsid w:val="00E620E3"/>
    <w:rPr>
      <w:i/>
      <w:iCs/>
      <w:color w:val="0F4761" w:themeColor="accent1" w:themeShade="BF"/>
    </w:rPr>
  </w:style>
  <w:style w:type="paragraph" w:styleId="IntenseQuote">
    <w:name w:val="Intense Quote"/>
    <w:basedOn w:val="Normal"/>
    <w:next w:val="Normal"/>
    <w:link w:val="IntenseQuoteChar"/>
    <w:uiPriority w:val="30"/>
    <w:qFormat/>
    <w:rsid w:val="00E620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0E3"/>
    <w:rPr>
      <w:i/>
      <w:iCs/>
      <w:color w:val="0F4761" w:themeColor="accent1" w:themeShade="BF"/>
    </w:rPr>
  </w:style>
  <w:style w:type="character" w:styleId="IntenseReference">
    <w:name w:val="Intense Reference"/>
    <w:basedOn w:val="DefaultParagraphFont"/>
    <w:uiPriority w:val="32"/>
    <w:qFormat/>
    <w:rsid w:val="00E620E3"/>
    <w:rPr>
      <w:b/>
      <w:bCs/>
      <w:smallCaps/>
      <w:color w:val="0F4761" w:themeColor="accent1" w:themeShade="BF"/>
      <w:spacing w:val="5"/>
    </w:rPr>
  </w:style>
  <w:style w:type="character" w:styleId="Hyperlink">
    <w:name w:val="Hyperlink"/>
    <w:basedOn w:val="DefaultParagraphFont"/>
    <w:uiPriority w:val="99"/>
    <w:unhideWhenUsed/>
    <w:rsid w:val="00C46492"/>
    <w:rPr>
      <w:color w:val="467886" w:themeColor="hyperlink"/>
      <w:u w:val="single"/>
    </w:rPr>
  </w:style>
  <w:style w:type="character" w:styleId="UnresolvedMention">
    <w:name w:val="Unresolved Mention"/>
    <w:basedOn w:val="DefaultParagraphFont"/>
    <w:uiPriority w:val="99"/>
    <w:semiHidden/>
    <w:unhideWhenUsed/>
    <w:rsid w:val="00C46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3389/fsoc.2025.155267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310/nihropenres.14011.2" TargetMode="External"/><Relationship Id="rId5" Type="http://schemas.openxmlformats.org/officeDocument/2006/relationships/hyperlink" Target="https://www.google.com/search?q=https://doi.org/10.3310/GJJW2821" TargetMode="External"/><Relationship Id="rId4" Type="http://schemas.openxmlformats.org/officeDocument/2006/relationships/hyperlink" Target="https://doi.org/10.1155/hsc/862267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661</Words>
  <Characters>3772</Characters>
  <Application>Microsoft Office Word</Application>
  <DocSecurity>0</DocSecurity>
  <Lines>31</Lines>
  <Paragraphs>8</Paragraphs>
  <ScaleCrop>false</ScaleCrop>
  <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3</cp:revision>
  <dcterms:created xsi:type="dcterms:W3CDTF">2026-10-13T00:34:00Z</dcterms:created>
  <dcterms:modified xsi:type="dcterms:W3CDTF">2026-10-13T00:44:00Z</dcterms:modified>
</cp:coreProperties>
</file>