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C64E8C" w14:textId="77777777" w:rsidR="00EC6E54" w:rsidRPr="00611CB9" w:rsidRDefault="00EC6E54" w:rsidP="00A7362D">
      <w:pPr>
        <w:spacing w:line="360" w:lineRule="auto"/>
        <w:rPr>
          <w:rFonts w:ascii="Arial" w:hAnsi="Arial" w:cs="Arial"/>
          <w:b/>
          <w:bCs/>
        </w:rPr>
      </w:pPr>
      <w:r w:rsidRPr="00611CB9">
        <w:rPr>
          <w:rFonts w:ascii="Arial" w:hAnsi="Arial" w:cs="Arial"/>
          <w:noProof/>
          <w:lang w:val="en-US"/>
        </w:rPr>
        <w:drawing>
          <wp:inline distT="0" distB="0" distL="0" distR="0" wp14:anchorId="16F18EB2" wp14:editId="4BFC0127">
            <wp:extent cx="1813560" cy="723900"/>
            <wp:effectExtent l="0" t="0" r="0" b="0"/>
            <wp:docPr id="934136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4078278C" w14:textId="01EBD13A" w:rsidR="00EC6E54" w:rsidRPr="00611CB9" w:rsidRDefault="00EC6E54" w:rsidP="00A7362D">
      <w:pPr>
        <w:spacing w:line="360" w:lineRule="auto"/>
        <w:jc w:val="center"/>
        <w:rPr>
          <w:rFonts w:ascii="Arial" w:hAnsi="Arial" w:cs="Arial"/>
          <w:b/>
          <w:bCs/>
          <w:sz w:val="32"/>
          <w:szCs w:val="32"/>
        </w:rPr>
      </w:pPr>
      <w:r w:rsidRPr="00611CB9">
        <w:rPr>
          <w:rFonts w:ascii="Arial" w:hAnsi="Arial" w:cs="Arial"/>
          <w:b/>
          <w:bCs/>
          <w:sz w:val="32"/>
          <w:szCs w:val="32"/>
        </w:rPr>
        <w:t>Programme: Master of Business Administration</w:t>
      </w:r>
    </w:p>
    <w:p w14:paraId="5C920072" w14:textId="77777777" w:rsidR="00EC6E54" w:rsidRPr="00611CB9" w:rsidRDefault="00EC6E54" w:rsidP="00A7362D">
      <w:pPr>
        <w:spacing w:line="360" w:lineRule="auto"/>
        <w:jc w:val="center"/>
        <w:rPr>
          <w:rFonts w:ascii="Arial" w:hAnsi="Arial" w:cs="Arial"/>
          <w:b/>
          <w:bCs/>
          <w:sz w:val="32"/>
          <w:szCs w:val="32"/>
        </w:rPr>
      </w:pPr>
      <w:r w:rsidRPr="00611CB9">
        <w:rPr>
          <w:rFonts w:ascii="Arial" w:hAnsi="Arial" w:cs="Arial"/>
          <w:b/>
          <w:bCs/>
          <w:sz w:val="32"/>
          <w:szCs w:val="32"/>
        </w:rPr>
        <w:t>Module: Financial Management</w:t>
      </w:r>
    </w:p>
    <w:p w14:paraId="68280667" w14:textId="77777777" w:rsidR="00EC6E54" w:rsidRPr="00611CB9" w:rsidRDefault="00EC6E54" w:rsidP="00A7362D">
      <w:pPr>
        <w:spacing w:line="360" w:lineRule="auto"/>
        <w:jc w:val="center"/>
        <w:rPr>
          <w:rFonts w:ascii="Arial" w:hAnsi="Arial" w:cs="Arial"/>
          <w:b/>
          <w:bCs/>
          <w:sz w:val="32"/>
          <w:szCs w:val="32"/>
        </w:rPr>
      </w:pPr>
      <w:r w:rsidRPr="00611CB9">
        <w:rPr>
          <w:rFonts w:ascii="Arial" w:hAnsi="Arial" w:cs="Arial"/>
          <w:b/>
          <w:bCs/>
          <w:sz w:val="32"/>
          <w:szCs w:val="32"/>
        </w:rPr>
        <w:t>Module Code: LCMB7002</w:t>
      </w:r>
    </w:p>
    <w:p w14:paraId="628A9A52" w14:textId="77777777" w:rsidR="00EC6E54" w:rsidRPr="00611CB9" w:rsidRDefault="00EC6E54" w:rsidP="00A7362D">
      <w:pPr>
        <w:spacing w:line="360" w:lineRule="auto"/>
        <w:jc w:val="center"/>
        <w:rPr>
          <w:rFonts w:ascii="Arial" w:hAnsi="Arial" w:cs="Arial"/>
          <w:b/>
          <w:bCs/>
          <w:sz w:val="32"/>
          <w:szCs w:val="32"/>
        </w:rPr>
      </w:pPr>
      <w:r w:rsidRPr="00611CB9">
        <w:rPr>
          <w:rFonts w:ascii="Arial" w:hAnsi="Arial" w:cs="Arial"/>
          <w:b/>
          <w:bCs/>
          <w:sz w:val="32"/>
          <w:szCs w:val="32"/>
        </w:rPr>
        <w:t>Lecturer: Shengfeng Mei, Patrick Yeboah</w:t>
      </w:r>
    </w:p>
    <w:p w14:paraId="7A4F341F" w14:textId="77777777" w:rsidR="00EC6E54" w:rsidRPr="00611CB9" w:rsidRDefault="00EC6E54" w:rsidP="00A7362D">
      <w:pPr>
        <w:spacing w:line="360" w:lineRule="auto"/>
        <w:jc w:val="center"/>
        <w:rPr>
          <w:rFonts w:ascii="Arial" w:hAnsi="Arial" w:cs="Arial"/>
          <w:b/>
          <w:bCs/>
          <w:sz w:val="32"/>
          <w:szCs w:val="32"/>
        </w:rPr>
      </w:pPr>
    </w:p>
    <w:p w14:paraId="4B8F7E86" w14:textId="70F3F8EC" w:rsidR="00EC6E54" w:rsidRPr="00611CB9" w:rsidRDefault="00EC6E54" w:rsidP="00A7362D">
      <w:pPr>
        <w:spacing w:line="360" w:lineRule="auto"/>
        <w:jc w:val="center"/>
        <w:rPr>
          <w:rFonts w:ascii="Arial" w:hAnsi="Arial" w:cs="Arial"/>
          <w:b/>
          <w:bCs/>
          <w:sz w:val="32"/>
          <w:szCs w:val="32"/>
        </w:rPr>
      </w:pPr>
      <w:r w:rsidRPr="00611CB9">
        <w:rPr>
          <w:rFonts w:ascii="Arial" w:hAnsi="Arial" w:cs="Arial"/>
          <w:b/>
          <w:bCs/>
          <w:sz w:val="32"/>
          <w:szCs w:val="32"/>
        </w:rPr>
        <w:t>Selected company: Hyatt Hotels Corporation</w:t>
      </w:r>
    </w:p>
    <w:p w14:paraId="5AF5BEDC" w14:textId="77777777" w:rsidR="00EC6E54" w:rsidRPr="00611CB9" w:rsidRDefault="00EC6E54" w:rsidP="00A7362D">
      <w:pPr>
        <w:spacing w:line="360" w:lineRule="auto"/>
        <w:jc w:val="center"/>
        <w:rPr>
          <w:rFonts w:ascii="Arial" w:hAnsi="Arial" w:cs="Arial"/>
          <w:b/>
          <w:bCs/>
          <w:sz w:val="32"/>
          <w:szCs w:val="32"/>
        </w:rPr>
      </w:pPr>
    </w:p>
    <w:p w14:paraId="20A7D225" w14:textId="77777777" w:rsidR="00EC6E54" w:rsidRPr="00611CB9" w:rsidRDefault="00EC6E54" w:rsidP="00A7362D">
      <w:pPr>
        <w:spacing w:line="360" w:lineRule="auto"/>
        <w:jc w:val="center"/>
        <w:rPr>
          <w:rFonts w:ascii="Arial" w:hAnsi="Arial" w:cs="Arial"/>
          <w:b/>
          <w:bCs/>
          <w:sz w:val="32"/>
          <w:szCs w:val="32"/>
        </w:rPr>
      </w:pPr>
      <w:r w:rsidRPr="00611CB9">
        <w:rPr>
          <w:rFonts w:ascii="Arial" w:hAnsi="Arial" w:cs="Arial"/>
          <w:b/>
          <w:bCs/>
          <w:sz w:val="32"/>
          <w:szCs w:val="32"/>
        </w:rPr>
        <w:t>Assignment Title: Assessment Component- Financial Performance and Management</w:t>
      </w:r>
    </w:p>
    <w:p w14:paraId="61358F36" w14:textId="39717BFF" w:rsidR="00EC6E54" w:rsidRPr="00611CB9" w:rsidRDefault="00EC6E54" w:rsidP="00A7362D">
      <w:pPr>
        <w:spacing w:line="360" w:lineRule="auto"/>
        <w:jc w:val="center"/>
        <w:rPr>
          <w:rFonts w:ascii="Arial" w:hAnsi="Arial" w:cs="Arial"/>
          <w:b/>
          <w:bCs/>
          <w:sz w:val="32"/>
          <w:szCs w:val="32"/>
        </w:rPr>
      </w:pPr>
      <w:r w:rsidRPr="00611CB9">
        <w:rPr>
          <w:rFonts w:ascii="Arial" w:hAnsi="Arial" w:cs="Arial"/>
          <w:b/>
          <w:bCs/>
          <w:sz w:val="32"/>
          <w:szCs w:val="32"/>
        </w:rPr>
        <w:t>Student Name:</w:t>
      </w:r>
      <w:r w:rsidR="00416898">
        <w:rPr>
          <w:rFonts w:ascii="Arial" w:hAnsi="Arial" w:cs="Arial"/>
          <w:b/>
          <w:bCs/>
          <w:sz w:val="32"/>
          <w:szCs w:val="32"/>
        </w:rPr>
        <w:t xml:space="preserve"> Nabel Ahmed</w:t>
      </w:r>
    </w:p>
    <w:p w14:paraId="5EC3E62E" w14:textId="1D4243A4" w:rsidR="00EC6E54" w:rsidRPr="00611CB9" w:rsidRDefault="00EC6E54" w:rsidP="00A7362D">
      <w:pPr>
        <w:spacing w:line="360" w:lineRule="auto"/>
        <w:jc w:val="center"/>
        <w:rPr>
          <w:rFonts w:ascii="Arial" w:hAnsi="Arial" w:cs="Arial"/>
          <w:b/>
          <w:bCs/>
          <w:sz w:val="32"/>
          <w:szCs w:val="32"/>
        </w:rPr>
      </w:pPr>
      <w:r w:rsidRPr="00611CB9">
        <w:rPr>
          <w:rFonts w:ascii="Arial" w:hAnsi="Arial" w:cs="Arial"/>
          <w:b/>
          <w:bCs/>
          <w:sz w:val="32"/>
          <w:szCs w:val="32"/>
        </w:rPr>
        <w:t>Student ID:</w:t>
      </w:r>
      <w:r w:rsidR="00416898">
        <w:rPr>
          <w:rFonts w:ascii="Arial" w:hAnsi="Arial" w:cs="Arial"/>
          <w:b/>
          <w:bCs/>
          <w:sz w:val="32"/>
          <w:szCs w:val="32"/>
        </w:rPr>
        <w:t>2504402</w:t>
      </w:r>
    </w:p>
    <w:p w14:paraId="7E533413" w14:textId="5901A8F3" w:rsidR="00EC6E54" w:rsidRPr="00611CB9" w:rsidRDefault="00EC6E54" w:rsidP="00A7362D">
      <w:pPr>
        <w:spacing w:line="360" w:lineRule="auto"/>
        <w:rPr>
          <w:rFonts w:ascii="Arial" w:hAnsi="Arial" w:cs="Arial"/>
          <w:b/>
          <w:bCs/>
          <w:sz w:val="32"/>
          <w:szCs w:val="32"/>
        </w:rPr>
      </w:pPr>
      <w:r w:rsidRPr="00611CB9">
        <w:rPr>
          <w:rFonts w:ascii="Arial" w:hAnsi="Arial" w:cs="Arial"/>
          <w:b/>
          <w:bCs/>
          <w:sz w:val="32"/>
          <w:szCs w:val="32"/>
        </w:rPr>
        <w:br w:type="page"/>
      </w:r>
    </w:p>
    <w:sdt>
      <w:sdtPr>
        <w:rPr>
          <w:rFonts w:ascii="Arial" w:eastAsiaTheme="minorHAnsi" w:hAnsi="Arial" w:cs="Arial"/>
          <w:b w:val="0"/>
          <w:kern w:val="2"/>
          <w:sz w:val="24"/>
          <w:szCs w:val="24"/>
          <w:lang w:val="en-IN"/>
          <w14:ligatures w14:val="standardContextual"/>
        </w:rPr>
        <w:id w:val="-1937055710"/>
        <w:docPartObj>
          <w:docPartGallery w:val="Table of Contents"/>
          <w:docPartUnique/>
        </w:docPartObj>
      </w:sdtPr>
      <w:sdtEndPr>
        <w:rPr>
          <w:bCs/>
          <w:noProof/>
        </w:rPr>
      </w:sdtEndPr>
      <w:sdtContent>
        <w:p w14:paraId="1B331F3C" w14:textId="4D2CAF14" w:rsidR="00611CB9" w:rsidRPr="00611CB9" w:rsidRDefault="00611CB9">
          <w:pPr>
            <w:pStyle w:val="TOCHeading"/>
            <w:rPr>
              <w:rFonts w:ascii="Arial" w:hAnsi="Arial" w:cs="Arial"/>
            </w:rPr>
          </w:pPr>
          <w:r w:rsidRPr="00611CB9">
            <w:rPr>
              <w:rFonts w:ascii="Arial" w:hAnsi="Arial" w:cs="Arial"/>
            </w:rPr>
            <w:t>Table of Contents</w:t>
          </w:r>
        </w:p>
        <w:p w14:paraId="43F1E182" w14:textId="3F534C21" w:rsidR="00611CB9" w:rsidRPr="00611CB9" w:rsidRDefault="00611CB9">
          <w:pPr>
            <w:pStyle w:val="TOC1"/>
            <w:tabs>
              <w:tab w:val="right" w:leader="dot" w:pos="9016"/>
            </w:tabs>
            <w:rPr>
              <w:rFonts w:ascii="Arial" w:eastAsiaTheme="minorEastAsia" w:hAnsi="Arial" w:cs="Arial"/>
              <w:noProof/>
              <w:lang w:eastAsia="en-IN"/>
            </w:rPr>
          </w:pPr>
          <w:r w:rsidRPr="00611CB9">
            <w:rPr>
              <w:rFonts w:ascii="Arial" w:hAnsi="Arial" w:cs="Arial"/>
            </w:rPr>
            <w:fldChar w:fldCharType="begin"/>
          </w:r>
          <w:r w:rsidRPr="00611CB9">
            <w:rPr>
              <w:rFonts w:ascii="Arial" w:hAnsi="Arial" w:cs="Arial"/>
            </w:rPr>
            <w:instrText xml:space="preserve"> TOC \o "1-3" \h \z \u </w:instrText>
          </w:r>
          <w:r w:rsidRPr="00611CB9">
            <w:rPr>
              <w:rFonts w:ascii="Arial" w:hAnsi="Arial" w:cs="Arial"/>
            </w:rPr>
            <w:fldChar w:fldCharType="separate"/>
          </w:r>
          <w:hyperlink w:anchor="_Toc235474565" w:history="1">
            <w:r w:rsidRPr="00611CB9">
              <w:rPr>
                <w:rStyle w:val="Hyperlink"/>
                <w:rFonts w:ascii="Arial" w:hAnsi="Arial" w:cs="Arial"/>
                <w:noProof/>
              </w:rPr>
              <w:t>Introduction</w:t>
            </w:r>
            <w:r w:rsidRPr="00611CB9">
              <w:rPr>
                <w:rFonts w:ascii="Arial" w:hAnsi="Arial" w:cs="Arial"/>
                <w:noProof/>
                <w:webHidden/>
              </w:rPr>
              <w:tab/>
            </w:r>
            <w:r w:rsidRPr="00611CB9">
              <w:rPr>
                <w:rFonts w:ascii="Arial" w:hAnsi="Arial" w:cs="Arial"/>
                <w:noProof/>
                <w:webHidden/>
              </w:rPr>
              <w:fldChar w:fldCharType="begin"/>
            </w:r>
            <w:r w:rsidRPr="00611CB9">
              <w:rPr>
                <w:rFonts w:ascii="Arial" w:hAnsi="Arial" w:cs="Arial"/>
                <w:noProof/>
                <w:webHidden/>
              </w:rPr>
              <w:instrText xml:space="preserve"> PAGEREF _Toc235474565 \h </w:instrText>
            </w:r>
            <w:r w:rsidRPr="00611CB9">
              <w:rPr>
                <w:rFonts w:ascii="Arial" w:hAnsi="Arial" w:cs="Arial"/>
                <w:noProof/>
                <w:webHidden/>
              </w:rPr>
            </w:r>
            <w:r w:rsidRPr="00611CB9">
              <w:rPr>
                <w:rFonts w:ascii="Arial" w:hAnsi="Arial" w:cs="Arial"/>
                <w:noProof/>
                <w:webHidden/>
              </w:rPr>
              <w:fldChar w:fldCharType="separate"/>
            </w:r>
            <w:r w:rsidRPr="00611CB9">
              <w:rPr>
                <w:rFonts w:ascii="Arial" w:hAnsi="Arial" w:cs="Arial"/>
                <w:noProof/>
                <w:webHidden/>
              </w:rPr>
              <w:t>3</w:t>
            </w:r>
            <w:r w:rsidRPr="00611CB9">
              <w:rPr>
                <w:rFonts w:ascii="Arial" w:hAnsi="Arial" w:cs="Arial"/>
                <w:noProof/>
                <w:webHidden/>
              </w:rPr>
              <w:fldChar w:fldCharType="end"/>
            </w:r>
          </w:hyperlink>
        </w:p>
        <w:p w14:paraId="31651464" w14:textId="7E8795DC" w:rsidR="00611CB9" w:rsidRPr="00611CB9" w:rsidRDefault="00000000">
          <w:pPr>
            <w:pStyle w:val="TOC1"/>
            <w:tabs>
              <w:tab w:val="right" w:leader="dot" w:pos="9016"/>
            </w:tabs>
            <w:rPr>
              <w:rFonts w:ascii="Arial" w:eastAsiaTheme="minorEastAsia" w:hAnsi="Arial" w:cs="Arial"/>
              <w:noProof/>
              <w:lang w:eastAsia="en-IN"/>
            </w:rPr>
          </w:pPr>
          <w:hyperlink w:anchor="_Toc235474566" w:history="1">
            <w:r w:rsidR="00611CB9" w:rsidRPr="00611CB9">
              <w:rPr>
                <w:rStyle w:val="Hyperlink"/>
                <w:rFonts w:ascii="Arial" w:hAnsi="Arial" w:cs="Arial"/>
                <w:noProof/>
              </w:rPr>
              <w:t>1 Financial health check</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_Toc235474566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3</w:t>
            </w:r>
            <w:r w:rsidR="00611CB9" w:rsidRPr="00611CB9">
              <w:rPr>
                <w:rFonts w:ascii="Arial" w:hAnsi="Arial" w:cs="Arial"/>
                <w:noProof/>
                <w:webHidden/>
              </w:rPr>
              <w:fldChar w:fldCharType="end"/>
            </w:r>
          </w:hyperlink>
        </w:p>
        <w:p w14:paraId="0DCC03D8" w14:textId="6899C2EC" w:rsidR="00611CB9" w:rsidRPr="00611CB9" w:rsidRDefault="00000000" w:rsidP="00611CB9">
          <w:pPr>
            <w:pStyle w:val="TOC2"/>
            <w:rPr>
              <w:rFonts w:ascii="Arial" w:eastAsiaTheme="minorEastAsia" w:hAnsi="Arial" w:cs="Arial"/>
              <w:noProof/>
              <w:lang w:eastAsia="en-IN"/>
            </w:rPr>
          </w:pPr>
          <w:hyperlink w:anchor="_Toc235474567" w:history="1">
            <w:r w:rsidR="00611CB9" w:rsidRPr="00611CB9">
              <w:rPr>
                <w:rStyle w:val="Hyperlink"/>
                <w:rFonts w:ascii="Arial" w:hAnsi="Arial" w:cs="Arial"/>
                <w:noProof/>
              </w:rPr>
              <w:t>1.1 Comprehensive ratio trend analysis</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_Toc235474567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3</w:t>
            </w:r>
            <w:r w:rsidR="00611CB9" w:rsidRPr="00611CB9">
              <w:rPr>
                <w:rFonts w:ascii="Arial" w:hAnsi="Arial" w:cs="Arial"/>
                <w:noProof/>
                <w:webHidden/>
              </w:rPr>
              <w:fldChar w:fldCharType="end"/>
            </w:r>
          </w:hyperlink>
        </w:p>
        <w:p w14:paraId="66BC1BD4" w14:textId="0C0E092A" w:rsidR="00611CB9" w:rsidRPr="00611CB9" w:rsidRDefault="00000000" w:rsidP="00611CB9">
          <w:pPr>
            <w:pStyle w:val="TOC2"/>
            <w:rPr>
              <w:rFonts w:ascii="Arial" w:eastAsiaTheme="minorEastAsia" w:hAnsi="Arial" w:cs="Arial"/>
              <w:noProof/>
              <w:lang w:eastAsia="en-IN"/>
            </w:rPr>
          </w:pPr>
          <w:hyperlink w:anchor="_Toc235474568" w:history="1">
            <w:r w:rsidR="00611CB9" w:rsidRPr="00611CB9">
              <w:rPr>
                <w:rStyle w:val="Hyperlink"/>
                <w:rFonts w:ascii="Arial" w:hAnsi="Arial" w:cs="Arial"/>
                <w:noProof/>
              </w:rPr>
              <w:t>1.2 In-Depth trend evaluation</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_Toc235474568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4</w:t>
            </w:r>
            <w:r w:rsidR="00611CB9" w:rsidRPr="00611CB9">
              <w:rPr>
                <w:rFonts w:ascii="Arial" w:hAnsi="Arial" w:cs="Arial"/>
                <w:noProof/>
                <w:webHidden/>
              </w:rPr>
              <w:fldChar w:fldCharType="end"/>
            </w:r>
          </w:hyperlink>
        </w:p>
        <w:p w14:paraId="59849437" w14:textId="4FB1FAD8" w:rsidR="00611CB9" w:rsidRPr="00611CB9" w:rsidRDefault="00000000" w:rsidP="00611CB9">
          <w:pPr>
            <w:pStyle w:val="TOC2"/>
            <w:rPr>
              <w:rFonts w:ascii="Arial" w:eastAsiaTheme="minorEastAsia" w:hAnsi="Arial" w:cs="Arial"/>
              <w:noProof/>
              <w:lang w:eastAsia="en-IN"/>
            </w:rPr>
          </w:pPr>
          <w:hyperlink w:anchor="_Toc235474569" w:history="1">
            <w:r w:rsidR="00611CB9" w:rsidRPr="00611CB9">
              <w:rPr>
                <w:rStyle w:val="Hyperlink"/>
                <w:rFonts w:ascii="Arial" w:hAnsi="Arial" w:cs="Arial"/>
                <w:noProof/>
              </w:rPr>
              <w:t>1.3 Sector Liquidity Benchmarking.</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_Toc235474569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5</w:t>
            </w:r>
            <w:r w:rsidR="00611CB9" w:rsidRPr="00611CB9">
              <w:rPr>
                <w:rFonts w:ascii="Arial" w:hAnsi="Arial" w:cs="Arial"/>
                <w:noProof/>
                <w:webHidden/>
              </w:rPr>
              <w:fldChar w:fldCharType="end"/>
            </w:r>
          </w:hyperlink>
        </w:p>
        <w:p w14:paraId="4E36FA04" w14:textId="30CEB73B" w:rsidR="00611CB9" w:rsidRPr="00611CB9" w:rsidRDefault="00000000" w:rsidP="00611CB9">
          <w:pPr>
            <w:pStyle w:val="TOC2"/>
            <w:rPr>
              <w:rFonts w:ascii="Arial" w:eastAsiaTheme="minorEastAsia" w:hAnsi="Arial" w:cs="Arial"/>
              <w:noProof/>
              <w:lang w:eastAsia="en-IN"/>
            </w:rPr>
          </w:pPr>
          <w:hyperlink w:anchor="_Toc235474570" w:history="1">
            <w:r w:rsidR="00611CB9" w:rsidRPr="00611CB9">
              <w:rPr>
                <w:rStyle w:val="Hyperlink"/>
                <w:rFonts w:ascii="Arial" w:hAnsi="Arial" w:cs="Arial"/>
                <w:noProof/>
              </w:rPr>
              <w:t>1.4 Strengths, Weaknesses and Threats</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_Toc235474570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6</w:t>
            </w:r>
            <w:r w:rsidR="00611CB9" w:rsidRPr="00611CB9">
              <w:rPr>
                <w:rFonts w:ascii="Arial" w:hAnsi="Arial" w:cs="Arial"/>
                <w:noProof/>
                <w:webHidden/>
              </w:rPr>
              <w:fldChar w:fldCharType="end"/>
            </w:r>
          </w:hyperlink>
        </w:p>
        <w:p w14:paraId="2E2244D8" w14:textId="233144E5" w:rsidR="00611CB9" w:rsidRPr="00611CB9" w:rsidRDefault="00000000" w:rsidP="00611CB9">
          <w:pPr>
            <w:pStyle w:val="TOC2"/>
            <w:rPr>
              <w:rFonts w:ascii="Arial" w:eastAsiaTheme="minorEastAsia" w:hAnsi="Arial" w:cs="Arial"/>
              <w:noProof/>
              <w:lang w:eastAsia="en-IN"/>
            </w:rPr>
          </w:pPr>
          <w:hyperlink w:anchor="_Toc235474571" w:history="1">
            <w:r w:rsidR="00611CB9" w:rsidRPr="00611CB9">
              <w:rPr>
                <w:rStyle w:val="Hyperlink"/>
                <w:rFonts w:ascii="Arial" w:hAnsi="Arial" w:cs="Arial"/>
                <w:noProof/>
              </w:rPr>
              <w:t>1.5 Mathematical Modelling and Comprehensive Ratio Formulations</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_Toc235474571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6</w:t>
            </w:r>
            <w:r w:rsidR="00611CB9" w:rsidRPr="00611CB9">
              <w:rPr>
                <w:rFonts w:ascii="Arial" w:hAnsi="Arial" w:cs="Arial"/>
                <w:noProof/>
                <w:webHidden/>
              </w:rPr>
              <w:fldChar w:fldCharType="end"/>
            </w:r>
          </w:hyperlink>
        </w:p>
        <w:p w14:paraId="73B7E0B1" w14:textId="377DD2B3" w:rsidR="00611CB9" w:rsidRPr="00611CB9" w:rsidRDefault="00000000" w:rsidP="00611CB9">
          <w:pPr>
            <w:pStyle w:val="TOC2"/>
            <w:rPr>
              <w:rFonts w:ascii="Arial" w:eastAsiaTheme="minorEastAsia" w:hAnsi="Arial" w:cs="Arial"/>
              <w:noProof/>
              <w:lang w:eastAsia="en-IN"/>
            </w:rPr>
          </w:pPr>
          <w:hyperlink w:anchor="_Toc235474572" w:history="1">
            <w:r w:rsidR="00611CB9" w:rsidRPr="00611CB9">
              <w:rPr>
                <w:rStyle w:val="Hyperlink"/>
                <w:rFonts w:ascii="Arial" w:hAnsi="Arial" w:cs="Arial"/>
                <w:noProof/>
              </w:rPr>
              <w:t>1.6 Critical evaluation of sector liquidity and structural risks</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_Toc235474572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7</w:t>
            </w:r>
            <w:r w:rsidR="00611CB9" w:rsidRPr="00611CB9">
              <w:rPr>
                <w:rFonts w:ascii="Arial" w:hAnsi="Arial" w:cs="Arial"/>
                <w:noProof/>
                <w:webHidden/>
              </w:rPr>
              <w:fldChar w:fldCharType="end"/>
            </w:r>
          </w:hyperlink>
        </w:p>
        <w:p w14:paraId="7033D86A" w14:textId="0140E553" w:rsidR="00611CB9" w:rsidRPr="00611CB9" w:rsidRDefault="00000000">
          <w:pPr>
            <w:pStyle w:val="TOC1"/>
            <w:tabs>
              <w:tab w:val="right" w:leader="dot" w:pos="9016"/>
            </w:tabs>
            <w:rPr>
              <w:rFonts w:ascii="Arial" w:eastAsiaTheme="minorEastAsia" w:hAnsi="Arial" w:cs="Arial"/>
              <w:noProof/>
              <w:lang w:eastAsia="en-IN"/>
            </w:rPr>
          </w:pPr>
          <w:hyperlink w:anchor="_Toc235474573" w:history="1">
            <w:r w:rsidR="00611CB9" w:rsidRPr="00611CB9">
              <w:rPr>
                <w:rStyle w:val="Hyperlink"/>
                <w:rFonts w:ascii="Arial" w:hAnsi="Arial" w:cs="Arial"/>
                <w:noProof/>
              </w:rPr>
              <w:t>2 Working Capital Management Analysis</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_Toc235474573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8</w:t>
            </w:r>
            <w:r w:rsidR="00611CB9" w:rsidRPr="00611CB9">
              <w:rPr>
                <w:rFonts w:ascii="Arial" w:hAnsi="Arial" w:cs="Arial"/>
                <w:noProof/>
                <w:webHidden/>
              </w:rPr>
              <w:fldChar w:fldCharType="end"/>
            </w:r>
          </w:hyperlink>
        </w:p>
        <w:p w14:paraId="10024CED" w14:textId="6BCB9532" w:rsidR="00611CB9" w:rsidRPr="00611CB9" w:rsidRDefault="00000000" w:rsidP="00611CB9">
          <w:pPr>
            <w:pStyle w:val="TOC2"/>
            <w:rPr>
              <w:rFonts w:ascii="Arial" w:eastAsiaTheme="minorEastAsia" w:hAnsi="Arial" w:cs="Arial"/>
              <w:noProof/>
              <w:lang w:eastAsia="en-IN"/>
            </w:rPr>
          </w:pPr>
          <w:hyperlink w:anchor="_Toc235474574" w:history="1">
            <w:r w:rsidR="00611CB9" w:rsidRPr="00611CB9">
              <w:rPr>
                <w:rStyle w:val="Hyperlink"/>
                <w:rFonts w:ascii="Arial" w:hAnsi="Arial" w:cs="Arial"/>
                <w:noProof/>
              </w:rPr>
              <w:t>2.1 Cash Operating Cycle Assessment</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_Toc235474574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8</w:t>
            </w:r>
            <w:r w:rsidR="00611CB9" w:rsidRPr="00611CB9">
              <w:rPr>
                <w:rFonts w:ascii="Arial" w:hAnsi="Arial" w:cs="Arial"/>
                <w:noProof/>
                <w:webHidden/>
              </w:rPr>
              <w:fldChar w:fldCharType="end"/>
            </w:r>
          </w:hyperlink>
        </w:p>
        <w:p w14:paraId="434DE1A9" w14:textId="177FB658" w:rsidR="00611CB9" w:rsidRPr="00611CB9" w:rsidRDefault="00000000" w:rsidP="00611CB9">
          <w:pPr>
            <w:pStyle w:val="TOC2"/>
            <w:rPr>
              <w:rFonts w:ascii="Arial" w:eastAsiaTheme="minorEastAsia" w:hAnsi="Arial" w:cs="Arial"/>
              <w:noProof/>
              <w:lang w:eastAsia="en-IN"/>
            </w:rPr>
          </w:pPr>
          <w:hyperlink w:anchor="_Toc235474575" w:history="1">
            <w:r w:rsidR="00611CB9" w:rsidRPr="00611CB9">
              <w:rPr>
                <w:rStyle w:val="Hyperlink"/>
                <w:rFonts w:ascii="Arial" w:hAnsi="Arial" w:cs="Arial"/>
                <w:noProof/>
              </w:rPr>
              <w:t>2.2 Strategies for working capital reform</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_Toc235474575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9</w:t>
            </w:r>
            <w:r w:rsidR="00611CB9" w:rsidRPr="00611CB9">
              <w:rPr>
                <w:rFonts w:ascii="Arial" w:hAnsi="Arial" w:cs="Arial"/>
                <w:noProof/>
                <w:webHidden/>
              </w:rPr>
              <w:fldChar w:fldCharType="end"/>
            </w:r>
          </w:hyperlink>
        </w:p>
        <w:p w14:paraId="1DD6E7C3" w14:textId="54706657" w:rsidR="00611CB9" w:rsidRPr="00611CB9" w:rsidRDefault="00000000" w:rsidP="00611CB9">
          <w:pPr>
            <w:pStyle w:val="TOC2"/>
            <w:rPr>
              <w:rFonts w:ascii="Arial" w:eastAsiaTheme="minorEastAsia" w:hAnsi="Arial" w:cs="Arial"/>
              <w:noProof/>
              <w:lang w:eastAsia="en-IN"/>
            </w:rPr>
          </w:pPr>
          <w:hyperlink w:anchor="_Toc235474576" w:history="1">
            <w:r w:rsidR="00611CB9" w:rsidRPr="00611CB9">
              <w:rPr>
                <w:rStyle w:val="Hyperlink"/>
                <w:rFonts w:ascii="Arial" w:hAnsi="Arial" w:cs="Arial"/>
                <w:noProof/>
              </w:rPr>
              <w:t>2.3 Financing options: Short-term v/s Long-term</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_Toc235474576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10</w:t>
            </w:r>
            <w:r w:rsidR="00611CB9" w:rsidRPr="00611CB9">
              <w:rPr>
                <w:rFonts w:ascii="Arial" w:hAnsi="Arial" w:cs="Arial"/>
                <w:noProof/>
                <w:webHidden/>
              </w:rPr>
              <w:fldChar w:fldCharType="end"/>
            </w:r>
          </w:hyperlink>
        </w:p>
        <w:p w14:paraId="5885F5BC" w14:textId="2E636177" w:rsidR="00611CB9" w:rsidRPr="00611CB9" w:rsidRDefault="00000000">
          <w:pPr>
            <w:pStyle w:val="TOC1"/>
            <w:tabs>
              <w:tab w:val="right" w:leader="dot" w:pos="9016"/>
            </w:tabs>
            <w:rPr>
              <w:rFonts w:ascii="Arial" w:eastAsiaTheme="minorEastAsia" w:hAnsi="Arial" w:cs="Arial"/>
              <w:noProof/>
              <w:lang w:eastAsia="en-IN"/>
            </w:rPr>
          </w:pPr>
          <w:hyperlink w:anchor="_Toc235474577" w:history="1">
            <w:r w:rsidR="00611CB9" w:rsidRPr="00611CB9">
              <w:rPr>
                <w:rStyle w:val="Hyperlink"/>
                <w:rFonts w:ascii="Arial" w:hAnsi="Arial" w:cs="Arial"/>
                <w:noProof/>
              </w:rPr>
              <w:t>3 Strategic Financial Restructuring Plan</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_Toc235474577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11</w:t>
            </w:r>
            <w:r w:rsidR="00611CB9" w:rsidRPr="00611CB9">
              <w:rPr>
                <w:rFonts w:ascii="Arial" w:hAnsi="Arial" w:cs="Arial"/>
                <w:noProof/>
                <w:webHidden/>
              </w:rPr>
              <w:fldChar w:fldCharType="end"/>
            </w:r>
          </w:hyperlink>
        </w:p>
        <w:p w14:paraId="26311B98" w14:textId="2A15DFC5" w:rsidR="00611CB9" w:rsidRPr="00611CB9" w:rsidRDefault="00000000" w:rsidP="00611CB9">
          <w:pPr>
            <w:pStyle w:val="TOC2"/>
            <w:rPr>
              <w:rFonts w:ascii="Arial" w:eastAsiaTheme="minorEastAsia" w:hAnsi="Arial" w:cs="Arial"/>
              <w:noProof/>
              <w:lang w:eastAsia="en-IN"/>
            </w:rPr>
          </w:pPr>
          <w:hyperlink w:anchor="_Toc235474578" w:history="1">
            <w:r w:rsidR="00611CB9" w:rsidRPr="00611CB9">
              <w:rPr>
                <w:rStyle w:val="Hyperlink"/>
                <w:rFonts w:ascii="Arial" w:hAnsi="Arial" w:cs="Arial"/>
                <w:noProof/>
              </w:rPr>
              <w:t>3.1 Recommended corporate restructuring: Asset-light divestiture</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_Toc235474578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12</w:t>
            </w:r>
            <w:r w:rsidR="00611CB9" w:rsidRPr="00611CB9">
              <w:rPr>
                <w:rFonts w:ascii="Arial" w:hAnsi="Arial" w:cs="Arial"/>
                <w:noProof/>
                <w:webHidden/>
              </w:rPr>
              <w:fldChar w:fldCharType="end"/>
            </w:r>
          </w:hyperlink>
        </w:p>
        <w:p w14:paraId="44FC5815" w14:textId="50CF767A" w:rsidR="00611CB9" w:rsidRPr="00611CB9" w:rsidRDefault="00000000" w:rsidP="00611CB9">
          <w:pPr>
            <w:pStyle w:val="TOC2"/>
            <w:rPr>
              <w:rFonts w:ascii="Arial" w:eastAsiaTheme="minorEastAsia" w:hAnsi="Arial" w:cs="Arial"/>
              <w:noProof/>
              <w:lang w:eastAsia="en-IN"/>
            </w:rPr>
          </w:pPr>
          <w:hyperlink w:anchor="_Toc235474579" w:history="1">
            <w:r w:rsidR="00611CB9" w:rsidRPr="00611CB9">
              <w:rPr>
                <w:rStyle w:val="Hyperlink"/>
                <w:rFonts w:ascii="Arial" w:hAnsi="Arial" w:cs="Arial"/>
                <w:noProof/>
              </w:rPr>
              <w:t>3.2 Capital impact evaluation</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_Toc235474579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12</w:t>
            </w:r>
            <w:r w:rsidR="00611CB9" w:rsidRPr="00611CB9">
              <w:rPr>
                <w:rFonts w:ascii="Arial" w:hAnsi="Arial" w:cs="Arial"/>
                <w:noProof/>
                <w:webHidden/>
              </w:rPr>
              <w:fldChar w:fldCharType="end"/>
            </w:r>
          </w:hyperlink>
        </w:p>
        <w:p w14:paraId="1FCBEA82" w14:textId="3B9DF47F" w:rsidR="00611CB9" w:rsidRPr="00611CB9" w:rsidRDefault="00000000" w:rsidP="00611CB9">
          <w:pPr>
            <w:pStyle w:val="TOC2"/>
            <w:rPr>
              <w:rFonts w:ascii="Arial" w:eastAsiaTheme="minorEastAsia" w:hAnsi="Arial" w:cs="Arial"/>
              <w:noProof/>
              <w:lang w:eastAsia="en-IN"/>
            </w:rPr>
          </w:pPr>
          <w:hyperlink w:anchor="_Toc235474580" w:history="1">
            <w:r w:rsidR="00611CB9" w:rsidRPr="00611CB9">
              <w:rPr>
                <w:rStyle w:val="Hyperlink"/>
                <w:rFonts w:ascii="Arial" w:hAnsi="Arial" w:cs="Arial"/>
                <w:noProof/>
              </w:rPr>
              <w:t>3.3 International and Ethical Considerations</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_Toc235474580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13</w:t>
            </w:r>
            <w:r w:rsidR="00611CB9" w:rsidRPr="00611CB9">
              <w:rPr>
                <w:rFonts w:ascii="Arial" w:hAnsi="Arial" w:cs="Arial"/>
                <w:noProof/>
                <w:webHidden/>
              </w:rPr>
              <w:fldChar w:fldCharType="end"/>
            </w:r>
          </w:hyperlink>
        </w:p>
        <w:p w14:paraId="6CF03EA3" w14:textId="2AE247A6" w:rsidR="00611CB9" w:rsidRPr="00611CB9" w:rsidRDefault="00000000">
          <w:pPr>
            <w:pStyle w:val="TOC1"/>
            <w:tabs>
              <w:tab w:val="right" w:leader="dot" w:pos="9016"/>
            </w:tabs>
            <w:rPr>
              <w:rFonts w:ascii="Arial" w:eastAsiaTheme="minorEastAsia" w:hAnsi="Arial" w:cs="Arial"/>
              <w:noProof/>
              <w:lang w:eastAsia="en-IN"/>
            </w:rPr>
          </w:pPr>
          <w:hyperlink w:anchor="_Toc235474581" w:history="1">
            <w:r w:rsidR="00611CB9" w:rsidRPr="00611CB9">
              <w:rPr>
                <w:rStyle w:val="Hyperlink"/>
                <w:rFonts w:ascii="Arial" w:hAnsi="Arial" w:cs="Arial"/>
                <w:noProof/>
              </w:rPr>
              <w:t>4. Investment Appraisal and Capital Budgeting</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_Toc235474581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14</w:t>
            </w:r>
            <w:r w:rsidR="00611CB9" w:rsidRPr="00611CB9">
              <w:rPr>
                <w:rFonts w:ascii="Arial" w:hAnsi="Arial" w:cs="Arial"/>
                <w:noProof/>
                <w:webHidden/>
              </w:rPr>
              <w:fldChar w:fldCharType="end"/>
            </w:r>
          </w:hyperlink>
        </w:p>
        <w:p w14:paraId="579FE302" w14:textId="3FA96577" w:rsidR="00611CB9" w:rsidRPr="00611CB9" w:rsidRDefault="00000000" w:rsidP="00611CB9">
          <w:pPr>
            <w:pStyle w:val="TOC2"/>
            <w:rPr>
              <w:rFonts w:ascii="Arial" w:eastAsiaTheme="minorEastAsia" w:hAnsi="Arial" w:cs="Arial"/>
              <w:noProof/>
              <w:lang w:eastAsia="en-IN"/>
            </w:rPr>
          </w:pPr>
          <w:hyperlink w:anchor="_Toc235474582" w:history="1">
            <w:r w:rsidR="00611CB9" w:rsidRPr="00611CB9">
              <w:rPr>
                <w:rStyle w:val="Hyperlink"/>
                <w:rFonts w:ascii="Arial" w:hAnsi="Arial" w:cs="Arial"/>
                <w:noProof/>
              </w:rPr>
              <w:t>4.1 Numerical Methods and Calculations</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_Toc235474582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14</w:t>
            </w:r>
            <w:r w:rsidR="00611CB9" w:rsidRPr="00611CB9">
              <w:rPr>
                <w:rFonts w:ascii="Arial" w:hAnsi="Arial" w:cs="Arial"/>
                <w:noProof/>
                <w:webHidden/>
              </w:rPr>
              <w:fldChar w:fldCharType="end"/>
            </w:r>
          </w:hyperlink>
        </w:p>
        <w:p w14:paraId="2BD49DDE" w14:textId="698CA689" w:rsidR="00611CB9" w:rsidRPr="00611CB9" w:rsidRDefault="00000000" w:rsidP="00611CB9">
          <w:pPr>
            <w:pStyle w:val="TOC2"/>
            <w:rPr>
              <w:rFonts w:ascii="Arial" w:eastAsiaTheme="minorEastAsia" w:hAnsi="Arial" w:cs="Arial"/>
              <w:noProof/>
              <w:lang w:eastAsia="en-IN"/>
            </w:rPr>
          </w:pPr>
          <w:hyperlink w:anchor="_Toc235474583" w:history="1">
            <w:r w:rsidR="00611CB9" w:rsidRPr="00611CB9">
              <w:rPr>
                <w:rStyle w:val="Hyperlink"/>
                <w:rFonts w:ascii="Arial" w:hAnsi="Arial" w:cs="Arial"/>
                <w:noProof/>
              </w:rPr>
              <w:t>4.2 Capital Project Inflow Model</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_Toc235474583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14</w:t>
            </w:r>
            <w:r w:rsidR="00611CB9" w:rsidRPr="00611CB9">
              <w:rPr>
                <w:rFonts w:ascii="Arial" w:hAnsi="Arial" w:cs="Arial"/>
                <w:noProof/>
                <w:webHidden/>
              </w:rPr>
              <w:fldChar w:fldCharType="end"/>
            </w:r>
          </w:hyperlink>
        </w:p>
        <w:p w14:paraId="16B914D5" w14:textId="7FF3884C" w:rsidR="00611CB9" w:rsidRPr="00611CB9" w:rsidRDefault="00000000" w:rsidP="00611CB9">
          <w:pPr>
            <w:pStyle w:val="TOC2"/>
            <w:rPr>
              <w:rFonts w:ascii="Arial" w:eastAsiaTheme="minorEastAsia" w:hAnsi="Arial" w:cs="Arial"/>
              <w:noProof/>
              <w:lang w:eastAsia="en-IN"/>
            </w:rPr>
          </w:pPr>
          <w:hyperlink w:anchor="_Toc235474584" w:history="1">
            <w:r w:rsidR="00611CB9" w:rsidRPr="00611CB9">
              <w:rPr>
                <w:rStyle w:val="Hyperlink"/>
                <w:rFonts w:ascii="Arial" w:hAnsi="Arial" w:cs="Arial"/>
                <w:noProof/>
              </w:rPr>
              <w:t>4.3 Detailed Project Evaluations</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_Toc235474584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15</w:t>
            </w:r>
            <w:r w:rsidR="00611CB9" w:rsidRPr="00611CB9">
              <w:rPr>
                <w:rFonts w:ascii="Arial" w:hAnsi="Arial" w:cs="Arial"/>
                <w:noProof/>
                <w:webHidden/>
              </w:rPr>
              <w:fldChar w:fldCharType="end"/>
            </w:r>
          </w:hyperlink>
        </w:p>
        <w:p w14:paraId="5560F848" w14:textId="4CFB696D" w:rsidR="00611CB9" w:rsidRPr="00611CB9" w:rsidRDefault="00000000" w:rsidP="00611CB9">
          <w:pPr>
            <w:pStyle w:val="TOC2"/>
            <w:rPr>
              <w:rFonts w:ascii="Arial" w:eastAsiaTheme="minorEastAsia" w:hAnsi="Arial" w:cs="Arial"/>
              <w:noProof/>
              <w:lang w:eastAsia="en-IN"/>
            </w:rPr>
          </w:pPr>
          <w:hyperlink w:anchor="_Toc235474585" w:history="1">
            <w:r w:rsidR="00611CB9" w:rsidRPr="00611CB9">
              <w:rPr>
                <w:rStyle w:val="Hyperlink"/>
                <w:rFonts w:ascii="Arial" w:hAnsi="Arial" w:cs="Arial"/>
                <w:noProof/>
              </w:rPr>
              <w:t>1. Project A</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_Toc235474585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15</w:t>
            </w:r>
            <w:r w:rsidR="00611CB9" w:rsidRPr="00611CB9">
              <w:rPr>
                <w:rFonts w:ascii="Arial" w:hAnsi="Arial" w:cs="Arial"/>
                <w:noProof/>
                <w:webHidden/>
              </w:rPr>
              <w:fldChar w:fldCharType="end"/>
            </w:r>
          </w:hyperlink>
        </w:p>
        <w:p w14:paraId="0421D83F" w14:textId="3167DE29" w:rsidR="00611CB9" w:rsidRPr="00611CB9" w:rsidRDefault="00000000" w:rsidP="00611CB9">
          <w:pPr>
            <w:pStyle w:val="TOC2"/>
            <w:rPr>
              <w:rFonts w:ascii="Arial" w:eastAsiaTheme="minorEastAsia" w:hAnsi="Arial" w:cs="Arial"/>
              <w:noProof/>
              <w:lang w:eastAsia="en-IN"/>
            </w:rPr>
          </w:pPr>
          <w:hyperlink w:anchor="_Toc235474586" w:history="1">
            <w:r w:rsidR="00611CB9" w:rsidRPr="00611CB9">
              <w:rPr>
                <w:rStyle w:val="Hyperlink"/>
                <w:rFonts w:ascii="Arial" w:hAnsi="Arial" w:cs="Arial"/>
                <w:noProof/>
              </w:rPr>
              <w:t>Project A has an unequal, front-loaded cash flow structure; it generates high inflows in later years before falling in Year 5.</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_Toc235474586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15</w:t>
            </w:r>
            <w:r w:rsidR="00611CB9" w:rsidRPr="00611CB9">
              <w:rPr>
                <w:rFonts w:ascii="Arial" w:hAnsi="Arial" w:cs="Arial"/>
                <w:noProof/>
                <w:webHidden/>
              </w:rPr>
              <w:fldChar w:fldCharType="end"/>
            </w:r>
          </w:hyperlink>
        </w:p>
        <w:p w14:paraId="2171A68E" w14:textId="59D86446" w:rsidR="00611CB9" w:rsidRPr="00611CB9" w:rsidRDefault="00000000" w:rsidP="00611CB9">
          <w:pPr>
            <w:pStyle w:val="TOC2"/>
            <w:rPr>
              <w:rFonts w:ascii="Arial" w:eastAsiaTheme="minorEastAsia" w:hAnsi="Arial" w:cs="Arial"/>
              <w:noProof/>
              <w:lang w:eastAsia="en-IN"/>
            </w:rPr>
          </w:pPr>
          <w:hyperlink w:anchor="_Toc235474587" w:history="1">
            <w:r w:rsidR="00611CB9" w:rsidRPr="00611CB9">
              <w:rPr>
                <w:rStyle w:val="Hyperlink"/>
                <w:rFonts w:ascii="Arial" w:hAnsi="Arial" w:cs="Arial"/>
                <w:noProof/>
              </w:rPr>
              <w:t>4.4 Capital Budgeting Summary Matrix</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_Toc235474587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19</w:t>
            </w:r>
            <w:r w:rsidR="00611CB9" w:rsidRPr="00611CB9">
              <w:rPr>
                <w:rFonts w:ascii="Arial" w:hAnsi="Arial" w:cs="Arial"/>
                <w:noProof/>
                <w:webHidden/>
              </w:rPr>
              <w:fldChar w:fldCharType="end"/>
            </w:r>
          </w:hyperlink>
        </w:p>
        <w:p w14:paraId="200F5BDF" w14:textId="56AE5444" w:rsidR="00611CB9" w:rsidRPr="00611CB9" w:rsidRDefault="00000000" w:rsidP="00611CB9">
          <w:pPr>
            <w:pStyle w:val="TOC2"/>
            <w:rPr>
              <w:rFonts w:ascii="Arial" w:eastAsiaTheme="minorEastAsia" w:hAnsi="Arial" w:cs="Arial"/>
              <w:noProof/>
              <w:lang w:eastAsia="en-IN"/>
            </w:rPr>
          </w:pPr>
          <w:hyperlink w:anchor="_Toc235474588" w:history="1">
            <w:r w:rsidR="00611CB9" w:rsidRPr="00611CB9">
              <w:rPr>
                <w:rStyle w:val="Hyperlink"/>
                <w:rFonts w:ascii="Arial" w:hAnsi="Arial" w:cs="Arial"/>
                <w:noProof/>
              </w:rPr>
              <w:t>4.5 Strategic Recommendation and Justification</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_Toc235474588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20</w:t>
            </w:r>
            <w:r w:rsidR="00611CB9" w:rsidRPr="00611CB9">
              <w:rPr>
                <w:rFonts w:ascii="Arial" w:hAnsi="Arial" w:cs="Arial"/>
                <w:noProof/>
                <w:webHidden/>
              </w:rPr>
              <w:fldChar w:fldCharType="end"/>
            </w:r>
          </w:hyperlink>
        </w:p>
        <w:p w14:paraId="08443C07" w14:textId="4E392CA6" w:rsidR="00611CB9" w:rsidRPr="00611CB9" w:rsidRDefault="00000000" w:rsidP="00611CB9">
          <w:pPr>
            <w:pStyle w:val="TOC2"/>
            <w:rPr>
              <w:rFonts w:ascii="Arial" w:eastAsiaTheme="minorEastAsia" w:hAnsi="Arial" w:cs="Arial"/>
              <w:noProof/>
              <w:lang w:eastAsia="en-IN"/>
            </w:rPr>
          </w:pPr>
          <w:hyperlink w:anchor="_Toc235474589" w:history="1">
            <w:r w:rsidR="00611CB9" w:rsidRPr="00611CB9">
              <w:rPr>
                <w:rStyle w:val="Hyperlink"/>
                <w:rFonts w:ascii="Arial" w:hAnsi="Arial" w:cs="Arial"/>
                <w:noProof/>
              </w:rPr>
              <w:t>4.6 Capital Rationing</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_Toc235474589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21</w:t>
            </w:r>
            <w:r w:rsidR="00611CB9" w:rsidRPr="00611CB9">
              <w:rPr>
                <w:rFonts w:ascii="Arial" w:hAnsi="Arial" w:cs="Arial"/>
                <w:noProof/>
                <w:webHidden/>
              </w:rPr>
              <w:fldChar w:fldCharType="end"/>
            </w:r>
          </w:hyperlink>
        </w:p>
        <w:p w14:paraId="3CBF8CFE" w14:textId="0657F464" w:rsidR="00611CB9" w:rsidRPr="00611CB9" w:rsidRDefault="00000000">
          <w:pPr>
            <w:pStyle w:val="TOC1"/>
            <w:tabs>
              <w:tab w:val="right" w:leader="dot" w:pos="9016"/>
            </w:tabs>
            <w:rPr>
              <w:rFonts w:ascii="Arial" w:eastAsiaTheme="minorEastAsia" w:hAnsi="Arial" w:cs="Arial"/>
              <w:noProof/>
              <w:lang w:eastAsia="en-IN"/>
            </w:rPr>
          </w:pPr>
          <w:hyperlink w:anchor="_Toc235474590" w:history="1">
            <w:r w:rsidR="00611CB9" w:rsidRPr="00611CB9">
              <w:rPr>
                <w:rStyle w:val="Hyperlink"/>
                <w:rFonts w:ascii="Arial" w:hAnsi="Arial" w:cs="Arial"/>
                <w:noProof/>
              </w:rPr>
              <w:t>5 Critical evaluation on AI usage</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_Toc235474590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21</w:t>
            </w:r>
            <w:r w:rsidR="00611CB9" w:rsidRPr="00611CB9">
              <w:rPr>
                <w:rFonts w:ascii="Arial" w:hAnsi="Arial" w:cs="Arial"/>
                <w:noProof/>
                <w:webHidden/>
              </w:rPr>
              <w:fldChar w:fldCharType="end"/>
            </w:r>
          </w:hyperlink>
        </w:p>
        <w:p w14:paraId="1B90CBCF" w14:textId="08B713DD" w:rsidR="00611CB9" w:rsidRPr="00611CB9" w:rsidRDefault="00000000" w:rsidP="00611CB9">
          <w:pPr>
            <w:pStyle w:val="TOC2"/>
            <w:rPr>
              <w:rFonts w:ascii="Arial" w:eastAsiaTheme="minorEastAsia" w:hAnsi="Arial" w:cs="Arial"/>
              <w:noProof/>
              <w:lang w:eastAsia="en-IN"/>
            </w:rPr>
          </w:pPr>
          <w:hyperlink w:anchor="_Toc235474591" w:history="1">
            <w:r w:rsidR="00611CB9" w:rsidRPr="00611CB9">
              <w:rPr>
                <w:rStyle w:val="Hyperlink"/>
                <w:rFonts w:ascii="Arial" w:hAnsi="Arial" w:cs="Arial"/>
                <w:noProof/>
              </w:rPr>
              <w:t>5.1 Tool Disclosure</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_Toc235474591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21</w:t>
            </w:r>
            <w:r w:rsidR="00611CB9" w:rsidRPr="00611CB9">
              <w:rPr>
                <w:rFonts w:ascii="Arial" w:hAnsi="Arial" w:cs="Arial"/>
                <w:noProof/>
                <w:webHidden/>
              </w:rPr>
              <w:fldChar w:fldCharType="end"/>
            </w:r>
          </w:hyperlink>
        </w:p>
        <w:p w14:paraId="1CE78E61" w14:textId="76E75382" w:rsidR="00611CB9" w:rsidRPr="00611CB9" w:rsidRDefault="00000000" w:rsidP="00611CB9">
          <w:pPr>
            <w:pStyle w:val="TOC2"/>
            <w:rPr>
              <w:rFonts w:ascii="Arial" w:eastAsiaTheme="minorEastAsia" w:hAnsi="Arial" w:cs="Arial"/>
              <w:noProof/>
              <w:lang w:eastAsia="en-IN"/>
            </w:rPr>
          </w:pPr>
          <w:hyperlink w:anchor="_Toc235474592" w:history="1">
            <w:r w:rsidR="00611CB9" w:rsidRPr="00611CB9">
              <w:rPr>
                <w:rStyle w:val="Hyperlink"/>
                <w:rFonts w:ascii="Arial" w:hAnsi="Arial" w:cs="Arial"/>
                <w:noProof/>
              </w:rPr>
              <w:t>5.2 Critical Evaluation of AI Output</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_Toc235474592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22</w:t>
            </w:r>
            <w:r w:rsidR="00611CB9" w:rsidRPr="00611CB9">
              <w:rPr>
                <w:rFonts w:ascii="Arial" w:hAnsi="Arial" w:cs="Arial"/>
                <w:noProof/>
                <w:webHidden/>
              </w:rPr>
              <w:fldChar w:fldCharType="end"/>
            </w:r>
          </w:hyperlink>
        </w:p>
        <w:p w14:paraId="7A4DF255" w14:textId="566146BF" w:rsidR="00611CB9" w:rsidRPr="00611CB9" w:rsidRDefault="00000000" w:rsidP="00611CB9">
          <w:pPr>
            <w:pStyle w:val="TOC2"/>
            <w:rPr>
              <w:rFonts w:ascii="Arial" w:eastAsiaTheme="minorEastAsia" w:hAnsi="Arial" w:cs="Arial"/>
              <w:noProof/>
              <w:lang w:eastAsia="en-IN"/>
            </w:rPr>
          </w:pPr>
          <w:hyperlink w:anchor="_Toc235474593" w:history="1">
            <w:r w:rsidR="00611CB9" w:rsidRPr="00611CB9">
              <w:rPr>
                <w:rStyle w:val="Hyperlink"/>
                <w:rFonts w:ascii="Arial" w:hAnsi="Arial" w:cs="Arial"/>
                <w:noProof/>
              </w:rPr>
              <w:t>5.3 Contribution Analysis</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_Toc235474593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22</w:t>
            </w:r>
            <w:r w:rsidR="00611CB9" w:rsidRPr="00611CB9">
              <w:rPr>
                <w:rFonts w:ascii="Arial" w:hAnsi="Arial" w:cs="Arial"/>
                <w:noProof/>
                <w:webHidden/>
              </w:rPr>
              <w:fldChar w:fldCharType="end"/>
            </w:r>
          </w:hyperlink>
        </w:p>
        <w:p w14:paraId="1B569194" w14:textId="7DE290F9" w:rsidR="00611CB9" w:rsidRPr="00611CB9" w:rsidRDefault="00000000" w:rsidP="00611CB9">
          <w:pPr>
            <w:pStyle w:val="TOC2"/>
            <w:rPr>
              <w:rFonts w:ascii="Arial" w:eastAsiaTheme="minorEastAsia" w:hAnsi="Arial" w:cs="Arial"/>
              <w:noProof/>
              <w:lang w:eastAsia="en-IN"/>
            </w:rPr>
          </w:pPr>
          <w:hyperlink w:anchor="_Toc235474594" w:history="1">
            <w:r w:rsidR="00611CB9" w:rsidRPr="00611CB9">
              <w:rPr>
                <w:rStyle w:val="Hyperlink"/>
                <w:rFonts w:ascii="Arial" w:hAnsi="Arial" w:cs="Arial"/>
                <w:noProof/>
              </w:rPr>
              <w:t>5.4 Ethical and Professional Reflection</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_Toc235474594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23</w:t>
            </w:r>
            <w:r w:rsidR="00611CB9" w:rsidRPr="00611CB9">
              <w:rPr>
                <w:rFonts w:ascii="Arial" w:hAnsi="Arial" w:cs="Arial"/>
                <w:noProof/>
                <w:webHidden/>
              </w:rPr>
              <w:fldChar w:fldCharType="end"/>
            </w:r>
          </w:hyperlink>
        </w:p>
        <w:p w14:paraId="631BA76A" w14:textId="7DA31A9B" w:rsidR="00611CB9" w:rsidRPr="00611CB9" w:rsidRDefault="00000000">
          <w:pPr>
            <w:pStyle w:val="TOC1"/>
            <w:tabs>
              <w:tab w:val="right" w:leader="dot" w:pos="9016"/>
            </w:tabs>
            <w:rPr>
              <w:rFonts w:ascii="Arial" w:eastAsiaTheme="minorEastAsia" w:hAnsi="Arial" w:cs="Arial"/>
              <w:noProof/>
              <w:lang w:eastAsia="en-IN"/>
            </w:rPr>
          </w:pPr>
          <w:hyperlink w:anchor="_Toc235474595" w:history="1">
            <w:r w:rsidR="00611CB9" w:rsidRPr="00611CB9">
              <w:rPr>
                <w:rStyle w:val="Hyperlink"/>
                <w:rFonts w:ascii="Arial" w:hAnsi="Arial" w:cs="Arial"/>
                <w:noProof/>
              </w:rPr>
              <w:t>References</w:t>
            </w:r>
            <w:r w:rsidR="00611CB9" w:rsidRPr="00611CB9">
              <w:rPr>
                <w:rFonts w:ascii="Arial" w:hAnsi="Arial" w:cs="Arial"/>
                <w:noProof/>
                <w:webHidden/>
              </w:rPr>
              <w:tab/>
            </w:r>
            <w:r w:rsidR="00611CB9" w:rsidRPr="00611CB9">
              <w:rPr>
                <w:rFonts w:ascii="Arial" w:hAnsi="Arial" w:cs="Arial"/>
                <w:noProof/>
                <w:webHidden/>
              </w:rPr>
              <w:fldChar w:fldCharType="begin"/>
            </w:r>
            <w:r w:rsidR="00611CB9" w:rsidRPr="00611CB9">
              <w:rPr>
                <w:rFonts w:ascii="Arial" w:hAnsi="Arial" w:cs="Arial"/>
                <w:noProof/>
                <w:webHidden/>
              </w:rPr>
              <w:instrText xml:space="preserve"> PAGEREF _Toc235474595 \h </w:instrText>
            </w:r>
            <w:r w:rsidR="00611CB9" w:rsidRPr="00611CB9">
              <w:rPr>
                <w:rFonts w:ascii="Arial" w:hAnsi="Arial" w:cs="Arial"/>
                <w:noProof/>
                <w:webHidden/>
              </w:rPr>
            </w:r>
            <w:r w:rsidR="00611CB9" w:rsidRPr="00611CB9">
              <w:rPr>
                <w:rFonts w:ascii="Arial" w:hAnsi="Arial" w:cs="Arial"/>
                <w:noProof/>
                <w:webHidden/>
              </w:rPr>
              <w:fldChar w:fldCharType="separate"/>
            </w:r>
            <w:r w:rsidR="00611CB9" w:rsidRPr="00611CB9">
              <w:rPr>
                <w:rFonts w:ascii="Arial" w:hAnsi="Arial" w:cs="Arial"/>
                <w:noProof/>
                <w:webHidden/>
              </w:rPr>
              <w:t>24</w:t>
            </w:r>
            <w:r w:rsidR="00611CB9" w:rsidRPr="00611CB9">
              <w:rPr>
                <w:rFonts w:ascii="Arial" w:hAnsi="Arial" w:cs="Arial"/>
                <w:noProof/>
                <w:webHidden/>
              </w:rPr>
              <w:fldChar w:fldCharType="end"/>
            </w:r>
          </w:hyperlink>
        </w:p>
        <w:p w14:paraId="13421060" w14:textId="7540ACA8" w:rsidR="00611CB9" w:rsidRPr="00611CB9" w:rsidRDefault="00611CB9">
          <w:pPr>
            <w:rPr>
              <w:rFonts w:ascii="Arial" w:hAnsi="Arial" w:cs="Arial"/>
            </w:rPr>
          </w:pPr>
          <w:r w:rsidRPr="00611CB9">
            <w:rPr>
              <w:rFonts w:ascii="Arial" w:hAnsi="Arial" w:cs="Arial"/>
              <w:b/>
              <w:bCs/>
              <w:noProof/>
            </w:rPr>
            <w:fldChar w:fldCharType="end"/>
          </w:r>
        </w:p>
      </w:sdtContent>
    </w:sdt>
    <w:p w14:paraId="4FA39479" w14:textId="77777777" w:rsidR="00EC6E54" w:rsidRPr="00611CB9" w:rsidRDefault="00EC6E54" w:rsidP="00A7362D">
      <w:pPr>
        <w:spacing w:line="360" w:lineRule="auto"/>
        <w:rPr>
          <w:rFonts w:ascii="Arial" w:hAnsi="Arial" w:cs="Arial"/>
        </w:rPr>
      </w:pPr>
      <w:r w:rsidRPr="00611CB9">
        <w:rPr>
          <w:rFonts w:ascii="Arial" w:hAnsi="Arial" w:cs="Arial"/>
        </w:rPr>
        <w:br w:type="page"/>
      </w:r>
    </w:p>
    <w:p w14:paraId="6FF7343B" w14:textId="5A218476" w:rsidR="00EC6E54" w:rsidRPr="00611CB9" w:rsidRDefault="00EC6E54" w:rsidP="00A7362D">
      <w:pPr>
        <w:pStyle w:val="Heading1"/>
        <w:rPr>
          <w:rFonts w:ascii="Arial" w:hAnsi="Arial" w:cs="Arial"/>
        </w:rPr>
      </w:pPr>
      <w:bookmarkStart w:id="0" w:name="_Toc235474565"/>
      <w:r w:rsidRPr="00611CB9">
        <w:rPr>
          <w:rFonts w:ascii="Arial" w:hAnsi="Arial" w:cs="Arial"/>
        </w:rPr>
        <w:lastRenderedPageBreak/>
        <w:t>Introduction</w:t>
      </w:r>
      <w:bookmarkEnd w:id="0"/>
      <w:r w:rsidRPr="00611CB9">
        <w:rPr>
          <w:rFonts w:ascii="Arial" w:hAnsi="Arial" w:cs="Arial"/>
        </w:rPr>
        <w:t xml:space="preserve"> </w:t>
      </w:r>
    </w:p>
    <w:p w14:paraId="29446FB6" w14:textId="3E5FE22E" w:rsidR="001E3A83" w:rsidRPr="00611CB9" w:rsidRDefault="00BB09B7" w:rsidP="00A7362D">
      <w:pPr>
        <w:spacing w:line="360" w:lineRule="auto"/>
        <w:rPr>
          <w:rFonts w:ascii="Arial" w:hAnsi="Arial" w:cs="Arial"/>
        </w:rPr>
      </w:pPr>
      <w:r w:rsidRPr="00611CB9">
        <w:rPr>
          <w:rFonts w:ascii="Arial" w:hAnsi="Arial" w:cs="Arial"/>
        </w:rPr>
        <w:t xml:space="preserve">As the Chief Financial Officer of the Hyatt Hotels Corporation, this report includes </w:t>
      </w:r>
      <w:r w:rsidR="00A677F3" w:rsidRPr="00611CB9">
        <w:rPr>
          <w:rFonts w:ascii="Arial" w:hAnsi="Arial" w:cs="Arial"/>
        </w:rPr>
        <w:t>a</w:t>
      </w:r>
      <w:r w:rsidRPr="00611CB9">
        <w:rPr>
          <w:rFonts w:ascii="Arial" w:hAnsi="Arial" w:cs="Arial"/>
        </w:rPr>
        <w:t xml:space="preserve"> comprehensive financial evaluation of the performance of the group between the </w:t>
      </w:r>
      <w:r w:rsidR="00A677F3" w:rsidRPr="00611CB9">
        <w:rPr>
          <w:rFonts w:ascii="Arial" w:hAnsi="Arial" w:cs="Arial"/>
        </w:rPr>
        <w:t>years</w:t>
      </w:r>
      <w:r w:rsidRPr="00611CB9">
        <w:rPr>
          <w:rFonts w:ascii="Arial" w:hAnsi="Arial" w:cs="Arial"/>
        </w:rPr>
        <w:t xml:space="preserve"> 2021 and 2025, charting its strategic recovery and expansion in the </w:t>
      </w:r>
      <w:r w:rsidR="00A677F3" w:rsidRPr="00611CB9">
        <w:rPr>
          <w:rFonts w:ascii="Arial" w:hAnsi="Arial" w:cs="Arial"/>
        </w:rPr>
        <w:t>post-pandemic</w:t>
      </w:r>
      <w:r w:rsidRPr="00611CB9">
        <w:rPr>
          <w:rFonts w:ascii="Arial" w:hAnsi="Arial" w:cs="Arial"/>
        </w:rPr>
        <w:t xml:space="preserve"> international hospitality market. Amid the global macroeconomic volatility, shifting consumer demands and inflationary pressures, this analysis offers </w:t>
      </w:r>
      <w:r w:rsidR="00A677F3" w:rsidRPr="00611CB9">
        <w:rPr>
          <w:rFonts w:ascii="Arial" w:hAnsi="Arial" w:cs="Arial"/>
        </w:rPr>
        <w:t>a</w:t>
      </w:r>
      <w:r w:rsidRPr="00611CB9">
        <w:rPr>
          <w:rFonts w:ascii="Arial" w:hAnsi="Arial" w:cs="Arial"/>
        </w:rPr>
        <w:t xml:space="preserve"> rigorous assessment of Hyatt’s financial health, capital structures and working capital efficiencies. Moreover, it presents the data-driven investment appraisal for the capital allocation under the rationing barriers, along with the strategic restructuring plan in alignment with the international corporate governance and ESG (environmental</w:t>
      </w:r>
      <w:r w:rsidR="00A677F3" w:rsidRPr="00611CB9">
        <w:rPr>
          <w:rFonts w:ascii="Arial" w:hAnsi="Arial" w:cs="Arial"/>
        </w:rPr>
        <w:t>,</w:t>
      </w:r>
      <w:r w:rsidRPr="00611CB9">
        <w:rPr>
          <w:rFonts w:ascii="Arial" w:hAnsi="Arial" w:cs="Arial"/>
        </w:rPr>
        <w:t xml:space="preserve"> social and governance) framework to improve the long-term shareholder value. </w:t>
      </w:r>
    </w:p>
    <w:p w14:paraId="3D0F15E5" w14:textId="63EAEB39" w:rsidR="00BB09B7" w:rsidRPr="00611CB9" w:rsidRDefault="00946632" w:rsidP="00A7362D">
      <w:pPr>
        <w:pStyle w:val="Heading1"/>
        <w:rPr>
          <w:rFonts w:ascii="Arial" w:hAnsi="Arial" w:cs="Arial"/>
        </w:rPr>
      </w:pPr>
      <w:bookmarkStart w:id="1" w:name="_Toc235474566"/>
      <w:r w:rsidRPr="00611CB9">
        <w:rPr>
          <w:rFonts w:ascii="Arial" w:hAnsi="Arial" w:cs="Arial"/>
        </w:rPr>
        <w:t>1 Financial health check</w:t>
      </w:r>
      <w:bookmarkEnd w:id="1"/>
      <w:r w:rsidRPr="00611CB9">
        <w:rPr>
          <w:rFonts w:ascii="Arial" w:hAnsi="Arial" w:cs="Arial"/>
        </w:rPr>
        <w:t xml:space="preserve"> </w:t>
      </w:r>
    </w:p>
    <w:p w14:paraId="75166F16" w14:textId="4A7A8EBF" w:rsidR="00946632" w:rsidRPr="00611CB9" w:rsidRDefault="00946632" w:rsidP="00A7362D">
      <w:pPr>
        <w:spacing w:line="360" w:lineRule="auto"/>
        <w:rPr>
          <w:rFonts w:ascii="Arial" w:hAnsi="Arial" w:cs="Arial"/>
        </w:rPr>
      </w:pPr>
      <w:r w:rsidRPr="00611CB9">
        <w:rPr>
          <w:rFonts w:ascii="Arial" w:hAnsi="Arial" w:cs="Arial"/>
        </w:rPr>
        <w:t xml:space="preserve">To evaluate the financial recovery and the trajectory </w:t>
      </w:r>
      <w:r w:rsidR="00A677F3" w:rsidRPr="00611CB9">
        <w:rPr>
          <w:rFonts w:ascii="Arial" w:hAnsi="Arial" w:cs="Arial"/>
        </w:rPr>
        <w:t>of</w:t>
      </w:r>
      <w:r w:rsidRPr="00611CB9">
        <w:rPr>
          <w:rFonts w:ascii="Arial" w:hAnsi="Arial" w:cs="Arial"/>
        </w:rPr>
        <w:t xml:space="preserve"> the Hyatt Hotels Corporation, a formal five-year financial ratio analysis was conducted</w:t>
      </w:r>
      <w:r w:rsidR="00A677F3" w:rsidRPr="00611CB9">
        <w:rPr>
          <w:rFonts w:ascii="Arial" w:hAnsi="Arial" w:cs="Arial"/>
        </w:rPr>
        <w:t>,</w:t>
      </w:r>
      <w:r w:rsidRPr="00611CB9">
        <w:rPr>
          <w:rFonts w:ascii="Arial" w:hAnsi="Arial" w:cs="Arial"/>
        </w:rPr>
        <w:t xml:space="preserve"> including the fiscal years 2021 through 2025. This period is historically vital as it covers the late-pandemic operational disruptions, subsequent high-inflation macroeconomic environment and global tourism rebound </w:t>
      </w:r>
      <w:r w:rsidR="00A73E5B" w:rsidRPr="00611CB9">
        <w:rPr>
          <w:rFonts w:ascii="Arial" w:hAnsi="Arial" w:cs="Arial"/>
        </w:rPr>
        <w:t>(</w:t>
      </w:r>
      <w:r w:rsidR="00A73E5B" w:rsidRPr="00611CB9">
        <w:rPr>
          <w:rFonts w:ascii="Arial" w:eastAsiaTheme="minorEastAsia" w:hAnsi="Arial" w:cs="Arial"/>
        </w:rPr>
        <w:t>Sağlam, 2025</w:t>
      </w:r>
      <w:r w:rsidR="00A73E5B" w:rsidRPr="00611CB9">
        <w:rPr>
          <w:rFonts w:ascii="Arial" w:hAnsi="Arial" w:cs="Arial"/>
        </w:rPr>
        <w:t xml:space="preserve">). </w:t>
      </w:r>
      <w:r w:rsidRPr="00611CB9">
        <w:rPr>
          <w:rFonts w:ascii="Arial" w:hAnsi="Arial" w:cs="Arial"/>
        </w:rPr>
        <w:t xml:space="preserve">The corporate strategy of Hyatt over this cycle moved </w:t>
      </w:r>
      <w:r w:rsidR="00A677F3" w:rsidRPr="00611CB9">
        <w:rPr>
          <w:rFonts w:ascii="Arial" w:hAnsi="Arial" w:cs="Arial"/>
        </w:rPr>
        <w:t>to an</w:t>
      </w:r>
      <w:r w:rsidRPr="00611CB9">
        <w:rPr>
          <w:rFonts w:ascii="Arial" w:hAnsi="Arial" w:cs="Arial"/>
        </w:rPr>
        <w:t xml:space="preserve"> asset-light</w:t>
      </w:r>
      <w:r w:rsidR="00A677F3" w:rsidRPr="00611CB9">
        <w:rPr>
          <w:rFonts w:ascii="Arial" w:hAnsi="Arial" w:cs="Arial"/>
        </w:rPr>
        <w:t>,</w:t>
      </w:r>
      <w:r w:rsidRPr="00611CB9">
        <w:rPr>
          <w:rFonts w:ascii="Arial" w:hAnsi="Arial" w:cs="Arial"/>
        </w:rPr>
        <w:t xml:space="preserve"> fee-generating model, accelerated by the acquisition of Apple Leisure Group (ALG) in late 2021. The operational data </w:t>
      </w:r>
      <w:r w:rsidR="00A677F3" w:rsidRPr="00611CB9">
        <w:rPr>
          <w:rFonts w:ascii="Arial" w:hAnsi="Arial" w:cs="Arial"/>
        </w:rPr>
        <w:t xml:space="preserve">assess </w:t>
      </w:r>
      <w:r w:rsidRPr="00611CB9">
        <w:rPr>
          <w:rFonts w:ascii="Arial" w:hAnsi="Arial" w:cs="Arial"/>
        </w:rPr>
        <w:t xml:space="preserve">the liquidity, profitability, investment metrics, </w:t>
      </w:r>
      <w:r w:rsidR="00A677F3" w:rsidRPr="00611CB9">
        <w:rPr>
          <w:rFonts w:ascii="Arial" w:hAnsi="Arial" w:cs="Arial"/>
        </w:rPr>
        <w:t xml:space="preserve">and </w:t>
      </w:r>
      <w:r w:rsidRPr="00611CB9">
        <w:rPr>
          <w:rFonts w:ascii="Arial" w:hAnsi="Arial" w:cs="Arial"/>
        </w:rPr>
        <w:t xml:space="preserve">leverage (gearing) derived from the official financial statements of Hyatt. </w:t>
      </w:r>
    </w:p>
    <w:p w14:paraId="152EC7C8" w14:textId="265A3A5B" w:rsidR="00946632" w:rsidRPr="00611CB9" w:rsidRDefault="00277003" w:rsidP="00A7362D">
      <w:pPr>
        <w:pStyle w:val="Heading2"/>
        <w:rPr>
          <w:rFonts w:ascii="Arial" w:hAnsi="Arial" w:cs="Arial"/>
        </w:rPr>
      </w:pPr>
      <w:bookmarkStart w:id="2" w:name="_Toc235474567"/>
      <w:r w:rsidRPr="00611CB9">
        <w:rPr>
          <w:rFonts w:ascii="Arial" w:hAnsi="Arial" w:cs="Arial"/>
        </w:rPr>
        <w:t xml:space="preserve">1.1 </w:t>
      </w:r>
      <w:r w:rsidR="00946632" w:rsidRPr="00611CB9">
        <w:rPr>
          <w:rFonts w:ascii="Arial" w:hAnsi="Arial" w:cs="Arial"/>
        </w:rPr>
        <w:t xml:space="preserve">Comprehensive </w:t>
      </w:r>
      <w:r w:rsidR="00A677F3" w:rsidRPr="00611CB9">
        <w:rPr>
          <w:rFonts w:ascii="Arial" w:hAnsi="Arial" w:cs="Arial"/>
        </w:rPr>
        <w:t>ratio</w:t>
      </w:r>
      <w:r w:rsidR="00946632" w:rsidRPr="00611CB9">
        <w:rPr>
          <w:rFonts w:ascii="Arial" w:hAnsi="Arial" w:cs="Arial"/>
        </w:rPr>
        <w:t xml:space="preserve"> trend analysis</w:t>
      </w:r>
      <w:bookmarkEnd w:id="2"/>
    </w:p>
    <w:p w14:paraId="1EC8E97F" w14:textId="112CE8E8" w:rsidR="00946632" w:rsidRPr="00611CB9" w:rsidRDefault="00946632" w:rsidP="00A7362D">
      <w:pPr>
        <w:spacing w:line="360" w:lineRule="auto"/>
        <w:rPr>
          <w:rFonts w:ascii="Arial" w:hAnsi="Arial" w:cs="Arial"/>
        </w:rPr>
      </w:pPr>
      <w:r w:rsidRPr="00611CB9">
        <w:rPr>
          <w:rFonts w:ascii="Arial" w:hAnsi="Arial" w:cs="Arial"/>
        </w:rPr>
        <w:t xml:space="preserve">The calculated financial indicators present the company undergoing </w:t>
      </w:r>
      <w:r w:rsidR="00A677F3" w:rsidRPr="00611CB9">
        <w:rPr>
          <w:rFonts w:ascii="Arial" w:hAnsi="Arial" w:cs="Arial"/>
        </w:rPr>
        <w:t xml:space="preserve">a </w:t>
      </w:r>
      <w:r w:rsidRPr="00611CB9">
        <w:rPr>
          <w:rFonts w:ascii="Arial" w:hAnsi="Arial" w:cs="Arial"/>
        </w:rPr>
        <w:t xml:space="preserve">vital structural transition, moving from the survival metrics in 2021 to strong margin expansion by 2025. </w:t>
      </w:r>
    </w:p>
    <w:p w14:paraId="465736C1" w14:textId="7DC9CD38" w:rsidR="00946632" w:rsidRPr="00611CB9" w:rsidRDefault="00946632" w:rsidP="00A7362D">
      <w:pPr>
        <w:pStyle w:val="Caption"/>
        <w:keepNext/>
        <w:spacing w:line="360" w:lineRule="auto"/>
        <w:rPr>
          <w:rFonts w:ascii="Arial" w:hAnsi="Arial" w:cs="Arial"/>
          <w:szCs w:val="24"/>
        </w:rPr>
      </w:pPr>
      <w:r w:rsidRPr="00611CB9">
        <w:rPr>
          <w:rFonts w:ascii="Arial" w:hAnsi="Arial" w:cs="Arial"/>
          <w:szCs w:val="24"/>
        </w:rPr>
        <w:t xml:space="preserve">Table </w:t>
      </w:r>
      <w:r w:rsidRPr="00611CB9">
        <w:rPr>
          <w:rFonts w:ascii="Arial" w:hAnsi="Arial" w:cs="Arial"/>
          <w:szCs w:val="24"/>
        </w:rPr>
        <w:fldChar w:fldCharType="begin"/>
      </w:r>
      <w:r w:rsidRPr="00611CB9">
        <w:rPr>
          <w:rFonts w:ascii="Arial" w:hAnsi="Arial" w:cs="Arial"/>
          <w:szCs w:val="24"/>
        </w:rPr>
        <w:instrText xml:space="preserve"> SEQ Table \* ARABIC </w:instrText>
      </w:r>
      <w:r w:rsidRPr="00611CB9">
        <w:rPr>
          <w:rFonts w:ascii="Arial" w:hAnsi="Arial" w:cs="Arial"/>
          <w:szCs w:val="24"/>
        </w:rPr>
        <w:fldChar w:fldCharType="separate"/>
      </w:r>
      <w:r w:rsidR="00A7362D" w:rsidRPr="00611CB9">
        <w:rPr>
          <w:rFonts w:ascii="Arial" w:hAnsi="Arial" w:cs="Arial"/>
          <w:noProof/>
          <w:szCs w:val="24"/>
        </w:rPr>
        <w:t>1</w:t>
      </w:r>
      <w:r w:rsidRPr="00611CB9">
        <w:rPr>
          <w:rFonts w:ascii="Arial" w:hAnsi="Arial" w:cs="Arial"/>
          <w:szCs w:val="24"/>
        </w:rPr>
        <w:fldChar w:fldCharType="end"/>
      </w:r>
      <w:r w:rsidRPr="00611CB9">
        <w:rPr>
          <w:rFonts w:ascii="Arial" w:hAnsi="Arial" w:cs="Arial"/>
          <w:szCs w:val="24"/>
        </w:rPr>
        <w:t>: Ratio category and metrics</w:t>
      </w:r>
    </w:p>
    <w:tbl>
      <w:tblPr>
        <w:tblStyle w:val="TableGrid"/>
        <w:tblW w:w="0" w:type="auto"/>
        <w:tblLook w:val="04A0" w:firstRow="1" w:lastRow="0" w:firstColumn="1" w:lastColumn="0" w:noHBand="0" w:noVBand="1"/>
      </w:tblPr>
      <w:tblGrid>
        <w:gridCol w:w="3191"/>
        <w:gridCol w:w="1057"/>
        <w:gridCol w:w="1057"/>
        <w:gridCol w:w="1057"/>
        <w:gridCol w:w="1057"/>
        <w:gridCol w:w="1057"/>
      </w:tblGrid>
      <w:tr w:rsidR="00946632" w:rsidRPr="00611CB9" w14:paraId="02245C70" w14:textId="77777777" w:rsidTr="00946632">
        <w:tc>
          <w:tcPr>
            <w:tcW w:w="0" w:type="auto"/>
            <w:hideMark/>
          </w:tcPr>
          <w:p w14:paraId="4CCD7841" w14:textId="77777777" w:rsidR="00946632" w:rsidRPr="00611CB9" w:rsidRDefault="00946632" w:rsidP="00A7362D">
            <w:pPr>
              <w:spacing w:after="160" w:line="360" w:lineRule="auto"/>
              <w:rPr>
                <w:rFonts w:ascii="Arial" w:hAnsi="Arial" w:cs="Arial"/>
              </w:rPr>
            </w:pPr>
            <w:r w:rsidRPr="00611CB9">
              <w:rPr>
                <w:rFonts w:ascii="Arial" w:hAnsi="Arial" w:cs="Arial"/>
                <w:b/>
                <w:bCs/>
              </w:rPr>
              <w:t>Ratio Category &amp; Metric</w:t>
            </w:r>
          </w:p>
        </w:tc>
        <w:tc>
          <w:tcPr>
            <w:tcW w:w="0" w:type="auto"/>
            <w:hideMark/>
          </w:tcPr>
          <w:p w14:paraId="018B360D" w14:textId="77777777" w:rsidR="00946632" w:rsidRPr="00611CB9" w:rsidRDefault="00946632" w:rsidP="00A7362D">
            <w:pPr>
              <w:spacing w:after="160" w:line="360" w:lineRule="auto"/>
              <w:rPr>
                <w:rFonts w:ascii="Arial" w:hAnsi="Arial" w:cs="Arial"/>
              </w:rPr>
            </w:pPr>
            <w:r w:rsidRPr="00611CB9">
              <w:rPr>
                <w:rFonts w:ascii="Arial" w:hAnsi="Arial" w:cs="Arial"/>
                <w:b/>
                <w:bCs/>
              </w:rPr>
              <w:t>FY2021</w:t>
            </w:r>
          </w:p>
        </w:tc>
        <w:tc>
          <w:tcPr>
            <w:tcW w:w="0" w:type="auto"/>
            <w:hideMark/>
          </w:tcPr>
          <w:p w14:paraId="54A53B6E" w14:textId="77777777" w:rsidR="00946632" w:rsidRPr="00611CB9" w:rsidRDefault="00946632" w:rsidP="00A7362D">
            <w:pPr>
              <w:spacing w:after="160" w:line="360" w:lineRule="auto"/>
              <w:rPr>
                <w:rFonts w:ascii="Arial" w:hAnsi="Arial" w:cs="Arial"/>
              </w:rPr>
            </w:pPr>
            <w:r w:rsidRPr="00611CB9">
              <w:rPr>
                <w:rFonts w:ascii="Arial" w:hAnsi="Arial" w:cs="Arial"/>
                <w:b/>
                <w:bCs/>
              </w:rPr>
              <w:t>FY2022</w:t>
            </w:r>
          </w:p>
        </w:tc>
        <w:tc>
          <w:tcPr>
            <w:tcW w:w="0" w:type="auto"/>
            <w:hideMark/>
          </w:tcPr>
          <w:p w14:paraId="61E5D954" w14:textId="77777777" w:rsidR="00946632" w:rsidRPr="00611CB9" w:rsidRDefault="00946632" w:rsidP="00A7362D">
            <w:pPr>
              <w:spacing w:after="160" w:line="360" w:lineRule="auto"/>
              <w:rPr>
                <w:rFonts w:ascii="Arial" w:hAnsi="Arial" w:cs="Arial"/>
              </w:rPr>
            </w:pPr>
            <w:r w:rsidRPr="00611CB9">
              <w:rPr>
                <w:rFonts w:ascii="Arial" w:hAnsi="Arial" w:cs="Arial"/>
                <w:b/>
                <w:bCs/>
              </w:rPr>
              <w:t>FY2023</w:t>
            </w:r>
          </w:p>
        </w:tc>
        <w:tc>
          <w:tcPr>
            <w:tcW w:w="0" w:type="auto"/>
            <w:hideMark/>
          </w:tcPr>
          <w:p w14:paraId="49CF662C" w14:textId="77777777" w:rsidR="00946632" w:rsidRPr="00611CB9" w:rsidRDefault="00946632" w:rsidP="00A7362D">
            <w:pPr>
              <w:spacing w:after="160" w:line="360" w:lineRule="auto"/>
              <w:rPr>
                <w:rFonts w:ascii="Arial" w:hAnsi="Arial" w:cs="Arial"/>
              </w:rPr>
            </w:pPr>
            <w:r w:rsidRPr="00611CB9">
              <w:rPr>
                <w:rFonts w:ascii="Arial" w:hAnsi="Arial" w:cs="Arial"/>
                <w:b/>
                <w:bCs/>
              </w:rPr>
              <w:t>FY2024</w:t>
            </w:r>
          </w:p>
        </w:tc>
        <w:tc>
          <w:tcPr>
            <w:tcW w:w="0" w:type="auto"/>
            <w:hideMark/>
          </w:tcPr>
          <w:p w14:paraId="348F8D16" w14:textId="77777777" w:rsidR="00946632" w:rsidRPr="00611CB9" w:rsidRDefault="00946632" w:rsidP="00A7362D">
            <w:pPr>
              <w:spacing w:after="160" w:line="360" w:lineRule="auto"/>
              <w:rPr>
                <w:rFonts w:ascii="Arial" w:hAnsi="Arial" w:cs="Arial"/>
              </w:rPr>
            </w:pPr>
            <w:r w:rsidRPr="00611CB9">
              <w:rPr>
                <w:rFonts w:ascii="Arial" w:hAnsi="Arial" w:cs="Arial"/>
                <w:b/>
                <w:bCs/>
              </w:rPr>
              <w:t>FY2025</w:t>
            </w:r>
          </w:p>
        </w:tc>
      </w:tr>
      <w:tr w:rsidR="00946632" w:rsidRPr="00611CB9" w14:paraId="5BEE6890" w14:textId="77777777" w:rsidTr="00946632">
        <w:tc>
          <w:tcPr>
            <w:tcW w:w="0" w:type="auto"/>
            <w:hideMark/>
          </w:tcPr>
          <w:p w14:paraId="47FAE730" w14:textId="77777777" w:rsidR="00946632" w:rsidRPr="00611CB9" w:rsidRDefault="00946632" w:rsidP="00A7362D">
            <w:pPr>
              <w:spacing w:after="160" w:line="360" w:lineRule="auto"/>
              <w:rPr>
                <w:rFonts w:ascii="Arial" w:hAnsi="Arial" w:cs="Arial"/>
              </w:rPr>
            </w:pPr>
            <w:r w:rsidRPr="00611CB9">
              <w:rPr>
                <w:rFonts w:ascii="Arial" w:hAnsi="Arial" w:cs="Arial"/>
                <w:b/>
                <w:bCs/>
              </w:rPr>
              <w:t>Profitability</w:t>
            </w:r>
          </w:p>
        </w:tc>
        <w:tc>
          <w:tcPr>
            <w:tcW w:w="0" w:type="auto"/>
            <w:hideMark/>
          </w:tcPr>
          <w:p w14:paraId="7F84069C" w14:textId="77777777" w:rsidR="00946632" w:rsidRPr="00611CB9" w:rsidRDefault="00946632" w:rsidP="00A7362D">
            <w:pPr>
              <w:spacing w:after="160" w:line="360" w:lineRule="auto"/>
              <w:rPr>
                <w:rFonts w:ascii="Arial" w:hAnsi="Arial" w:cs="Arial"/>
              </w:rPr>
            </w:pPr>
          </w:p>
        </w:tc>
        <w:tc>
          <w:tcPr>
            <w:tcW w:w="0" w:type="auto"/>
            <w:hideMark/>
          </w:tcPr>
          <w:p w14:paraId="06FE8E47" w14:textId="77777777" w:rsidR="00946632" w:rsidRPr="00611CB9" w:rsidRDefault="00946632" w:rsidP="00A7362D">
            <w:pPr>
              <w:spacing w:after="160" w:line="360" w:lineRule="auto"/>
              <w:rPr>
                <w:rFonts w:ascii="Arial" w:hAnsi="Arial" w:cs="Arial"/>
              </w:rPr>
            </w:pPr>
          </w:p>
        </w:tc>
        <w:tc>
          <w:tcPr>
            <w:tcW w:w="0" w:type="auto"/>
            <w:hideMark/>
          </w:tcPr>
          <w:p w14:paraId="6EA4FA27" w14:textId="77777777" w:rsidR="00946632" w:rsidRPr="00611CB9" w:rsidRDefault="00946632" w:rsidP="00A7362D">
            <w:pPr>
              <w:spacing w:after="160" w:line="360" w:lineRule="auto"/>
              <w:rPr>
                <w:rFonts w:ascii="Arial" w:hAnsi="Arial" w:cs="Arial"/>
              </w:rPr>
            </w:pPr>
          </w:p>
        </w:tc>
        <w:tc>
          <w:tcPr>
            <w:tcW w:w="0" w:type="auto"/>
            <w:hideMark/>
          </w:tcPr>
          <w:p w14:paraId="4A1DAB7E" w14:textId="77777777" w:rsidR="00946632" w:rsidRPr="00611CB9" w:rsidRDefault="00946632" w:rsidP="00A7362D">
            <w:pPr>
              <w:spacing w:after="160" w:line="360" w:lineRule="auto"/>
              <w:rPr>
                <w:rFonts w:ascii="Arial" w:hAnsi="Arial" w:cs="Arial"/>
              </w:rPr>
            </w:pPr>
          </w:p>
        </w:tc>
        <w:tc>
          <w:tcPr>
            <w:tcW w:w="0" w:type="auto"/>
            <w:hideMark/>
          </w:tcPr>
          <w:p w14:paraId="6F48EE64" w14:textId="77777777" w:rsidR="00946632" w:rsidRPr="00611CB9" w:rsidRDefault="00946632" w:rsidP="00A7362D">
            <w:pPr>
              <w:spacing w:after="160" w:line="360" w:lineRule="auto"/>
              <w:rPr>
                <w:rFonts w:ascii="Arial" w:hAnsi="Arial" w:cs="Arial"/>
              </w:rPr>
            </w:pPr>
          </w:p>
        </w:tc>
      </w:tr>
      <w:tr w:rsidR="00946632" w:rsidRPr="00611CB9" w14:paraId="7CDC3418" w14:textId="77777777" w:rsidTr="00946632">
        <w:tc>
          <w:tcPr>
            <w:tcW w:w="0" w:type="auto"/>
            <w:hideMark/>
          </w:tcPr>
          <w:p w14:paraId="642E4E6D" w14:textId="77777777" w:rsidR="00946632" w:rsidRPr="00611CB9" w:rsidRDefault="00946632" w:rsidP="00A7362D">
            <w:pPr>
              <w:spacing w:after="160" w:line="360" w:lineRule="auto"/>
              <w:rPr>
                <w:rFonts w:ascii="Arial" w:hAnsi="Arial" w:cs="Arial"/>
              </w:rPr>
            </w:pPr>
            <w:r w:rsidRPr="00611CB9">
              <w:rPr>
                <w:rFonts w:ascii="Arial" w:hAnsi="Arial" w:cs="Arial"/>
              </w:rPr>
              <w:t>Operating Profit Margin (%)</w:t>
            </w:r>
          </w:p>
        </w:tc>
        <w:tc>
          <w:tcPr>
            <w:tcW w:w="0" w:type="auto"/>
            <w:hideMark/>
          </w:tcPr>
          <w:p w14:paraId="5F839DF0" w14:textId="77777777" w:rsidR="00946632" w:rsidRPr="00611CB9" w:rsidRDefault="00946632" w:rsidP="00A7362D">
            <w:pPr>
              <w:spacing w:after="160" w:line="360" w:lineRule="auto"/>
              <w:rPr>
                <w:rFonts w:ascii="Arial" w:hAnsi="Arial" w:cs="Arial"/>
              </w:rPr>
            </w:pPr>
            <w:r w:rsidRPr="00611CB9">
              <w:rPr>
                <w:rFonts w:ascii="Arial" w:hAnsi="Arial" w:cs="Arial"/>
              </w:rPr>
              <w:t>-7.2%</w:t>
            </w:r>
          </w:p>
        </w:tc>
        <w:tc>
          <w:tcPr>
            <w:tcW w:w="0" w:type="auto"/>
            <w:hideMark/>
          </w:tcPr>
          <w:p w14:paraId="574EE112" w14:textId="77777777" w:rsidR="00946632" w:rsidRPr="00611CB9" w:rsidRDefault="00946632" w:rsidP="00A7362D">
            <w:pPr>
              <w:spacing w:after="160" w:line="360" w:lineRule="auto"/>
              <w:rPr>
                <w:rFonts w:ascii="Arial" w:hAnsi="Arial" w:cs="Arial"/>
              </w:rPr>
            </w:pPr>
            <w:r w:rsidRPr="00611CB9">
              <w:rPr>
                <w:rFonts w:ascii="Arial" w:hAnsi="Arial" w:cs="Arial"/>
              </w:rPr>
              <w:t>8.4%</w:t>
            </w:r>
          </w:p>
        </w:tc>
        <w:tc>
          <w:tcPr>
            <w:tcW w:w="0" w:type="auto"/>
            <w:hideMark/>
          </w:tcPr>
          <w:p w14:paraId="081D4410" w14:textId="77777777" w:rsidR="00946632" w:rsidRPr="00611CB9" w:rsidRDefault="00946632" w:rsidP="00A7362D">
            <w:pPr>
              <w:spacing w:after="160" w:line="360" w:lineRule="auto"/>
              <w:rPr>
                <w:rFonts w:ascii="Arial" w:hAnsi="Arial" w:cs="Arial"/>
              </w:rPr>
            </w:pPr>
            <w:r w:rsidRPr="00611CB9">
              <w:rPr>
                <w:rFonts w:ascii="Arial" w:hAnsi="Arial" w:cs="Arial"/>
              </w:rPr>
              <w:t>11.2%</w:t>
            </w:r>
          </w:p>
        </w:tc>
        <w:tc>
          <w:tcPr>
            <w:tcW w:w="0" w:type="auto"/>
            <w:hideMark/>
          </w:tcPr>
          <w:p w14:paraId="65C8C917" w14:textId="77777777" w:rsidR="00946632" w:rsidRPr="00611CB9" w:rsidRDefault="00946632" w:rsidP="00A7362D">
            <w:pPr>
              <w:spacing w:after="160" w:line="360" w:lineRule="auto"/>
              <w:rPr>
                <w:rFonts w:ascii="Arial" w:hAnsi="Arial" w:cs="Arial"/>
              </w:rPr>
            </w:pPr>
            <w:r w:rsidRPr="00611CB9">
              <w:rPr>
                <w:rFonts w:ascii="Arial" w:hAnsi="Arial" w:cs="Arial"/>
              </w:rPr>
              <w:t>13.5%</w:t>
            </w:r>
          </w:p>
        </w:tc>
        <w:tc>
          <w:tcPr>
            <w:tcW w:w="0" w:type="auto"/>
            <w:hideMark/>
          </w:tcPr>
          <w:p w14:paraId="62D768CC" w14:textId="77777777" w:rsidR="00946632" w:rsidRPr="00611CB9" w:rsidRDefault="00946632" w:rsidP="00A7362D">
            <w:pPr>
              <w:spacing w:after="160" w:line="360" w:lineRule="auto"/>
              <w:rPr>
                <w:rFonts w:ascii="Arial" w:hAnsi="Arial" w:cs="Arial"/>
              </w:rPr>
            </w:pPr>
            <w:r w:rsidRPr="00611CB9">
              <w:rPr>
                <w:rFonts w:ascii="Arial" w:hAnsi="Arial" w:cs="Arial"/>
              </w:rPr>
              <w:t>14.8%</w:t>
            </w:r>
          </w:p>
        </w:tc>
      </w:tr>
      <w:tr w:rsidR="00946632" w:rsidRPr="00611CB9" w14:paraId="06A7C731" w14:textId="77777777" w:rsidTr="00946632">
        <w:tc>
          <w:tcPr>
            <w:tcW w:w="0" w:type="auto"/>
            <w:hideMark/>
          </w:tcPr>
          <w:p w14:paraId="26C782B1" w14:textId="77777777" w:rsidR="00946632" w:rsidRPr="00611CB9" w:rsidRDefault="00946632" w:rsidP="00A7362D">
            <w:pPr>
              <w:spacing w:after="160" w:line="360" w:lineRule="auto"/>
              <w:rPr>
                <w:rFonts w:ascii="Arial" w:hAnsi="Arial" w:cs="Arial"/>
              </w:rPr>
            </w:pPr>
            <w:r w:rsidRPr="00611CB9">
              <w:rPr>
                <w:rFonts w:ascii="Arial" w:hAnsi="Arial" w:cs="Arial"/>
              </w:rPr>
              <w:t>Return on Equity (ROE) (%)</w:t>
            </w:r>
          </w:p>
        </w:tc>
        <w:tc>
          <w:tcPr>
            <w:tcW w:w="0" w:type="auto"/>
            <w:hideMark/>
          </w:tcPr>
          <w:p w14:paraId="4EED9173" w14:textId="77777777" w:rsidR="00946632" w:rsidRPr="00611CB9" w:rsidRDefault="00946632" w:rsidP="00A7362D">
            <w:pPr>
              <w:spacing w:after="160" w:line="360" w:lineRule="auto"/>
              <w:rPr>
                <w:rFonts w:ascii="Arial" w:hAnsi="Arial" w:cs="Arial"/>
              </w:rPr>
            </w:pPr>
            <w:r w:rsidRPr="00611CB9">
              <w:rPr>
                <w:rFonts w:ascii="Arial" w:hAnsi="Arial" w:cs="Arial"/>
              </w:rPr>
              <w:t>-12.4%</w:t>
            </w:r>
          </w:p>
        </w:tc>
        <w:tc>
          <w:tcPr>
            <w:tcW w:w="0" w:type="auto"/>
            <w:hideMark/>
          </w:tcPr>
          <w:p w14:paraId="0AF1B7C1" w14:textId="77777777" w:rsidR="00946632" w:rsidRPr="00611CB9" w:rsidRDefault="00946632" w:rsidP="00A7362D">
            <w:pPr>
              <w:spacing w:after="160" w:line="360" w:lineRule="auto"/>
              <w:rPr>
                <w:rFonts w:ascii="Arial" w:hAnsi="Arial" w:cs="Arial"/>
              </w:rPr>
            </w:pPr>
            <w:r w:rsidRPr="00611CB9">
              <w:rPr>
                <w:rFonts w:ascii="Arial" w:hAnsi="Arial" w:cs="Arial"/>
              </w:rPr>
              <w:t>9.8%</w:t>
            </w:r>
          </w:p>
        </w:tc>
        <w:tc>
          <w:tcPr>
            <w:tcW w:w="0" w:type="auto"/>
            <w:hideMark/>
          </w:tcPr>
          <w:p w14:paraId="76232BD2" w14:textId="77777777" w:rsidR="00946632" w:rsidRPr="00611CB9" w:rsidRDefault="00946632" w:rsidP="00A7362D">
            <w:pPr>
              <w:spacing w:after="160" w:line="360" w:lineRule="auto"/>
              <w:rPr>
                <w:rFonts w:ascii="Arial" w:hAnsi="Arial" w:cs="Arial"/>
              </w:rPr>
            </w:pPr>
            <w:r w:rsidRPr="00611CB9">
              <w:rPr>
                <w:rFonts w:ascii="Arial" w:hAnsi="Arial" w:cs="Arial"/>
              </w:rPr>
              <w:t>14.1%</w:t>
            </w:r>
          </w:p>
        </w:tc>
        <w:tc>
          <w:tcPr>
            <w:tcW w:w="0" w:type="auto"/>
            <w:hideMark/>
          </w:tcPr>
          <w:p w14:paraId="3E5506C8" w14:textId="77777777" w:rsidR="00946632" w:rsidRPr="00611CB9" w:rsidRDefault="00946632" w:rsidP="00A7362D">
            <w:pPr>
              <w:spacing w:after="160" w:line="360" w:lineRule="auto"/>
              <w:rPr>
                <w:rFonts w:ascii="Arial" w:hAnsi="Arial" w:cs="Arial"/>
              </w:rPr>
            </w:pPr>
            <w:r w:rsidRPr="00611CB9">
              <w:rPr>
                <w:rFonts w:ascii="Arial" w:hAnsi="Arial" w:cs="Arial"/>
              </w:rPr>
              <w:t>16.5%</w:t>
            </w:r>
          </w:p>
        </w:tc>
        <w:tc>
          <w:tcPr>
            <w:tcW w:w="0" w:type="auto"/>
            <w:hideMark/>
          </w:tcPr>
          <w:p w14:paraId="5EF20B49" w14:textId="77777777" w:rsidR="00946632" w:rsidRPr="00611CB9" w:rsidRDefault="00946632" w:rsidP="00A7362D">
            <w:pPr>
              <w:spacing w:after="160" w:line="360" w:lineRule="auto"/>
              <w:rPr>
                <w:rFonts w:ascii="Arial" w:hAnsi="Arial" w:cs="Arial"/>
              </w:rPr>
            </w:pPr>
            <w:r w:rsidRPr="00611CB9">
              <w:rPr>
                <w:rFonts w:ascii="Arial" w:hAnsi="Arial" w:cs="Arial"/>
              </w:rPr>
              <w:t>18.2%</w:t>
            </w:r>
          </w:p>
        </w:tc>
      </w:tr>
      <w:tr w:rsidR="00946632" w:rsidRPr="00611CB9" w14:paraId="07A33948" w14:textId="77777777" w:rsidTr="00946632">
        <w:tc>
          <w:tcPr>
            <w:tcW w:w="0" w:type="auto"/>
            <w:hideMark/>
          </w:tcPr>
          <w:p w14:paraId="6D9143D7" w14:textId="77777777" w:rsidR="00946632" w:rsidRPr="00611CB9" w:rsidRDefault="00946632" w:rsidP="00A7362D">
            <w:pPr>
              <w:spacing w:after="160" w:line="360" w:lineRule="auto"/>
              <w:rPr>
                <w:rFonts w:ascii="Arial" w:hAnsi="Arial" w:cs="Arial"/>
              </w:rPr>
            </w:pPr>
            <w:r w:rsidRPr="00611CB9">
              <w:rPr>
                <w:rFonts w:ascii="Arial" w:hAnsi="Arial" w:cs="Arial"/>
                <w:b/>
                <w:bCs/>
              </w:rPr>
              <w:lastRenderedPageBreak/>
              <w:t>Liquidity</w:t>
            </w:r>
          </w:p>
        </w:tc>
        <w:tc>
          <w:tcPr>
            <w:tcW w:w="0" w:type="auto"/>
            <w:hideMark/>
          </w:tcPr>
          <w:p w14:paraId="78E49347" w14:textId="77777777" w:rsidR="00946632" w:rsidRPr="00611CB9" w:rsidRDefault="00946632" w:rsidP="00A7362D">
            <w:pPr>
              <w:spacing w:after="160" w:line="360" w:lineRule="auto"/>
              <w:rPr>
                <w:rFonts w:ascii="Arial" w:hAnsi="Arial" w:cs="Arial"/>
              </w:rPr>
            </w:pPr>
          </w:p>
        </w:tc>
        <w:tc>
          <w:tcPr>
            <w:tcW w:w="0" w:type="auto"/>
            <w:hideMark/>
          </w:tcPr>
          <w:p w14:paraId="73F2F484" w14:textId="77777777" w:rsidR="00946632" w:rsidRPr="00611CB9" w:rsidRDefault="00946632" w:rsidP="00A7362D">
            <w:pPr>
              <w:spacing w:after="160" w:line="360" w:lineRule="auto"/>
              <w:rPr>
                <w:rFonts w:ascii="Arial" w:hAnsi="Arial" w:cs="Arial"/>
              </w:rPr>
            </w:pPr>
          </w:p>
        </w:tc>
        <w:tc>
          <w:tcPr>
            <w:tcW w:w="0" w:type="auto"/>
            <w:hideMark/>
          </w:tcPr>
          <w:p w14:paraId="4A9B512E" w14:textId="77777777" w:rsidR="00946632" w:rsidRPr="00611CB9" w:rsidRDefault="00946632" w:rsidP="00A7362D">
            <w:pPr>
              <w:spacing w:after="160" w:line="360" w:lineRule="auto"/>
              <w:rPr>
                <w:rFonts w:ascii="Arial" w:hAnsi="Arial" w:cs="Arial"/>
              </w:rPr>
            </w:pPr>
          </w:p>
        </w:tc>
        <w:tc>
          <w:tcPr>
            <w:tcW w:w="0" w:type="auto"/>
            <w:hideMark/>
          </w:tcPr>
          <w:p w14:paraId="43863AD6" w14:textId="77777777" w:rsidR="00946632" w:rsidRPr="00611CB9" w:rsidRDefault="00946632" w:rsidP="00A7362D">
            <w:pPr>
              <w:spacing w:after="160" w:line="360" w:lineRule="auto"/>
              <w:rPr>
                <w:rFonts w:ascii="Arial" w:hAnsi="Arial" w:cs="Arial"/>
              </w:rPr>
            </w:pPr>
          </w:p>
        </w:tc>
        <w:tc>
          <w:tcPr>
            <w:tcW w:w="0" w:type="auto"/>
            <w:hideMark/>
          </w:tcPr>
          <w:p w14:paraId="0F8BF784" w14:textId="77777777" w:rsidR="00946632" w:rsidRPr="00611CB9" w:rsidRDefault="00946632" w:rsidP="00A7362D">
            <w:pPr>
              <w:spacing w:after="160" w:line="360" w:lineRule="auto"/>
              <w:rPr>
                <w:rFonts w:ascii="Arial" w:hAnsi="Arial" w:cs="Arial"/>
              </w:rPr>
            </w:pPr>
          </w:p>
        </w:tc>
      </w:tr>
      <w:tr w:rsidR="00946632" w:rsidRPr="00611CB9" w14:paraId="59C3AE46" w14:textId="77777777" w:rsidTr="00946632">
        <w:tc>
          <w:tcPr>
            <w:tcW w:w="0" w:type="auto"/>
            <w:hideMark/>
          </w:tcPr>
          <w:p w14:paraId="1BD926B9" w14:textId="77777777" w:rsidR="00946632" w:rsidRPr="00611CB9" w:rsidRDefault="00946632" w:rsidP="00A7362D">
            <w:pPr>
              <w:spacing w:after="160" w:line="360" w:lineRule="auto"/>
              <w:rPr>
                <w:rFonts w:ascii="Arial" w:hAnsi="Arial" w:cs="Arial"/>
              </w:rPr>
            </w:pPr>
            <w:r w:rsidRPr="00611CB9">
              <w:rPr>
                <w:rFonts w:ascii="Arial" w:hAnsi="Arial" w:cs="Arial"/>
              </w:rPr>
              <w:t>Current Ratio (x)</w:t>
            </w:r>
          </w:p>
        </w:tc>
        <w:tc>
          <w:tcPr>
            <w:tcW w:w="0" w:type="auto"/>
            <w:hideMark/>
          </w:tcPr>
          <w:p w14:paraId="74AF3715" w14:textId="77777777" w:rsidR="00946632" w:rsidRPr="00611CB9" w:rsidRDefault="00946632" w:rsidP="00A7362D">
            <w:pPr>
              <w:spacing w:after="160" w:line="360" w:lineRule="auto"/>
              <w:rPr>
                <w:rFonts w:ascii="Arial" w:hAnsi="Arial" w:cs="Arial"/>
              </w:rPr>
            </w:pPr>
            <w:r w:rsidRPr="00611CB9">
              <w:rPr>
                <w:rFonts w:ascii="Arial" w:hAnsi="Arial" w:cs="Arial"/>
              </w:rPr>
              <w:t>1.42</w:t>
            </w:r>
          </w:p>
        </w:tc>
        <w:tc>
          <w:tcPr>
            <w:tcW w:w="0" w:type="auto"/>
            <w:hideMark/>
          </w:tcPr>
          <w:p w14:paraId="00E12375" w14:textId="77777777" w:rsidR="00946632" w:rsidRPr="00611CB9" w:rsidRDefault="00946632" w:rsidP="00A7362D">
            <w:pPr>
              <w:spacing w:after="160" w:line="360" w:lineRule="auto"/>
              <w:rPr>
                <w:rFonts w:ascii="Arial" w:hAnsi="Arial" w:cs="Arial"/>
              </w:rPr>
            </w:pPr>
            <w:r w:rsidRPr="00611CB9">
              <w:rPr>
                <w:rFonts w:ascii="Arial" w:hAnsi="Arial" w:cs="Arial"/>
              </w:rPr>
              <w:t>0.98</w:t>
            </w:r>
          </w:p>
        </w:tc>
        <w:tc>
          <w:tcPr>
            <w:tcW w:w="0" w:type="auto"/>
            <w:hideMark/>
          </w:tcPr>
          <w:p w14:paraId="5819F8AC" w14:textId="77777777" w:rsidR="00946632" w:rsidRPr="00611CB9" w:rsidRDefault="00946632" w:rsidP="00A7362D">
            <w:pPr>
              <w:spacing w:after="160" w:line="360" w:lineRule="auto"/>
              <w:rPr>
                <w:rFonts w:ascii="Arial" w:hAnsi="Arial" w:cs="Arial"/>
              </w:rPr>
            </w:pPr>
            <w:r w:rsidRPr="00611CB9">
              <w:rPr>
                <w:rFonts w:ascii="Arial" w:hAnsi="Arial" w:cs="Arial"/>
              </w:rPr>
              <w:t>0.85</w:t>
            </w:r>
          </w:p>
        </w:tc>
        <w:tc>
          <w:tcPr>
            <w:tcW w:w="0" w:type="auto"/>
            <w:hideMark/>
          </w:tcPr>
          <w:p w14:paraId="7765CF06" w14:textId="77777777" w:rsidR="00946632" w:rsidRPr="00611CB9" w:rsidRDefault="00946632" w:rsidP="00A7362D">
            <w:pPr>
              <w:spacing w:after="160" w:line="360" w:lineRule="auto"/>
              <w:rPr>
                <w:rFonts w:ascii="Arial" w:hAnsi="Arial" w:cs="Arial"/>
              </w:rPr>
            </w:pPr>
            <w:r w:rsidRPr="00611CB9">
              <w:rPr>
                <w:rFonts w:ascii="Arial" w:hAnsi="Arial" w:cs="Arial"/>
              </w:rPr>
              <w:t>0.78</w:t>
            </w:r>
          </w:p>
        </w:tc>
        <w:tc>
          <w:tcPr>
            <w:tcW w:w="0" w:type="auto"/>
            <w:hideMark/>
          </w:tcPr>
          <w:p w14:paraId="17C41E1B" w14:textId="77777777" w:rsidR="00946632" w:rsidRPr="00611CB9" w:rsidRDefault="00946632" w:rsidP="00A7362D">
            <w:pPr>
              <w:spacing w:after="160" w:line="360" w:lineRule="auto"/>
              <w:rPr>
                <w:rFonts w:ascii="Arial" w:hAnsi="Arial" w:cs="Arial"/>
              </w:rPr>
            </w:pPr>
            <w:r w:rsidRPr="00611CB9">
              <w:rPr>
                <w:rFonts w:ascii="Arial" w:hAnsi="Arial" w:cs="Arial"/>
              </w:rPr>
              <w:t>0.81</w:t>
            </w:r>
          </w:p>
        </w:tc>
      </w:tr>
      <w:tr w:rsidR="00946632" w:rsidRPr="00611CB9" w14:paraId="1BD7523E" w14:textId="77777777" w:rsidTr="00946632">
        <w:tc>
          <w:tcPr>
            <w:tcW w:w="0" w:type="auto"/>
            <w:hideMark/>
          </w:tcPr>
          <w:p w14:paraId="4301A3AC" w14:textId="77777777" w:rsidR="00946632" w:rsidRPr="00611CB9" w:rsidRDefault="00946632" w:rsidP="00A7362D">
            <w:pPr>
              <w:spacing w:after="160" w:line="360" w:lineRule="auto"/>
              <w:rPr>
                <w:rFonts w:ascii="Arial" w:hAnsi="Arial" w:cs="Arial"/>
              </w:rPr>
            </w:pPr>
            <w:r w:rsidRPr="00611CB9">
              <w:rPr>
                <w:rFonts w:ascii="Arial" w:hAnsi="Arial" w:cs="Arial"/>
              </w:rPr>
              <w:t>Quick Ratio (x)</w:t>
            </w:r>
          </w:p>
        </w:tc>
        <w:tc>
          <w:tcPr>
            <w:tcW w:w="0" w:type="auto"/>
            <w:hideMark/>
          </w:tcPr>
          <w:p w14:paraId="30F0DB12" w14:textId="77777777" w:rsidR="00946632" w:rsidRPr="00611CB9" w:rsidRDefault="00946632" w:rsidP="00A7362D">
            <w:pPr>
              <w:spacing w:after="160" w:line="360" w:lineRule="auto"/>
              <w:rPr>
                <w:rFonts w:ascii="Arial" w:hAnsi="Arial" w:cs="Arial"/>
              </w:rPr>
            </w:pPr>
            <w:r w:rsidRPr="00611CB9">
              <w:rPr>
                <w:rFonts w:ascii="Arial" w:hAnsi="Arial" w:cs="Arial"/>
              </w:rPr>
              <w:t>1.35</w:t>
            </w:r>
          </w:p>
        </w:tc>
        <w:tc>
          <w:tcPr>
            <w:tcW w:w="0" w:type="auto"/>
            <w:hideMark/>
          </w:tcPr>
          <w:p w14:paraId="2311165C" w14:textId="77777777" w:rsidR="00946632" w:rsidRPr="00611CB9" w:rsidRDefault="00946632" w:rsidP="00A7362D">
            <w:pPr>
              <w:spacing w:after="160" w:line="360" w:lineRule="auto"/>
              <w:rPr>
                <w:rFonts w:ascii="Arial" w:hAnsi="Arial" w:cs="Arial"/>
              </w:rPr>
            </w:pPr>
            <w:r w:rsidRPr="00611CB9">
              <w:rPr>
                <w:rFonts w:ascii="Arial" w:hAnsi="Arial" w:cs="Arial"/>
              </w:rPr>
              <w:t>0.92</w:t>
            </w:r>
          </w:p>
        </w:tc>
        <w:tc>
          <w:tcPr>
            <w:tcW w:w="0" w:type="auto"/>
            <w:hideMark/>
          </w:tcPr>
          <w:p w14:paraId="61939293" w14:textId="77777777" w:rsidR="00946632" w:rsidRPr="00611CB9" w:rsidRDefault="00946632" w:rsidP="00A7362D">
            <w:pPr>
              <w:spacing w:after="160" w:line="360" w:lineRule="auto"/>
              <w:rPr>
                <w:rFonts w:ascii="Arial" w:hAnsi="Arial" w:cs="Arial"/>
              </w:rPr>
            </w:pPr>
            <w:r w:rsidRPr="00611CB9">
              <w:rPr>
                <w:rFonts w:ascii="Arial" w:hAnsi="Arial" w:cs="Arial"/>
              </w:rPr>
              <w:t>0.79</w:t>
            </w:r>
          </w:p>
        </w:tc>
        <w:tc>
          <w:tcPr>
            <w:tcW w:w="0" w:type="auto"/>
            <w:hideMark/>
          </w:tcPr>
          <w:p w14:paraId="756AF25B" w14:textId="77777777" w:rsidR="00946632" w:rsidRPr="00611CB9" w:rsidRDefault="00946632" w:rsidP="00A7362D">
            <w:pPr>
              <w:spacing w:after="160" w:line="360" w:lineRule="auto"/>
              <w:rPr>
                <w:rFonts w:ascii="Arial" w:hAnsi="Arial" w:cs="Arial"/>
              </w:rPr>
            </w:pPr>
            <w:r w:rsidRPr="00611CB9">
              <w:rPr>
                <w:rFonts w:ascii="Arial" w:hAnsi="Arial" w:cs="Arial"/>
              </w:rPr>
              <w:t>0.71</w:t>
            </w:r>
          </w:p>
        </w:tc>
        <w:tc>
          <w:tcPr>
            <w:tcW w:w="0" w:type="auto"/>
            <w:hideMark/>
          </w:tcPr>
          <w:p w14:paraId="22E08EE9" w14:textId="77777777" w:rsidR="00946632" w:rsidRPr="00611CB9" w:rsidRDefault="00946632" w:rsidP="00A7362D">
            <w:pPr>
              <w:spacing w:after="160" w:line="360" w:lineRule="auto"/>
              <w:rPr>
                <w:rFonts w:ascii="Arial" w:hAnsi="Arial" w:cs="Arial"/>
              </w:rPr>
            </w:pPr>
            <w:r w:rsidRPr="00611CB9">
              <w:rPr>
                <w:rFonts w:ascii="Arial" w:hAnsi="Arial" w:cs="Arial"/>
              </w:rPr>
              <w:t>0.74</w:t>
            </w:r>
          </w:p>
        </w:tc>
      </w:tr>
      <w:tr w:rsidR="00946632" w:rsidRPr="00611CB9" w14:paraId="70CA9009" w14:textId="77777777" w:rsidTr="00946632">
        <w:tc>
          <w:tcPr>
            <w:tcW w:w="0" w:type="auto"/>
            <w:hideMark/>
          </w:tcPr>
          <w:p w14:paraId="2E7AE6F2" w14:textId="77777777" w:rsidR="00946632" w:rsidRPr="00611CB9" w:rsidRDefault="00946632" w:rsidP="00A7362D">
            <w:pPr>
              <w:spacing w:after="160" w:line="360" w:lineRule="auto"/>
              <w:rPr>
                <w:rFonts w:ascii="Arial" w:hAnsi="Arial" w:cs="Arial"/>
              </w:rPr>
            </w:pPr>
            <w:r w:rsidRPr="00611CB9">
              <w:rPr>
                <w:rFonts w:ascii="Arial" w:hAnsi="Arial" w:cs="Arial"/>
                <w:b/>
                <w:bCs/>
              </w:rPr>
              <w:t>Efficiency &amp; Activity</w:t>
            </w:r>
          </w:p>
        </w:tc>
        <w:tc>
          <w:tcPr>
            <w:tcW w:w="0" w:type="auto"/>
            <w:hideMark/>
          </w:tcPr>
          <w:p w14:paraId="3BFAA443" w14:textId="77777777" w:rsidR="00946632" w:rsidRPr="00611CB9" w:rsidRDefault="00946632" w:rsidP="00A7362D">
            <w:pPr>
              <w:spacing w:after="160" w:line="360" w:lineRule="auto"/>
              <w:rPr>
                <w:rFonts w:ascii="Arial" w:hAnsi="Arial" w:cs="Arial"/>
              </w:rPr>
            </w:pPr>
          </w:p>
        </w:tc>
        <w:tc>
          <w:tcPr>
            <w:tcW w:w="0" w:type="auto"/>
            <w:hideMark/>
          </w:tcPr>
          <w:p w14:paraId="197C69B8" w14:textId="77777777" w:rsidR="00946632" w:rsidRPr="00611CB9" w:rsidRDefault="00946632" w:rsidP="00A7362D">
            <w:pPr>
              <w:spacing w:after="160" w:line="360" w:lineRule="auto"/>
              <w:rPr>
                <w:rFonts w:ascii="Arial" w:hAnsi="Arial" w:cs="Arial"/>
              </w:rPr>
            </w:pPr>
          </w:p>
        </w:tc>
        <w:tc>
          <w:tcPr>
            <w:tcW w:w="0" w:type="auto"/>
            <w:hideMark/>
          </w:tcPr>
          <w:p w14:paraId="54F08757" w14:textId="77777777" w:rsidR="00946632" w:rsidRPr="00611CB9" w:rsidRDefault="00946632" w:rsidP="00A7362D">
            <w:pPr>
              <w:spacing w:after="160" w:line="360" w:lineRule="auto"/>
              <w:rPr>
                <w:rFonts w:ascii="Arial" w:hAnsi="Arial" w:cs="Arial"/>
              </w:rPr>
            </w:pPr>
          </w:p>
        </w:tc>
        <w:tc>
          <w:tcPr>
            <w:tcW w:w="0" w:type="auto"/>
            <w:hideMark/>
          </w:tcPr>
          <w:p w14:paraId="2A850A18" w14:textId="77777777" w:rsidR="00946632" w:rsidRPr="00611CB9" w:rsidRDefault="00946632" w:rsidP="00A7362D">
            <w:pPr>
              <w:spacing w:after="160" w:line="360" w:lineRule="auto"/>
              <w:rPr>
                <w:rFonts w:ascii="Arial" w:hAnsi="Arial" w:cs="Arial"/>
              </w:rPr>
            </w:pPr>
          </w:p>
        </w:tc>
        <w:tc>
          <w:tcPr>
            <w:tcW w:w="0" w:type="auto"/>
            <w:hideMark/>
          </w:tcPr>
          <w:p w14:paraId="4CE10D5D" w14:textId="77777777" w:rsidR="00946632" w:rsidRPr="00611CB9" w:rsidRDefault="00946632" w:rsidP="00A7362D">
            <w:pPr>
              <w:spacing w:after="160" w:line="360" w:lineRule="auto"/>
              <w:rPr>
                <w:rFonts w:ascii="Arial" w:hAnsi="Arial" w:cs="Arial"/>
              </w:rPr>
            </w:pPr>
          </w:p>
        </w:tc>
      </w:tr>
      <w:tr w:rsidR="00946632" w:rsidRPr="00611CB9" w14:paraId="4D3870AC" w14:textId="77777777" w:rsidTr="00946632">
        <w:tc>
          <w:tcPr>
            <w:tcW w:w="0" w:type="auto"/>
            <w:hideMark/>
          </w:tcPr>
          <w:p w14:paraId="26048EA6" w14:textId="77777777" w:rsidR="00946632" w:rsidRPr="00611CB9" w:rsidRDefault="00946632" w:rsidP="00A7362D">
            <w:pPr>
              <w:spacing w:after="160" w:line="360" w:lineRule="auto"/>
              <w:rPr>
                <w:rFonts w:ascii="Arial" w:hAnsi="Arial" w:cs="Arial"/>
              </w:rPr>
            </w:pPr>
            <w:r w:rsidRPr="00611CB9">
              <w:rPr>
                <w:rFonts w:ascii="Arial" w:hAnsi="Arial" w:cs="Arial"/>
              </w:rPr>
              <w:t>Asset Turnover (x)</w:t>
            </w:r>
          </w:p>
        </w:tc>
        <w:tc>
          <w:tcPr>
            <w:tcW w:w="0" w:type="auto"/>
            <w:hideMark/>
          </w:tcPr>
          <w:p w14:paraId="17E14701" w14:textId="77777777" w:rsidR="00946632" w:rsidRPr="00611CB9" w:rsidRDefault="00946632" w:rsidP="00A7362D">
            <w:pPr>
              <w:spacing w:after="160" w:line="360" w:lineRule="auto"/>
              <w:rPr>
                <w:rFonts w:ascii="Arial" w:hAnsi="Arial" w:cs="Arial"/>
              </w:rPr>
            </w:pPr>
            <w:r w:rsidRPr="00611CB9">
              <w:rPr>
                <w:rFonts w:ascii="Arial" w:hAnsi="Arial" w:cs="Arial"/>
              </w:rPr>
              <w:t>0.28</w:t>
            </w:r>
          </w:p>
        </w:tc>
        <w:tc>
          <w:tcPr>
            <w:tcW w:w="0" w:type="auto"/>
            <w:hideMark/>
          </w:tcPr>
          <w:p w14:paraId="386DBCE4" w14:textId="77777777" w:rsidR="00946632" w:rsidRPr="00611CB9" w:rsidRDefault="00946632" w:rsidP="00A7362D">
            <w:pPr>
              <w:spacing w:after="160" w:line="360" w:lineRule="auto"/>
              <w:rPr>
                <w:rFonts w:ascii="Arial" w:hAnsi="Arial" w:cs="Arial"/>
              </w:rPr>
            </w:pPr>
            <w:r w:rsidRPr="00611CB9">
              <w:rPr>
                <w:rFonts w:ascii="Arial" w:hAnsi="Arial" w:cs="Arial"/>
              </w:rPr>
              <w:t>0.49</w:t>
            </w:r>
          </w:p>
        </w:tc>
        <w:tc>
          <w:tcPr>
            <w:tcW w:w="0" w:type="auto"/>
            <w:hideMark/>
          </w:tcPr>
          <w:p w14:paraId="64F45443" w14:textId="77777777" w:rsidR="00946632" w:rsidRPr="00611CB9" w:rsidRDefault="00946632" w:rsidP="00A7362D">
            <w:pPr>
              <w:spacing w:after="160" w:line="360" w:lineRule="auto"/>
              <w:rPr>
                <w:rFonts w:ascii="Arial" w:hAnsi="Arial" w:cs="Arial"/>
              </w:rPr>
            </w:pPr>
            <w:r w:rsidRPr="00611CB9">
              <w:rPr>
                <w:rFonts w:ascii="Arial" w:hAnsi="Arial" w:cs="Arial"/>
              </w:rPr>
              <w:t>0.54</w:t>
            </w:r>
          </w:p>
        </w:tc>
        <w:tc>
          <w:tcPr>
            <w:tcW w:w="0" w:type="auto"/>
            <w:hideMark/>
          </w:tcPr>
          <w:p w14:paraId="0C517B97" w14:textId="77777777" w:rsidR="00946632" w:rsidRPr="00611CB9" w:rsidRDefault="00946632" w:rsidP="00A7362D">
            <w:pPr>
              <w:spacing w:after="160" w:line="360" w:lineRule="auto"/>
              <w:rPr>
                <w:rFonts w:ascii="Arial" w:hAnsi="Arial" w:cs="Arial"/>
              </w:rPr>
            </w:pPr>
            <w:r w:rsidRPr="00611CB9">
              <w:rPr>
                <w:rFonts w:ascii="Arial" w:hAnsi="Arial" w:cs="Arial"/>
              </w:rPr>
              <w:t>0.58</w:t>
            </w:r>
          </w:p>
        </w:tc>
        <w:tc>
          <w:tcPr>
            <w:tcW w:w="0" w:type="auto"/>
            <w:hideMark/>
          </w:tcPr>
          <w:p w14:paraId="2CFEFCE4" w14:textId="77777777" w:rsidR="00946632" w:rsidRPr="00611CB9" w:rsidRDefault="00946632" w:rsidP="00A7362D">
            <w:pPr>
              <w:spacing w:after="160" w:line="360" w:lineRule="auto"/>
              <w:rPr>
                <w:rFonts w:ascii="Arial" w:hAnsi="Arial" w:cs="Arial"/>
              </w:rPr>
            </w:pPr>
            <w:r w:rsidRPr="00611CB9">
              <w:rPr>
                <w:rFonts w:ascii="Arial" w:hAnsi="Arial" w:cs="Arial"/>
              </w:rPr>
              <w:t>0.61</w:t>
            </w:r>
          </w:p>
        </w:tc>
      </w:tr>
      <w:tr w:rsidR="00946632" w:rsidRPr="00611CB9" w14:paraId="29936245" w14:textId="77777777" w:rsidTr="00946632">
        <w:tc>
          <w:tcPr>
            <w:tcW w:w="0" w:type="auto"/>
            <w:hideMark/>
          </w:tcPr>
          <w:p w14:paraId="09475905" w14:textId="77777777" w:rsidR="00946632" w:rsidRPr="00611CB9" w:rsidRDefault="00946632" w:rsidP="00A7362D">
            <w:pPr>
              <w:spacing w:after="160" w:line="360" w:lineRule="auto"/>
              <w:rPr>
                <w:rFonts w:ascii="Arial" w:hAnsi="Arial" w:cs="Arial"/>
              </w:rPr>
            </w:pPr>
            <w:r w:rsidRPr="00611CB9">
              <w:rPr>
                <w:rFonts w:ascii="Arial" w:hAnsi="Arial" w:cs="Arial"/>
                <w:b/>
                <w:bCs/>
              </w:rPr>
              <w:t>Gearing &amp; Debt Structure</w:t>
            </w:r>
          </w:p>
        </w:tc>
        <w:tc>
          <w:tcPr>
            <w:tcW w:w="0" w:type="auto"/>
            <w:hideMark/>
          </w:tcPr>
          <w:p w14:paraId="112EC2D3" w14:textId="77777777" w:rsidR="00946632" w:rsidRPr="00611CB9" w:rsidRDefault="00946632" w:rsidP="00A7362D">
            <w:pPr>
              <w:spacing w:after="160" w:line="360" w:lineRule="auto"/>
              <w:rPr>
                <w:rFonts w:ascii="Arial" w:hAnsi="Arial" w:cs="Arial"/>
              </w:rPr>
            </w:pPr>
          </w:p>
        </w:tc>
        <w:tc>
          <w:tcPr>
            <w:tcW w:w="0" w:type="auto"/>
            <w:hideMark/>
          </w:tcPr>
          <w:p w14:paraId="49F4E05C" w14:textId="77777777" w:rsidR="00946632" w:rsidRPr="00611CB9" w:rsidRDefault="00946632" w:rsidP="00A7362D">
            <w:pPr>
              <w:spacing w:after="160" w:line="360" w:lineRule="auto"/>
              <w:rPr>
                <w:rFonts w:ascii="Arial" w:hAnsi="Arial" w:cs="Arial"/>
              </w:rPr>
            </w:pPr>
          </w:p>
        </w:tc>
        <w:tc>
          <w:tcPr>
            <w:tcW w:w="0" w:type="auto"/>
            <w:hideMark/>
          </w:tcPr>
          <w:p w14:paraId="524FFCBE" w14:textId="77777777" w:rsidR="00946632" w:rsidRPr="00611CB9" w:rsidRDefault="00946632" w:rsidP="00A7362D">
            <w:pPr>
              <w:spacing w:after="160" w:line="360" w:lineRule="auto"/>
              <w:rPr>
                <w:rFonts w:ascii="Arial" w:hAnsi="Arial" w:cs="Arial"/>
              </w:rPr>
            </w:pPr>
          </w:p>
        </w:tc>
        <w:tc>
          <w:tcPr>
            <w:tcW w:w="0" w:type="auto"/>
            <w:hideMark/>
          </w:tcPr>
          <w:p w14:paraId="619FDE43" w14:textId="77777777" w:rsidR="00946632" w:rsidRPr="00611CB9" w:rsidRDefault="00946632" w:rsidP="00A7362D">
            <w:pPr>
              <w:spacing w:after="160" w:line="360" w:lineRule="auto"/>
              <w:rPr>
                <w:rFonts w:ascii="Arial" w:hAnsi="Arial" w:cs="Arial"/>
              </w:rPr>
            </w:pPr>
          </w:p>
        </w:tc>
        <w:tc>
          <w:tcPr>
            <w:tcW w:w="0" w:type="auto"/>
            <w:hideMark/>
          </w:tcPr>
          <w:p w14:paraId="4D1E96FE" w14:textId="77777777" w:rsidR="00946632" w:rsidRPr="00611CB9" w:rsidRDefault="00946632" w:rsidP="00A7362D">
            <w:pPr>
              <w:spacing w:after="160" w:line="360" w:lineRule="auto"/>
              <w:rPr>
                <w:rFonts w:ascii="Arial" w:hAnsi="Arial" w:cs="Arial"/>
              </w:rPr>
            </w:pPr>
          </w:p>
        </w:tc>
      </w:tr>
      <w:tr w:rsidR="00946632" w:rsidRPr="00611CB9" w14:paraId="09C10515" w14:textId="77777777" w:rsidTr="00946632">
        <w:tc>
          <w:tcPr>
            <w:tcW w:w="0" w:type="auto"/>
            <w:hideMark/>
          </w:tcPr>
          <w:p w14:paraId="162DBC4C" w14:textId="77777777" w:rsidR="00946632" w:rsidRPr="00611CB9" w:rsidRDefault="00946632" w:rsidP="00A7362D">
            <w:pPr>
              <w:spacing w:after="160" w:line="360" w:lineRule="auto"/>
              <w:rPr>
                <w:rFonts w:ascii="Arial" w:hAnsi="Arial" w:cs="Arial"/>
              </w:rPr>
            </w:pPr>
            <w:r w:rsidRPr="00611CB9">
              <w:rPr>
                <w:rFonts w:ascii="Arial" w:hAnsi="Arial" w:cs="Arial"/>
              </w:rPr>
              <w:t>Debt-to-Equity (x)</w:t>
            </w:r>
          </w:p>
        </w:tc>
        <w:tc>
          <w:tcPr>
            <w:tcW w:w="0" w:type="auto"/>
            <w:hideMark/>
          </w:tcPr>
          <w:p w14:paraId="739D712B" w14:textId="77777777" w:rsidR="00946632" w:rsidRPr="00611CB9" w:rsidRDefault="00946632" w:rsidP="00A7362D">
            <w:pPr>
              <w:spacing w:after="160" w:line="360" w:lineRule="auto"/>
              <w:rPr>
                <w:rFonts w:ascii="Arial" w:hAnsi="Arial" w:cs="Arial"/>
              </w:rPr>
            </w:pPr>
            <w:r w:rsidRPr="00611CB9">
              <w:rPr>
                <w:rFonts w:ascii="Arial" w:hAnsi="Arial" w:cs="Arial"/>
              </w:rPr>
              <w:t>1.85</w:t>
            </w:r>
          </w:p>
        </w:tc>
        <w:tc>
          <w:tcPr>
            <w:tcW w:w="0" w:type="auto"/>
            <w:hideMark/>
          </w:tcPr>
          <w:p w14:paraId="7A0B7C59" w14:textId="77777777" w:rsidR="00946632" w:rsidRPr="00611CB9" w:rsidRDefault="00946632" w:rsidP="00A7362D">
            <w:pPr>
              <w:spacing w:after="160" w:line="360" w:lineRule="auto"/>
              <w:rPr>
                <w:rFonts w:ascii="Arial" w:hAnsi="Arial" w:cs="Arial"/>
              </w:rPr>
            </w:pPr>
            <w:r w:rsidRPr="00611CB9">
              <w:rPr>
                <w:rFonts w:ascii="Arial" w:hAnsi="Arial" w:cs="Arial"/>
              </w:rPr>
              <w:t>1.62</w:t>
            </w:r>
          </w:p>
        </w:tc>
        <w:tc>
          <w:tcPr>
            <w:tcW w:w="0" w:type="auto"/>
            <w:hideMark/>
          </w:tcPr>
          <w:p w14:paraId="25AE5ABE" w14:textId="77777777" w:rsidR="00946632" w:rsidRPr="00611CB9" w:rsidRDefault="00946632" w:rsidP="00A7362D">
            <w:pPr>
              <w:spacing w:after="160" w:line="360" w:lineRule="auto"/>
              <w:rPr>
                <w:rFonts w:ascii="Arial" w:hAnsi="Arial" w:cs="Arial"/>
              </w:rPr>
            </w:pPr>
            <w:r w:rsidRPr="00611CB9">
              <w:rPr>
                <w:rFonts w:ascii="Arial" w:hAnsi="Arial" w:cs="Arial"/>
              </w:rPr>
              <w:t>1.45</w:t>
            </w:r>
          </w:p>
        </w:tc>
        <w:tc>
          <w:tcPr>
            <w:tcW w:w="0" w:type="auto"/>
            <w:hideMark/>
          </w:tcPr>
          <w:p w14:paraId="2CDC00F8" w14:textId="77777777" w:rsidR="00946632" w:rsidRPr="00611CB9" w:rsidRDefault="00946632" w:rsidP="00A7362D">
            <w:pPr>
              <w:spacing w:after="160" w:line="360" w:lineRule="auto"/>
              <w:rPr>
                <w:rFonts w:ascii="Arial" w:hAnsi="Arial" w:cs="Arial"/>
              </w:rPr>
            </w:pPr>
            <w:r w:rsidRPr="00611CB9">
              <w:rPr>
                <w:rFonts w:ascii="Arial" w:hAnsi="Arial" w:cs="Arial"/>
              </w:rPr>
              <w:t>1.28</w:t>
            </w:r>
          </w:p>
        </w:tc>
        <w:tc>
          <w:tcPr>
            <w:tcW w:w="0" w:type="auto"/>
            <w:hideMark/>
          </w:tcPr>
          <w:p w14:paraId="0F1DEAAF" w14:textId="77777777" w:rsidR="00946632" w:rsidRPr="00611CB9" w:rsidRDefault="00946632" w:rsidP="00A7362D">
            <w:pPr>
              <w:spacing w:after="160" w:line="360" w:lineRule="auto"/>
              <w:rPr>
                <w:rFonts w:ascii="Arial" w:hAnsi="Arial" w:cs="Arial"/>
              </w:rPr>
            </w:pPr>
            <w:r w:rsidRPr="00611CB9">
              <w:rPr>
                <w:rFonts w:ascii="Arial" w:hAnsi="Arial" w:cs="Arial"/>
              </w:rPr>
              <w:t>1.15</w:t>
            </w:r>
          </w:p>
        </w:tc>
      </w:tr>
      <w:tr w:rsidR="00946632" w:rsidRPr="00611CB9" w14:paraId="000963DF" w14:textId="77777777" w:rsidTr="00946632">
        <w:tc>
          <w:tcPr>
            <w:tcW w:w="0" w:type="auto"/>
            <w:hideMark/>
          </w:tcPr>
          <w:p w14:paraId="4CECB15F" w14:textId="77777777" w:rsidR="00946632" w:rsidRPr="00611CB9" w:rsidRDefault="00946632" w:rsidP="00A7362D">
            <w:pPr>
              <w:spacing w:after="160" w:line="360" w:lineRule="auto"/>
              <w:rPr>
                <w:rFonts w:ascii="Arial" w:hAnsi="Arial" w:cs="Arial"/>
              </w:rPr>
            </w:pPr>
            <w:r w:rsidRPr="00611CB9">
              <w:rPr>
                <w:rFonts w:ascii="Arial" w:hAnsi="Arial" w:cs="Arial"/>
              </w:rPr>
              <w:t>Interest Coverage Ratio (x)</w:t>
            </w:r>
          </w:p>
        </w:tc>
        <w:tc>
          <w:tcPr>
            <w:tcW w:w="0" w:type="auto"/>
            <w:hideMark/>
          </w:tcPr>
          <w:p w14:paraId="2F5D72F0" w14:textId="77777777" w:rsidR="00946632" w:rsidRPr="00611CB9" w:rsidRDefault="00946632" w:rsidP="00A7362D">
            <w:pPr>
              <w:spacing w:after="160" w:line="360" w:lineRule="auto"/>
              <w:rPr>
                <w:rFonts w:ascii="Arial" w:hAnsi="Arial" w:cs="Arial"/>
              </w:rPr>
            </w:pPr>
            <w:r w:rsidRPr="00611CB9">
              <w:rPr>
                <w:rFonts w:ascii="Arial" w:hAnsi="Arial" w:cs="Arial"/>
              </w:rPr>
              <w:t>-0.62</w:t>
            </w:r>
          </w:p>
        </w:tc>
        <w:tc>
          <w:tcPr>
            <w:tcW w:w="0" w:type="auto"/>
            <w:hideMark/>
          </w:tcPr>
          <w:p w14:paraId="2F0F2A78" w14:textId="77777777" w:rsidR="00946632" w:rsidRPr="00611CB9" w:rsidRDefault="00946632" w:rsidP="00A7362D">
            <w:pPr>
              <w:spacing w:after="160" w:line="360" w:lineRule="auto"/>
              <w:rPr>
                <w:rFonts w:ascii="Arial" w:hAnsi="Arial" w:cs="Arial"/>
              </w:rPr>
            </w:pPr>
            <w:r w:rsidRPr="00611CB9">
              <w:rPr>
                <w:rFonts w:ascii="Arial" w:hAnsi="Arial" w:cs="Arial"/>
              </w:rPr>
              <w:t>2.15</w:t>
            </w:r>
          </w:p>
        </w:tc>
        <w:tc>
          <w:tcPr>
            <w:tcW w:w="0" w:type="auto"/>
            <w:hideMark/>
          </w:tcPr>
          <w:p w14:paraId="73DD09CB" w14:textId="77777777" w:rsidR="00946632" w:rsidRPr="00611CB9" w:rsidRDefault="00946632" w:rsidP="00A7362D">
            <w:pPr>
              <w:spacing w:after="160" w:line="360" w:lineRule="auto"/>
              <w:rPr>
                <w:rFonts w:ascii="Arial" w:hAnsi="Arial" w:cs="Arial"/>
              </w:rPr>
            </w:pPr>
            <w:r w:rsidRPr="00611CB9">
              <w:rPr>
                <w:rFonts w:ascii="Arial" w:hAnsi="Arial" w:cs="Arial"/>
              </w:rPr>
              <w:t>3.40</w:t>
            </w:r>
          </w:p>
        </w:tc>
        <w:tc>
          <w:tcPr>
            <w:tcW w:w="0" w:type="auto"/>
            <w:hideMark/>
          </w:tcPr>
          <w:p w14:paraId="01CDA68A" w14:textId="77777777" w:rsidR="00946632" w:rsidRPr="00611CB9" w:rsidRDefault="00946632" w:rsidP="00A7362D">
            <w:pPr>
              <w:spacing w:after="160" w:line="360" w:lineRule="auto"/>
              <w:rPr>
                <w:rFonts w:ascii="Arial" w:hAnsi="Arial" w:cs="Arial"/>
              </w:rPr>
            </w:pPr>
            <w:r w:rsidRPr="00611CB9">
              <w:rPr>
                <w:rFonts w:ascii="Arial" w:hAnsi="Arial" w:cs="Arial"/>
              </w:rPr>
              <w:t>4.85</w:t>
            </w:r>
          </w:p>
        </w:tc>
        <w:tc>
          <w:tcPr>
            <w:tcW w:w="0" w:type="auto"/>
            <w:hideMark/>
          </w:tcPr>
          <w:p w14:paraId="497A9DED" w14:textId="77777777" w:rsidR="00946632" w:rsidRPr="00611CB9" w:rsidRDefault="00946632" w:rsidP="00A7362D">
            <w:pPr>
              <w:spacing w:after="160" w:line="360" w:lineRule="auto"/>
              <w:rPr>
                <w:rFonts w:ascii="Arial" w:hAnsi="Arial" w:cs="Arial"/>
              </w:rPr>
            </w:pPr>
            <w:r w:rsidRPr="00611CB9">
              <w:rPr>
                <w:rFonts w:ascii="Arial" w:hAnsi="Arial" w:cs="Arial"/>
              </w:rPr>
              <w:t>5.60</w:t>
            </w:r>
          </w:p>
        </w:tc>
      </w:tr>
      <w:tr w:rsidR="00946632" w:rsidRPr="00611CB9" w14:paraId="71947F64" w14:textId="77777777" w:rsidTr="00946632">
        <w:tc>
          <w:tcPr>
            <w:tcW w:w="0" w:type="auto"/>
            <w:hideMark/>
          </w:tcPr>
          <w:p w14:paraId="0349132B" w14:textId="77777777" w:rsidR="00946632" w:rsidRPr="00611CB9" w:rsidRDefault="00946632" w:rsidP="00A7362D">
            <w:pPr>
              <w:spacing w:after="160" w:line="360" w:lineRule="auto"/>
              <w:rPr>
                <w:rFonts w:ascii="Arial" w:hAnsi="Arial" w:cs="Arial"/>
              </w:rPr>
            </w:pPr>
            <w:r w:rsidRPr="00611CB9">
              <w:rPr>
                <w:rFonts w:ascii="Arial" w:hAnsi="Arial" w:cs="Arial"/>
                <w:b/>
                <w:bCs/>
              </w:rPr>
              <w:t>Investment Returns</w:t>
            </w:r>
          </w:p>
        </w:tc>
        <w:tc>
          <w:tcPr>
            <w:tcW w:w="0" w:type="auto"/>
            <w:hideMark/>
          </w:tcPr>
          <w:p w14:paraId="25711218" w14:textId="77777777" w:rsidR="00946632" w:rsidRPr="00611CB9" w:rsidRDefault="00946632" w:rsidP="00A7362D">
            <w:pPr>
              <w:spacing w:after="160" w:line="360" w:lineRule="auto"/>
              <w:rPr>
                <w:rFonts w:ascii="Arial" w:hAnsi="Arial" w:cs="Arial"/>
              </w:rPr>
            </w:pPr>
          </w:p>
        </w:tc>
        <w:tc>
          <w:tcPr>
            <w:tcW w:w="0" w:type="auto"/>
            <w:hideMark/>
          </w:tcPr>
          <w:p w14:paraId="7DCFF00F" w14:textId="77777777" w:rsidR="00946632" w:rsidRPr="00611CB9" w:rsidRDefault="00946632" w:rsidP="00A7362D">
            <w:pPr>
              <w:spacing w:after="160" w:line="360" w:lineRule="auto"/>
              <w:rPr>
                <w:rFonts w:ascii="Arial" w:hAnsi="Arial" w:cs="Arial"/>
              </w:rPr>
            </w:pPr>
          </w:p>
        </w:tc>
        <w:tc>
          <w:tcPr>
            <w:tcW w:w="0" w:type="auto"/>
            <w:hideMark/>
          </w:tcPr>
          <w:p w14:paraId="2D39792B" w14:textId="77777777" w:rsidR="00946632" w:rsidRPr="00611CB9" w:rsidRDefault="00946632" w:rsidP="00A7362D">
            <w:pPr>
              <w:spacing w:after="160" w:line="360" w:lineRule="auto"/>
              <w:rPr>
                <w:rFonts w:ascii="Arial" w:hAnsi="Arial" w:cs="Arial"/>
              </w:rPr>
            </w:pPr>
          </w:p>
        </w:tc>
        <w:tc>
          <w:tcPr>
            <w:tcW w:w="0" w:type="auto"/>
            <w:hideMark/>
          </w:tcPr>
          <w:p w14:paraId="10EA3B12" w14:textId="77777777" w:rsidR="00946632" w:rsidRPr="00611CB9" w:rsidRDefault="00946632" w:rsidP="00A7362D">
            <w:pPr>
              <w:spacing w:after="160" w:line="360" w:lineRule="auto"/>
              <w:rPr>
                <w:rFonts w:ascii="Arial" w:hAnsi="Arial" w:cs="Arial"/>
              </w:rPr>
            </w:pPr>
          </w:p>
        </w:tc>
        <w:tc>
          <w:tcPr>
            <w:tcW w:w="0" w:type="auto"/>
            <w:hideMark/>
          </w:tcPr>
          <w:p w14:paraId="04E8C9DB" w14:textId="77777777" w:rsidR="00946632" w:rsidRPr="00611CB9" w:rsidRDefault="00946632" w:rsidP="00A7362D">
            <w:pPr>
              <w:spacing w:after="160" w:line="360" w:lineRule="auto"/>
              <w:rPr>
                <w:rFonts w:ascii="Arial" w:hAnsi="Arial" w:cs="Arial"/>
              </w:rPr>
            </w:pPr>
          </w:p>
        </w:tc>
      </w:tr>
      <w:tr w:rsidR="00946632" w:rsidRPr="00611CB9" w14:paraId="42CCC5F4" w14:textId="77777777" w:rsidTr="00946632">
        <w:tc>
          <w:tcPr>
            <w:tcW w:w="0" w:type="auto"/>
            <w:hideMark/>
          </w:tcPr>
          <w:p w14:paraId="68E81F4E" w14:textId="77777777" w:rsidR="00946632" w:rsidRPr="00611CB9" w:rsidRDefault="00946632" w:rsidP="00A7362D">
            <w:pPr>
              <w:spacing w:after="160" w:line="360" w:lineRule="auto"/>
              <w:rPr>
                <w:rFonts w:ascii="Arial" w:hAnsi="Arial" w:cs="Arial"/>
              </w:rPr>
            </w:pPr>
            <w:r w:rsidRPr="00611CB9">
              <w:rPr>
                <w:rFonts w:ascii="Arial" w:hAnsi="Arial" w:cs="Arial"/>
              </w:rPr>
              <w:t>Earnings Per Share ($)</w:t>
            </w:r>
          </w:p>
        </w:tc>
        <w:tc>
          <w:tcPr>
            <w:tcW w:w="0" w:type="auto"/>
            <w:hideMark/>
          </w:tcPr>
          <w:p w14:paraId="2C05D678" w14:textId="77777777" w:rsidR="00946632" w:rsidRPr="00611CB9" w:rsidRDefault="00946632" w:rsidP="00A7362D">
            <w:pPr>
              <w:spacing w:after="160" w:line="360" w:lineRule="auto"/>
              <w:rPr>
                <w:rFonts w:ascii="Arial" w:hAnsi="Arial" w:cs="Arial"/>
              </w:rPr>
            </w:pPr>
            <w:r w:rsidRPr="00611CB9">
              <w:rPr>
                <w:rFonts w:ascii="Arial" w:hAnsi="Arial" w:cs="Arial"/>
              </w:rPr>
              <w:t>-2.04</w:t>
            </w:r>
          </w:p>
        </w:tc>
        <w:tc>
          <w:tcPr>
            <w:tcW w:w="0" w:type="auto"/>
            <w:hideMark/>
          </w:tcPr>
          <w:p w14:paraId="770178FB" w14:textId="77777777" w:rsidR="00946632" w:rsidRPr="00611CB9" w:rsidRDefault="00946632" w:rsidP="00A7362D">
            <w:pPr>
              <w:spacing w:after="160" w:line="360" w:lineRule="auto"/>
              <w:rPr>
                <w:rFonts w:ascii="Arial" w:hAnsi="Arial" w:cs="Arial"/>
              </w:rPr>
            </w:pPr>
            <w:r w:rsidRPr="00611CB9">
              <w:rPr>
                <w:rFonts w:ascii="Arial" w:hAnsi="Arial" w:cs="Arial"/>
              </w:rPr>
              <w:t>4.12</w:t>
            </w:r>
          </w:p>
        </w:tc>
        <w:tc>
          <w:tcPr>
            <w:tcW w:w="0" w:type="auto"/>
            <w:hideMark/>
          </w:tcPr>
          <w:p w14:paraId="0E8B28A7" w14:textId="77777777" w:rsidR="00946632" w:rsidRPr="00611CB9" w:rsidRDefault="00946632" w:rsidP="00A7362D">
            <w:pPr>
              <w:spacing w:after="160" w:line="360" w:lineRule="auto"/>
              <w:rPr>
                <w:rFonts w:ascii="Arial" w:hAnsi="Arial" w:cs="Arial"/>
              </w:rPr>
            </w:pPr>
            <w:r w:rsidRPr="00611CB9">
              <w:rPr>
                <w:rFonts w:ascii="Arial" w:hAnsi="Arial" w:cs="Arial"/>
              </w:rPr>
              <w:t>6.30</w:t>
            </w:r>
          </w:p>
        </w:tc>
        <w:tc>
          <w:tcPr>
            <w:tcW w:w="0" w:type="auto"/>
            <w:hideMark/>
          </w:tcPr>
          <w:p w14:paraId="0BA33EB3" w14:textId="77777777" w:rsidR="00946632" w:rsidRPr="00611CB9" w:rsidRDefault="00946632" w:rsidP="00A7362D">
            <w:pPr>
              <w:spacing w:after="160" w:line="360" w:lineRule="auto"/>
              <w:rPr>
                <w:rFonts w:ascii="Arial" w:hAnsi="Arial" w:cs="Arial"/>
              </w:rPr>
            </w:pPr>
            <w:r w:rsidRPr="00611CB9">
              <w:rPr>
                <w:rFonts w:ascii="Arial" w:hAnsi="Arial" w:cs="Arial"/>
              </w:rPr>
              <w:t>7.45</w:t>
            </w:r>
          </w:p>
        </w:tc>
        <w:tc>
          <w:tcPr>
            <w:tcW w:w="0" w:type="auto"/>
            <w:hideMark/>
          </w:tcPr>
          <w:p w14:paraId="10A91D11" w14:textId="77777777" w:rsidR="00946632" w:rsidRPr="00611CB9" w:rsidRDefault="00946632" w:rsidP="00A7362D">
            <w:pPr>
              <w:spacing w:after="160" w:line="360" w:lineRule="auto"/>
              <w:rPr>
                <w:rFonts w:ascii="Arial" w:hAnsi="Arial" w:cs="Arial"/>
              </w:rPr>
            </w:pPr>
            <w:r w:rsidRPr="00611CB9">
              <w:rPr>
                <w:rFonts w:ascii="Arial" w:hAnsi="Arial" w:cs="Arial"/>
              </w:rPr>
              <w:t>8.82</w:t>
            </w:r>
          </w:p>
        </w:tc>
      </w:tr>
    </w:tbl>
    <w:p w14:paraId="33C645E5" w14:textId="77777777" w:rsidR="00946632" w:rsidRPr="00611CB9" w:rsidRDefault="00946632" w:rsidP="00A7362D">
      <w:pPr>
        <w:spacing w:line="360" w:lineRule="auto"/>
        <w:rPr>
          <w:rFonts w:ascii="Arial" w:hAnsi="Arial" w:cs="Arial"/>
        </w:rPr>
      </w:pPr>
    </w:p>
    <w:p w14:paraId="19F9CF04" w14:textId="1D557AD3" w:rsidR="00946632" w:rsidRPr="00611CB9" w:rsidRDefault="00277003" w:rsidP="00A7362D">
      <w:pPr>
        <w:pStyle w:val="Heading2"/>
        <w:rPr>
          <w:rFonts w:ascii="Arial" w:hAnsi="Arial" w:cs="Arial"/>
        </w:rPr>
      </w:pPr>
      <w:bookmarkStart w:id="3" w:name="_Toc235474568"/>
      <w:r w:rsidRPr="00611CB9">
        <w:rPr>
          <w:rFonts w:ascii="Arial" w:hAnsi="Arial" w:cs="Arial"/>
        </w:rPr>
        <w:t xml:space="preserve">1.2 </w:t>
      </w:r>
      <w:r w:rsidR="00946632" w:rsidRPr="00611CB9">
        <w:rPr>
          <w:rFonts w:ascii="Arial" w:hAnsi="Arial" w:cs="Arial"/>
        </w:rPr>
        <w:t>In-Depth trend evaluation</w:t>
      </w:r>
      <w:bookmarkEnd w:id="3"/>
    </w:p>
    <w:p w14:paraId="1BCB3847" w14:textId="4E46EF63" w:rsidR="00946632" w:rsidRPr="00611CB9" w:rsidRDefault="00946632" w:rsidP="00A7362D">
      <w:pPr>
        <w:spacing w:line="360" w:lineRule="auto"/>
        <w:rPr>
          <w:rFonts w:ascii="Arial" w:hAnsi="Arial" w:cs="Arial"/>
        </w:rPr>
      </w:pPr>
      <w:r w:rsidRPr="00611CB9">
        <w:rPr>
          <w:rFonts w:ascii="Arial" w:hAnsi="Arial" w:cs="Arial"/>
        </w:rPr>
        <w:t xml:space="preserve">In the year 2021, Hyatt recorded an Operating Profit Margin of -7.2% and </w:t>
      </w:r>
      <w:r w:rsidR="00A677F3" w:rsidRPr="00611CB9">
        <w:rPr>
          <w:rFonts w:ascii="Arial" w:hAnsi="Arial" w:cs="Arial"/>
        </w:rPr>
        <w:t>a</w:t>
      </w:r>
      <w:r w:rsidRPr="00611CB9">
        <w:rPr>
          <w:rFonts w:ascii="Arial" w:hAnsi="Arial" w:cs="Arial"/>
        </w:rPr>
        <w:t xml:space="preserve"> negative ROE of -12.4%, heavily suppressed by the </w:t>
      </w:r>
      <w:r w:rsidR="00A677F3" w:rsidRPr="00611CB9">
        <w:rPr>
          <w:rFonts w:ascii="Arial" w:hAnsi="Arial" w:cs="Arial"/>
        </w:rPr>
        <w:t>restrictions</w:t>
      </w:r>
      <w:r w:rsidRPr="00611CB9">
        <w:rPr>
          <w:rFonts w:ascii="Arial" w:hAnsi="Arial" w:cs="Arial"/>
        </w:rPr>
        <w:t xml:space="preserve"> on cross-border travel and the initial consolidation costs of ALG. Meanwhile, as documented across global accommodation studies, the post-pandemic cycle witnessed an aggressive pricing adjustment framework driven by the high average daily rates (ADR) and the leisure demand normalisation</w:t>
      </w:r>
      <w:r w:rsidR="00A73E5B" w:rsidRPr="00611CB9">
        <w:rPr>
          <w:rFonts w:ascii="Arial" w:hAnsi="Arial" w:cs="Arial"/>
        </w:rPr>
        <w:t xml:space="preserve"> (</w:t>
      </w:r>
      <w:r w:rsidR="00A73E5B" w:rsidRPr="00611CB9">
        <w:rPr>
          <w:rFonts w:ascii="Arial" w:eastAsiaTheme="minorEastAsia" w:hAnsi="Arial" w:cs="Arial"/>
        </w:rPr>
        <w:t>Umeaduma, 2022</w:t>
      </w:r>
      <w:r w:rsidR="00A73E5B" w:rsidRPr="00611CB9">
        <w:rPr>
          <w:rFonts w:ascii="Arial" w:hAnsi="Arial" w:cs="Arial"/>
        </w:rPr>
        <w:t>)</w:t>
      </w:r>
      <w:r w:rsidRPr="00611CB9">
        <w:rPr>
          <w:rFonts w:ascii="Arial" w:hAnsi="Arial" w:cs="Arial"/>
        </w:rPr>
        <w:t>. By 2025, the operating profit margin of Hyatt expanded to 14.8%</w:t>
      </w:r>
      <w:r w:rsidR="00A677F3" w:rsidRPr="00611CB9">
        <w:rPr>
          <w:rFonts w:ascii="Arial" w:hAnsi="Arial" w:cs="Arial"/>
        </w:rPr>
        <w:t>,</w:t>
      </w:r>
      <w:r w:rsidRPr="00611CB9">
        <w:rPr>
          <w:rFonts w:ascii="Arial" w:hAnsi="Arial" w:cs="Arial"/>
        </w:rPr>
        <w:t xml:space="preserve"> and ROE reached 18.2%. This structural progression validates the asset-light strategy, which decreases the direct property operating costs and capitalises on the high-margin management and franchise fees.</w:t>
      </w:r>
    </w:p>
    <w:p w14:paraId="2E917B68" w14:textId="4B0D2343" w:rsidR="00946632" w:rsidRPr="00611CB9" w:rsidRDefault="00946632" w:rsidP="00A7362D">
      <w:pPr>
        <w:spacing w:line="360" w:lineRule="auto"/>
        <w:rPr>
          <w:rFonts w:ascii="Arial" w:hAnsi="Arial" w:cs="Arial"/>
          <w:b/>
          <w:bCs/>
          <w:i/>
          <w:iCs/>
        </w:rPr>
      </w:pPr>
      <w:r w:rsidRPr="00611CB9">
        <w:rPr>
          <w:rFonts w:ascii="Arial" w:hAnsi="Arial" w:cs="Arial"/>
          <w:b/>
          <w:bCs/>
          <w:i/>
          <w:iCs/>
        </w:rPr>
        <w:t xml:space="preserve">Efficiency and capital usage </w:t>
      </w:r>
    </w:p>
    <w:p w14:paraId="18BF7EB8" w14:textId="309F598C" w:rsidR="00946632" w:rsidRPr="00611CB9" w:rsidRDefault="00946632" w:rsidP="00A7362D">
      <w:pPr>
        <w:spacing w:line="360" w:lineRule="auto"/>
        <w:rPr>
          <w:rFonts w:ascii="Arial" w:hAnsi="Arial" w:cs="Arial"/>
        </w:rPr>
      </w:pPr>
      <w:r w:rsidRPr="00611CB9">
        <w:rPr>
          <w:rFonts w:ascii="Arial" w:hAnsi="Arial" w:cs="Arial"/>
        </w:rPr>
        <w:t xml:space="preserve">The asset turnover ratio improved consecutively from 0.28x in 2021 to 0.61x in 2025. This historical </w:t>
      </w:r>
      <w:r w:rsidR="00277003" w:rsidRPr="00611CB9">
        <w:rPr>
          <w:rFonts w:ascii="Arial" w:hAnsi="Arial" w:cs="Arial"/>
        </w:rPr>
        <w:t>trend shows</w:t>
      </w:r>
      <w:r w:rsidRPr="00611CB9">
        <w:rPr>
          <w:rFonts w:ascii="Arial" w:hAnsi="Arial" w:cs="Arial"/>
        </w:rPr>
        <w:t xml:space="preserve"> the divestment of </w:t>
      </w:r>
      <w:r w:rsidR="00A677F3" w:rsidRPr="00611CB9">
        <w:rPr>
          <w:rFonts w:ascii="Arial" w:hAnsi="Arial" w:cs="Arial"/>
        </w:rPr>
        <w:t xml:space="preserve">Hyatt's </w:t>
      </w:r>
      <w:r w:rsidRPr="00611CB9">
        <w:rPr>
          <w:rFonts w:ascii="Arial" w:hAnsi="Arial" w:cs="Arial"/>
        </w:rPr>
        <w:t>own real estate and its strategic emphasis on the management of properties owned by third-party investors. By removing the capital-intensive fixed assets from the balance sheet while simultaneously expanding its system-wide room count, Hyatt significantly optimised its top-line generation potential per dollar of the asset invested.</w:t>
      </w:r>
    </w:p>
    <w:p w14:paraId="613D6722" w14:textId="3DB0A060" w:rsidR="00946632" w:rsidRPr="00611CB9" w:rsidRDefault="00946632" w:rsidP="00A7362D">
      <w:pPr>
        <w:spacing w:line="360" w:lineRule="auto"/>
        <w:rPr>
          <w:rFonts w:ascii="Arial" w:hAnsi="Arial" w:cs="Arial"/>
          <w:b/>
          <w:bCs/>
          <w:i/>
          <w:iCs/>
        </w:rPr>
      </w:pPr>
      <w:r w:rsidRPr="00611CB9">
        <w:rPr>
          <w:rFonts w:ascii="Arial" w:hAnsi="Arial" w:cs="Arial"/>
          <w:b/>
          <w:bCs/>
          <w:i/>
          <w:iCs/>
        </w:rPr>
        <w:lastRenderedPageBreak/>
        <w:t xml:space="preserve">Gearing and solvency profiles </w:t>
      </w:r>
    </w:p>
    <w:p w14:paraId="359A4074" w14:textId="14B4B98F" w:rsidR="00946632" w:rsidRPr="00611CB9" w:rsidRDefault="00946632" w:rsidP="00A7362D">
      <w:pPr>
        <w:spacing w:line="360" w:lineRule="auto"/>
        <w:rPr>
          <w:rFonts w:ascii="Arial" w:hAnsi="Arial" w:cs="Arial"/>
        </w:rPr>
      </w:pPr>
      <w:r w:rsidRPr="00611CB9">
        <w:rPr>
          <w:rFonts w:ascii="Arial" w:hAnsi="Arial" w:cs="Arial"/>
        </w:rPr>
        <w:t xml:space="preserve">The aggressive acquisition strategy in 2021 elevated the leverage of Hyatt, resulting in </w:t>
      </w:r>
      <w:r w:rsidR="00A677F3" w:rsidRPr="00611CB9">
        <w:rPr>
          <w:rFonts w:ascii="Arial" w:hAnsi="Arial" w:cs="Arial"/>
        </w:rPr>
        <w:t xml:space="preserve">a </w:t>
      </w:r>
      <w:r w:rsidRPr="00611CB9">
        <w:rPr>
          <w:rFonts w:ascii="Arial" w:hAnsi="Arial" w:cs="Arial"/>
        </w:rPr>
        <w:t xml:space="preserve">Debt-to-Equity ratio of 1.85x and </w:t>
      </w:r>
      <w:r w:rsidR="00A677F3" w:rsidRPr="00611CB9">
        <w:rPr>
          <w:rFonts w:ascii="Arial" w:hAnsi="Arial" w:cs="Arial"/>
        </w:rPr>
        <w:t>a</w:t>
      </w:r>
      <w:r w:rsidRPr="00611CB9">
        <w:rPr>
          <w:rFonts w:ascii="Arial" w:hAnsi="Arial" w:cs="Arial"/>
        </w:rPr>
        <w:t xml:space="preserve"> negative interest coverage ratio of -0.62x, </w:t>
      </w:r>
      <w:r w:rsidR="00A677F3" w:rsidRPr="00611CB9">
        <w:rPr>
          <w:rFonts w:ascii="Arial" w:hAnsi="Arial" w:cs="Arial"/>
        </w:rPr>
        <w:t>indicating</w:t>
      </w:r>
      <w:r w:rsidRPr="00611CB9">
        <w:rPr>
          <w:rFonts w:ascii="Arial" w:hAnsi="Arial" w:cs="Arial"/>
        </w:rPr>
        <w:t xml:space="preserve"> that operating income failed to cover fixed obligations. High fixed costs are </w:t>
      </w:r>
      <w:r w:rsidR="00A677F3" w:rsidRPr="00611CB9">
        <w:rPr>
          <w:rFonts w:ascii="Arial" w:hAnsi="Arial" w:cs="Arial"/>
        </w:rPr>
        <w:t xml:space="preserve">a </w:t>
      </w:r>
      <w:r w:rsidRPr="00611CB9">
        <w:rPr>
          <w:rFonts w:ascii="Arial" w:hAnsi="Arial" w:cs="Arial"/>
        </w:rPr>
        <w:t xml:space="preserve">structural vulnerability during industry demand shocks. Understanding this, executive management </w:t>
      </w:r>
      <w:r w:rsidR="00A677F3" w:rsidRPr="00611CB9">
        <w:rPr>
          <w:rFonts w:ascii="Arial" w:hAnsi="Arial" w:cs="Arial"/>
        </w:rPr>
        <w:t>utilised</w:t>
      </w:r>
      <w:r w:rsidRPr="00611CB9">
        <w:rPr>
          <w:rFonts w:ascii="Arial" w:hAnsi="Arial" w:cs="Arial"/>
        </w:rPr>
        <w:t xml:space="preserve"> fee cash flows generated between the </w:t>
      </w:r>
      <w:r w:rsidR="00A677F3" w:rsidRPr="00611CB9">
        <w:rPr>
          <w:rFonts w:ascii="Arial" w:hAnsi="Arial" w:cs="Arial"/>
        </w:rPr>
        <w:t>years</w:t>
      </w:r>
      <w:r w:rsidRPr="00611CB9">
        <w:rPr>
          <w:rFonts w:ascii="Arial" w:hAnsi="Arial" w:cs="Arial"/>
        </w:rPr>
        <w:t xml:space="preserve"> 2021 and 2025 alongside proceeds from the selective asset sales to pay down long-term debt. Consequently, by 2025, the Debt-to-Equity ratio </w:t>
      </w:r>
      <w:r w:rsidR="00A677F3" w:rsidRPr="00611CB9">
        <w:rPr>
          <w:rFonts w:ascii="Arial" w:hAnsi="Arial" w:cs="Arial"/>
        </w:rPr>
        <w:t>fell</w:t>
      </w:r>
      <w:r w:rsidRPr="00611CB9">
        <w:rPr>
          <w:rFonts w:ascii="Arial" w:hAnsi="Arial" w:cs="Arial"/>
        </w:rPr>
        <w:t xml:space="preserve"> to a safer 1.15x, and the Interest coverage ratio expanded to 5.60x, mitigating long-term default risk. </w:t>
      </w:r>
    </w:p>
    <w:p w14:paraId="1A130C3A" w14:textId="57277B1E" w:rsidR="00946632" w:rsidRPr="00611CB9" w:rsidRDefault="00277003" w:rsidP="00A7362D">
      <w:pPr>
        <w:pStyle w:val="Heading2"/>
        <w:rPr>
          <w:rFonts w:ascii="Arial" w:hAnsi="Arial" w:cs="Arial"/>
        </w:rPr>
      </w:pPr>
      <w:bookmarkStart w:id="4" w:name="_Toc235474569"/>
      <w:r w:rsidRPr="00611CB9">
        <w:rPr>
          <w:rFonts w:ascii="Arial" w:hAnsi="Arial" w:cs="Arial"/>
        </w:rPr>
        <w:t xml:space="preserve">1.3 </w:t>
      </w:r>
      <w:r w:rsidR="00946632" w:rsidRPr="00611CB9">
        <w:rPr>
          <w:rFonts w:ascii="Arial" w:hAnsi="Arial" w:cs="Arial"/>
        </w:rPr>
        <w:t>Sector Liquidity Benchmarking.</w:t>
      </w:r>
      <w:bookmarkEnd w:id="4"/>
      <w:r w:rsidR="00946632" w:rsidRPr="00611CB9">
        <w:rPr>
          <w:rFonts w:ascii="Arial" w:hAnsi="Arial" w:cs="Arial"/>
        </w:rPr>
        <w:t xml:space="preserve"> </w:t>
      </w:r>
    </w:p>
    <w:p w14:paraId="2C9BCF61" w14:textId="4F928E42" w:rsidR="00946632" w:rsidRPr="00611CB9" w:rsidRDefault="00946632" w:rsidP="00A7362D">
      <w:pPr>
        <w:spacing w:line="360" w:lineRule="auto"/>
        <w:rPr>
          <w:rFonts w:ascii="Arial" w:hAnsi="Arial" w:cs="Arial"/>
        </w:rPr>
      </w:pPr>
      <w:r w:rsidRPr="00611CB9">
        <w:rPr>
          <w:rFonts w:ascii="Arial" w:hAnsi="Arial" w:cs="Arial"/>
        </w:rPr>
        <w:t xml:space="preserve">While the profitability and gearing metrics </w:t>
      </w:r>
      <w:r w:rsidR="00A677F3" w:rsidRPr="00611CB9">
        <w:rPr>
          <w:rFonts w:ascii="Arial" w:hAnsi="Arial" w:cs="Arial"/>
        </w:rPr>
        <w:t>show</w:t>
      </w:r>
      <w:r w:rsidRPr="00611CB9">
        <w:rPr>
          <w:rFonts w:ascii="Arial" w:hAnsi="Arial" w:cs="Arial"/>
        </w:rPr>
        <w:t xml:space="preserve"> robust health, the liquidity position of Hyatt presents structural contractions that need immediate executive attention. </w:t>
      </w:r>
    </w:p>
    <w:p w14:paraId="618828B8" w14:textId="2750CF9A" w:rsidR="007F713F" w:rsidRPr="00611CB9" w:rsidRDefault="007F713F" w:rsidP="00A7362D">
      <w:pPr>
        <w:spacing w:line="360" w:lineRule="auto"/>
        <w:rPr>
          <w:rFonts w:ascii="Arial" w:hAnsi="Arial" w:cs="Arial"/>
          <w:b/>
          <w:bCs/>
          <w:i/>
          <w:iCs/>
        </w:rPr>
      </w:pPr>
      <w:r w:rsidRPr="00611CB9">
        <w:rPr>
          <w:rFonts w:ascii="Arial" w:hAnsi="Arial" w:cs="Arial"/>
          <w:b/>
          <w:bCs/>
          <w:i/>
          <w:iCs/>
        </w:rPr>
        <w:t xml:space="preserve">The Liquidity Paradox </w:t>
      </w:r>
    </w:p>
    <w:p w14:paraId="3F61AD9B" w14:textId="3A272D77" w:rsidR="007F713F" w:rsidRPr="00611CB9" w:rsidRDefault="008C526B" w:rsidP="00A7362D">
      <w:pPr>
        <w:spacing w:line="360" w:lineRule="auto"/>
        <w:rPr>
          <w:rFonts w:ascii="Arial" w:hAnsi="Arial" w:cs="Arial"/>
        </w:rPr>
      </w:pPr>
      <w:r w:rsidRPr="00611CB9">
        <w:rPr>
          <w:rFonts w:ascii="Arial" w:hAnsi="Arial" w:cs="Arial"/>
        </w:rPr>
        <w:t xml:space="preserve">In 2021, Hyatt held substantial cash buffers to withstand the operational uncertainty, increasing its current ratio to 1.42x, well above the historical sector benchmark of 1.10x-1.20x. </w:t>
      </w:r>
      <w:r w:rsidR="00A677F3" w:rsidRPr="00611CB9">
        <w:rPr>
          <w:rFonts w:ascii="Arial" w:hAnsi="Arial" w:cs="Arial"/>
        </w:rPr>
        <w:t>Meanwhile</w:t>
      </w:r>
      <w:r w:rsidRPr="00611CB9">
        <w:rPr>
          <w:rFonts w:ascii="Arial" w:hAnsi="Arial" w:cs="Arial"/>
        </w:rPr>
        <w:t>, as the operations normalised, Hyatt entered a deficit position relative to the industry</w:t>
      </w:r>
      <w:r w:rsidR="00A677F3" w:rsidRPr="00611CB9">
        <w:rPr>
          <w:rFonts w:ascii="Arial" w:hAnsi="Arial" w:cs="Arial"/>
        </w:rPr>
        <w:t>,</w:t>
      </w:r>
      <w:r w:rsidRPr="00611CB9">
        <w:rPr>
          <w:rFonts w:ascii="Arial" w:hAnsi="Arial" w:cs="Arial"/>
        </w:rPr>
        <w:t xml:space="preserve"> with the current ratio decreasing to 0.78x in 2024 before </w:t>
      </w:r>
      <w:r w:rsidR="00A677F3" w:rsidRPr="00611CB9">
        <w:rPr>
          <w:rFonts w:ascii="Arial" w:hAnsi="Arial" w:cs="Arial"/>
        </w:rPr>
        <w:t>stabilising</w:t>
      </w:r>
      <w:r w:rsidRPr="00611CB9">
        <w:rPr>
          <w:rFonts w:ascii="Arial" w:hAnsi="Arial" w:cs="Arial"/>
        </w:rPr>
        <w:t xml:space="preserve"> slightly at 0.81x in 2025. The quick ratio shows a similar trend, settling at 0.74x in  2025. </w:t>
      </w:r>
    </w:p>
    <w:p w14:paraId="49D65DA4" w14:textId="5C13DE2B" w:rsidR="008C526B" w:rsidRPr="00611CB9" w:rsidRDefault="008C526B" w:rsidP="00A7362D">
      <w:pPr>
        <w:spacing w:line="360" w:lineRule="auto"/>
        <w:rPr>
          <w:rFonts w:ascii="Arial" w:hAnsi="Arial" w:cs="Arial"/>
        </w:rPr>
      </w:pPr>
      <w:r w:rsidRPr="00611CB9">
        <w:rPr>
          <w:rFonts w:ascii="Arial" w:hAnsi="Arial" w:cs="Arial"/>
        </w:rPr>
        <w:t xml:space="preserve">In asset-heavy legacy models, a current ratio below 1.0x shows severe short-term insolvency risk. Meanwhile, in modern corporate hospitality operations, large organisations intentionally run tight working capital structures. This compression is driven by the rapid collection cycles from digital booking platforms and the high accrued loyalty program liability </w:t>
      </w:r>
      <w:r w:rsidR="00A677F3" w:rsidRPr="00611CB9">
        <w:rPr>
          <w:rFonts w:ascii="Arial" w:hAnsi="Arial" w:cs="Arial"/>
        </w:rPr>
        <w:t>classified</w:t>
      </w:r>
      <w:r w:rsidRPr="00611CB9">
        <w:rPr>
          <w:rFonts w:ascii="Arial" w:hAnsi="Arial" w:cs="Arial"/>
        </w:rPr>
        <w:t xml:space="preserve"> under short-term obligations</w:t>
      </w:r>
      <w:r w:rsidR="00A73E5B" w:rsidRPr="00611CB9">
        <w:rPr>
          <w:rFonts w:ascii="Arial" w:hAnsi="Arial" w:cs="Arial"/>
        </w:rPr>
        <w:t xml:space="preserve">. </w:t>
      </w:r>
      <w:r w:rsidRPr="00611CB9">
        <w:rPr>
          <w:rFonts w:ascii="Arial" w:hAnsi="Arial" w:cs="Arial"/>
        </w:rPr>
        <w:t xml:space="preserve"> </w:t>
      </w:r>
    </w:p>
    <w:p w14:paraId="1B32514D" w14:textId="4CE194EF" w:rsidR="008C526B" w:rsidRPr="00611CB9" w:rsidRDefault="008C526B" w:rsidP="00A7362D">
      <w:pPr>
        <w:spacing w:line="360" w:lineRule="auto"/>
        <w:rPr>
          <w:rFonts w:ascii="Arial" w:hAnsi="Arial" w:cs="Arial"/>
        </w:rPr>
      </w:pPr>
      <w:r w:rsidRPr="00611CB9">
        <w:rPr>
          <w:rFonts w:ascii="Arial" w:hAnsi="Arial" w:cs="Arial"/>
        </w:rPr>
        <w:t xml:space="preserve">Apart from this justification, the liquidity of Hyatt remains significantly lower than its peer group benchmark. This difference stems from the rapid growth matching cycle of Hyatt, which used short-term credit facilities to bridge asset acquisitions. This leads to a persistent mismatch between the short-term obligations and liquid working capital elements. </w:t>
      </w:r>
    </w:p>
    <w:p w14:paraId="0BE0D9DC" w14:textId="0A577C1C" w:rsidR="008C526B" w:rsidRPr="00611CB9" w:rsidRDefault="00277003" w:rsidP="00A7362D">
      <w:pPr>
        <w:pStyle w:val="Heading2"/>
        <w:rPr>
          <w:rFonts w:ascii="Arial" w:hAnsi="Arial" w:cs="Arial"/>
        </w:rPr>
      </w:pPr>
      <w:bookmarkStart w:id="5" w:name="_Toc235474570"/>
      <w:r w:rsidRPr="00611CB9">
        <w:rPr>
          <w:rFonts w:ascii="Arial" w:hAnsi="Arial" w:cs="Arial"/>
        </w:rPr>
        <w:lastRenderedPageBreak/>
        <w:t xml:space="preserve">1.4 </w:t>
      </w:r>
      <w:r w:rsidR="008C526B" w:rsidRPr="00611CB9">
        <w:rPr>
          <w:rFonts w:ascii="Arial" w:hAnsi="Arial" w:cs="Arial"/>
        </w:rPr>
        <w:t>Strengths, Weaknesses and Threats</w:t>
      </w:r>
      <w:bookmarkEnd w:id="5"/>
      <w:r w:rsidR="008C526B" w:rsidRPr="00611CB9">
        <w:rPr>
          <w:rFonts w:ascii="Arial" w:hAnsi="Arial" w:cs="Arial"/>
        </w:rPr>
        <w:t xml:space="preserve"> </w:t>
      </w:r>
    </w:p>
    <w:p w14:paraId="70997AEE" w14:textId="3C81DA9B" w:rsidR="008C526B" w:rsidRPr="00611CB9" w:rsidRDefault="008C526B" w:rsidP="00A7362D">
      <w:pPr>
        <w:pStyle w:val="ListParagraph"/>
        <w:numPr>
          <w:ilvl w:val="0"/>
          <w:numId w:val="2"/>
        </w:numPr>
        <w:spacing w:line="360" w:lineRule="auto"/>
        <w:rPr>
          <w:rFonts w:ascii="Arial" w:hAnsi="Arial" w:cs="Arial"/>
        </w:rPr>
      </w:pPr>
      <w:r w:rsidRPr="00611CB9">
        <w:rPr>
          <w:rFonts w:ascii="Arial" w:hAnsi="Arial" w:cs="Arial"/>
        </w:rPr>
        <w:t>Core Strengths: Highly profitable, fee-based revenue mix, superior ROC progression (18.2%), and effective deleveraging execution resulting in the strong 5.60x interest coverage potential.</w:t>
      </w:r>
    </w:p>
    <w:p w14:paraId="571D5C36" w14:textId="05348E4B" w:rsidR="008C526B" w:rsidRPr="00611CB9" w:rsidRDefault="008C526B" w:rsidP="00A7362D">
      <w:pPr>
        <w:pStyle w:val="ListParagraph"/>
        <w:numPr>
          <w:ilvl w:val="0"/>
          <w:numId w:val="2"/>
        </w:numPr>
        <w:spacing w:line="360" w:lineRule="auto"/>
        <w:rPr>
          <w:rFonts w:ascii="Arial" w:hAnsi="Arial" w:cs="Arial"/>
        </w:rPr>
      </w:pPr>
      <w:r w:rsidRPr="00611CB9">
        <w:rPr>
          <w:rFonts w:ascii="Arial" w:hAnsi="Arial" w:cs="Arial"/>
        </w:rPr>
        <w:t xml:space="preserve">Operational weaknesses: Depressed short-term liquidity profiles relative to industry peers (current ratio of 0.81x v/s benchmark of &gt;1.10x), presenting high dependence on rolling over short-term commercial papers. </w:t>
      </w:r>
    </w:p>
    <w:p w14:paraId="7C01117E" w14:textId="5E6B007B" w:rsidR="008C526B" w:rsidRPr="00611CB9" w:rsidRDefault="008C526B" w:rsidP="00A7362D">
      <w:pPr>
        <w:pStyle w:val="ListParagraph"/>
        <w:numPr>
          <w:ilvl w:val="0"/>
          <w:numId w:val="2"/>
        </w:numPr>
        <w:spacing w:line="360" w:lineRule="auto"/>
        <w:rPr>
          <w:rFonts w:ascii="Arial" w:hAnsi="Arial" w:cs="Arial"/>
        </w:rPr>
      </w:pPr>
      <w:r w:rsidRPr="00611CB9">
        <w:rPr>
          <w:rFonts w:ascii="Arial" w:hAnsi="Arial" w:cs="Arial"/>
        </w:rPr>
        <w:t xml:space="preserve">Macroeconomic threats: Increasing labour and operational expenditures because of structural inflation, coupled with the potential for ‘demand saturation’. Disguising lower market potential through discount-driven occupancy can undermine RevPAR resilience in late-cycle economies. </w:t>
      </w:r>
    </w:p>
    <w:p w14:paraId="17CF3477" w14:textId="4379E49C" w:rsidR="00D709AF" w:rsidRPr="00611CB9" w:rsidRDefault="00277003" w:rsidP="00A7362D">
      <w:pPr>
        <w:pStyle w:val="Heading2"/>
        <w:rPr>
          <w:rFonts w:ascii="Arial" w:hAnsi="Arial" w:cs="Arial"/>
        </w:rPr>
      </w:pPr>
      <w:bookmarkStart w:id="6" w:name="_Toc235474571"/>
      <w:r w:rsidRPr="00611CB9">
        <w:rPr>
          <w:rFonts w:ascii="Arial" w:hAnsi="Arial" w:cs="Arial"/>
        </w:rPr>
        <w:t xml:space="preserve">1.5 </w:t>
      </w:r>
      <w:r w:rsidR="00D709AF" w:rsidRPr="00611CB9">
        <w:rPr>
          <w:rFonts w:ascii="Arial" w:hAnsi="Arial" w:cs="Arial"/>
        </w:rPr>
        <w:t xml:space="preserve">Mathematical </w:t>
      </w:r>
      <w:r w:rsidR="00A677F3" w:rsidRPr="00611CB9">
        <w:rPr>
          <w:rFonts w:ascii="Arial" w:hAnsi="Arial" w:cs="Arial"/>
        </w:rPr>
        <w:t>Modelling</w:t>
      </w:r>
      <w:r w:rsidR="00D709AF" w:rsidRPr="00611CB9">
        <w:rPr>
          <w:rFonts w:ascii="Arial" w:hAnsi="Arial" w:cs="Arial"/>
        </w:rPr>
        <w:t xml:space="preserve"> and Comprehensive Ratio Formulations</w:t>
      </w:r>
      <w:bookmarkEnd w:id="6"/>
    </w:p>
    <w:p w14:paraId="583F8CD0" w14:textId="195FCE93" w:rsidR="00D709AF" w:rsidRPr="00611CB9" w:rsidRDefault="00D709AF" w:rsidP="00A7362D">
      <w:pPr>
        <w:spacing w:line="360" w:lineRule="auto"/>
        <w:rPr>
          <w:rFonts w:ascii="Arial" w:hAnsi="Arial" w:cs="Arial"/>
        </w:rPr>
      </w:pPr>
      <w:r w:rsidRPr="00611CB9">
        <w:rPr>
          <w:rFonts w:ascii="Arial" w:hAnsi="Arial" w:cs="Arial"/>
        </w:rPr>
        <w:t xml:space="preserve">To ensure methodological transparency, the analysis applies strict accounting principles </w:t>
      </w:r>
      <w:r w:rsidR="00A677F3" w:rsidRPr="00611CB9">
        <w:rPr>
          <w:rFonts w:ascii="Arial" w:hAnsi="Arial" w:cs="Arial"/>
        </w:rPr>
        <w:t>to</w:t>
      </w:r>
      <w:r w:rsidRPr="00611CB9">
        <w:rPr>
          <w:rFonts w:ascii="Arial" w:hAnsi="Arial" w:cs="Arial"/>
        </w:rPr>
        <w:t xml:space="preserve"> evaluate corporate value. </w:t>
      </w:r>
    </w:p>
    <w:p w14:paraId="649474D1" w14:textId="7022CA7F" w:rsidR="00D709AF" w:rsidRPr="00611CB9" w:rsidRDefault="00D709AF" w:rsidP="00A7362D">
      <w:pPr>
        <w:spacing w:line="360" w:lineRule="auto"/>
        <w:rPr>
          <w:rFonts w:ascii="Arial" w:hAnsi="Arial" w:cs="Arial"/>
          <w:b/>
          <w:bCs/>
          <w:i/>
          <w:iCs/>
        </w:rPr>
      </w:pPr>
      <w:r w:rsidRPr="00611CB9">
        <w:rPr>
          <w:rFonts w:ascii="Arial" w:hAnsi="Arial" w:cs="Arial"/>
          <w:b/>
          <w:bCs/>
          <w:i/>
          <w:iCs/>
        </w:rPr>
        <w:t xml:space="preserve">Profitability and return modelling </w:t>
      </w:r>
    </w:p>
    <w:p w14:paraId="25DB4EBD" w14:textId="1DCA072B" w:rsidR="00D709AF" w:rsidRPr="00611CB9" w:rsidRDefault="00D709AF" w:rsidP="00A7362D">
      <w:pPr>
        <w:spacing w:line="360" w:lineRule="auto"/>
        <w:rPr>
          <w:rFonts w:ascii="Arial" w:hAnsi="Arial" w:cs="Arial"/>
        </w:rPr>
      </w:pPr>
      <w:r w:rsidRPr="00611CB9">
        <w:rPr>
          <w:rFonts w:ascii="Arial" w:hAnsi="Arial" w:cs="Arial"/>
        </w:rPr>
        <w:t xml:space="preserve">The return on equity is calculated through the DuPont identity: </w:t>
      </w:r>
    </w:p>
    <w:p w14:paraId="115826B1" w14:textId="20967F86" w:rsidR="00D709AF" w:rsidRPr="00611CB9" w:rsidRDefault="00D709AF" w:rsidP="00A7362D">
      <w:pPr>
        <w:spacing w:line="360" w:lineRule="auto"/>
        <w:rPr>
          <w:rFonts w:ascii="Arial" w:eastAsiaTheme="minorEastAsia" w:hAnsi="Arial" w:cs="Arial"/>
        </w:rPr>
      </w:pPr>
      <m:oMathPara>
        <m:oMath>
          <m:r>
            <m:rPr>
              <m:nor/>
            </m:rPr>
            <w:rPr>
              <w:rFonts w:ascii="Arial" w:hAnsi="Arial" w:cs="Arial"/>
            </w:rPr>
            <m:t>ROE</m:t>
          </m:r>
          <m:r>
            <w:rPr>
              <w:rFonts w:ascii="Cambria Math" w:hAnsi="Cambria Math" w:cs="Arial"/>
            </w:rPr>
            <m:t>=</m:t>
          </m:r>
          <m:f>
            <m:fPr>
              <m:ctrlPr>
                <w:rPr>
                  <w:rFonts w:ascii="Cambria Math" w:hAnsi="Cambria Math" w:cs="Arial"/>
                </w:rPr>
              </m:ctrlPr>
            </m:fPr>
            <m:num>
              <m:r>
                <m:rPr>
                  <m:nor/>
                </m:rPr>
                <w:rPr>
                  <w:rFonts w:ascii="Arial" w:hAnsi="Arial" w:cs="Arial"/>
                </w:rPr>
                <m:t>Net Income</m:t>
              </m:r>
            </m:num>
            <m:den>
              <m:r>
                <m:rPr>
                  <m:nor/>
                </m:rPr>
                <w:rPr>
                  <w:rFonts w:ascii="Arial" w:hAnsi="Arial" w:cs="Arial"/>
                </w:rPr>
                <m:t>Revenue</m:t>
              </m:r>
            </m:den>
          </m:f>
          <m:r>
            <w:rPr>
              <w:rFonts w:ascii="Cambria Math" w:hAnsi="Cambria Math" w:cs="Arial"/>
            </w:rPr>
            <m:t>×</m:t>
          </m:r>
          <m:f>
            <m:fPr>
              <m:ctrlPr>
                <w:rPr>
                  <w:rFonts w:ascii="Cambria Math" w:hAnsi="Cambria Math" w:cs="Arial"/>
                </w:rPr>
              </m:ctrlPr>
            </m:fPr>
            <m:num>
              <m:r>
                <m:rPr>
                  <m:nor/>
                </m:rPr>
                <w:rPr>
                  <w:rFonts w:ascii="Arial" w:hAnsi="Arial" w:cs="Arial"/>
                </w:rPr>
                <m:t>Revenue</m:t>
              </m:r>
            </m:num>
            <m:den>
              <m:r>
                <m:rPr>
                  <m:nor/>
                </m:rPr>
                <w:rPr>
                  <w:rFonts w:ascii="Arial" w:hAnsi="Arial" w:cs="Arial"/>
                </w:rPr>
                <m:t>Total Assets</m:t>
              </m:r>
            </m:den>
          </m:f>
          <m:r>
            <w:rPr>
              <w:rFonts w:ascii="Cambria Math" w:hAnsi="Cambria Math" w:cs="Arial"/>
            </w:rPr>
            <m:t>×</m:t>
          </m:r>
          <m:f>
            <m:fPr>
              <m:ctrlPr>
                <w:rPr>
                  <w:rFonts w:ascii="Cambria Math" w:hAnsi="Cambria Math" w:cs="Arial"/>
                </w:rPr>
              </m:ctrlPr>
            </m:fPr>
            <m:num>
              <m:r>
                <m:rPr>
                  <m:nor/>
                </m:rPr>
                <w:rPr>
                  <w:rFonts w:ascii="Arial" w:hAnsi="Arial" w:cs="Arial"/>
                </w:rPr>
                <m:t>Total Assets</m:t>
              </m:r>
            </m:num>
            <m:den>
              <m:r>
                <m:rPr>
                  <m:nor/>
                </m:rPr>
                <w:rPr>
                  <w:rFonts w:ascii="Arial" w:hAnsi="Arial" w:cs="Arial"/>
                </w:rPr>
                <m:t>Shareholders' Equity</m:t>
              </m:r>
            </m:den>
          </m:f>
        </m:oMath>
      </m:oMathPara>
    </w:p>
    <w:p w14:paraId="0DA6C0EA" w14:textId="409BB299" w:rsidR="00D709AF" w:rsidRPr="00611CB9" w:rsidRDefault="00D709AF" w:rsidP="00A7362D">
      <w:pPr>
        <w:spacing w:line="360" w:lineRule="auto"/>
        <w:rPr>
          <w:rFonts w:ascii="Arial" w:eastAsiaTheme="minorEastAsia" w:hAnsi="Arial" w:cs="Arial"/>
        </w:rPr>
      </w:pPr>
      <w:r w:rsidRPr="00611CB9">
        <w:rPr>
          <w:rFonts w:ascii="Arial" w:eastAsiaTheme="minorEastAsia" w:hAnsi="Arial" w:cs="Arial"/>
        </w:rPr>
        <w:t xml:space="preserve">This breakdown shows that Hyatt’s ROE surge to 18.2% in 2025 was not driven by risky financial leverage, but by the expansion in the net profit margins and optimised asset turnover (0.61x). </w:t>
      </w:r>
    </w:p>
    <w:p w14:paraId="2B1A5135" w14:textId="65B0894F" w:rsidR="00D709AF" w:rsidRPr="00611CB9" w:rsidRDefault="00D709AF" w:rsidP="00A7362D">
      <w:pPr>
        <w:spacing w:line="360" w:lineRule="auto"/>
        <w:rPr>
          <w:rFonts w:ascii="Arial" w:eastAsiaTheme="minorEastAsia" w:hAnsi="Arial" w:cs="Arial"/>
          <w:b/>
          <w:bCs/>
          <w:i/>
          <w:iCs/>
        </w:rPr>
      </w:pPr>
      <w:r w:rsidRPr="00611CB9">
        <w:rPr>
          <w:rFonts w:ascii="Arial" w:eastAsiaTheme="minorEastAsia" w:hAnsi="Arial" w:cs="Arial"/>
          <w:b/>
          <w:bCs/>
          <w:i/>
          <w:iCs/>
        </w:rPr>
        <w:t>Cash flow performance ratio</w:t>
      </w:r>
    </w:p>
    <w:p w14:paraId="050D71DD" w14:textId="6A18D843" w:rsidR="00D709AF" w:rsidRPr="00611CB9" w:rsidRDefault="00D709AF" w:rsidP="00A7362D">
      <w:pPr>
        <w:spacing w:line="360" w:lineRule="auto"/>
        <w:rPr>
          <w:rFonts w:ascii="Arial" w:eastAsiaTheme="minorEastAsia" w:hAnsi="Arial" w:cs="Arial"/>
        </w:rPr>
      </w:pPr>
      <w:r w:rsidRPr="00611CB9">
        <w:rPr>
          <w:rFonts w:ascii="Arial" w:eastAsiaTheme="minorEastAsia" w:hAnsi="Arial" w:cs="Arial"/>
        </w:rPr>
        <w:t xml:space="preserve">To evaluate the quality of </w:t>
      </w:r>
      <w:r w:rsidR="00A677F3" w:rsidRPr="00611CB9">
        <w:rPr>
          <w:rFonts w:ascii="Arial" w:eastAsiaTheme="minorEastAsia" w:hAnsi="Arial" w:cs="Arial"/>
        </w:rPr>
        <w:t>Hyatt's</w:t>
      </w:r>
      <w:r w:rsidRPr="00611CB9">
        <w:rPr>
          <w:rFonts w:ascii="Arial" w:eastAsiaTheme="minorEastAsia" w:hAnsi="Arial" w:cs="Arial"/>
        </w:rPr>
        <w:t xml:space="preserve"> earnings, analysis of the Operating Cash Flow (OCF) to Net Debt Ratio and the Cash Flow Adequacy ratio is calculated</w:t>
      </w:r>
      <w:r w:rsidR="00A677F3" w:rsidRPr="00611CB9">
        <w:rPr>
          <w:rFonts w:ascii="Arial" w:eastAsiaTheme="minorEastAsia" w:hAnsi="Arial" w:cs="Arial"/>
        </w:rPr>
        <w:t>.</w:t>
      </w:r>
      <w:r w:rsidRPr="00611CB9">
        <w:rPr>
          <w:rFonts w:ascii="Arial" w:eastAsiaTheme="minorEastAsia" w:hAnsi="Arial" w:cs="Arial"/>
        </w:rPr>
        <w:t xml:space="preserve"> </w:t>
      </w:r>
    </w:p>
    <w:p w14:paraId="50900B45" w14:textId="6D566A22" w:rsidR="00D709AF" w:rsidRPr="00611CB9" w:rsidRDefault="00D709AF" w:rsidP="00A7362D">
      <w:pPr>
        <w:spacing w:line="360" w:lineRule="auto"/>
        <w:rPr>
          <w:rFonts w:ascii="Arial" w:eastAsiaTheme="minorEastAsia" w:hAnsi="Arial" w:cs="Arial"/>
        </w:rPr>
      </w:pPr>
      <m:oMathPara>
        <m:oMath>
          <m:r>
            <m:rPr>
              <m:nor/>
            </m:rPr>
            <w:rPr>
              <w:rFonts w:ascii="Arial" w:eastAsiaTheme="minorEastAsia" w:hAnsi="Arial" w:cs="Arial"/>
            </w:rPr>
            <m:t>Cash Flow Adequacy</m:t>
          </m:r>
          <m:r>
            <w:rPr>
              <w:rFonts w:ascii="Cambria Math" w:eastAsiaTheme="minorEastAsia" w:hAnsi="Cambria Math" w:cs="Arial"/>
            </w:rPr>
            <m:t>=</m:t>
          </m:r>
          <m:f>
            <m:fPr>
              <m:ctrlPr>
                <w:rPr>
                  <w:rFonts w:ascii="Cambria Math" w:eastAsiaTheme="minorEastAsia" w:hAnsi="Cambria Math" w:cs="Arial"/>
                </w:rPr>
              </m:ctrlPr>
            </m:fPr>
            <m:num>
              <m:r>
                <m:rPr>
                  <m:nor/>
                </m:rPr>
                <w:rPr>
                  <w:rFonts w:ascii="Arial" w:eastAsiaTheme="minorEastAsia" w:hAnsi="Arial" w:cs="Arial"/>
                </w:rPr>
                <m:t>Cash Flow from Operations</m:t>
              </m:r>
            </m:num>
            <m:den>
              <m:r>
                <m:rPr>
                  <m:nor/>
                </m:rPr>
                <w:rPr>
                  <w:rFonts w:ascii="Arial" w:eastAsiaTheme="minorEastAsia" w:hAnsi="Arial" w:cs="Arial"/>
                </w:rPr>
                <m:t>Capital Expenditures</m:t>
              </m:r>
              <m:r>
                <w:rPr>
                  <w:rFonts w:ascii="Cambria Math" w:eastAsiaTheme="minorEastAsia" w:hAnsi="Cambria Math" w:cs="Arial"/>
                </w:rPr>
                <m:t>+</m:t>
              </m:r>
              <m:r>
                <m:rPr>
                  <m:nor/>
                </m:rPr>
                <w:rPr>
                  <w:rFonts w:ascii="Arial" w:eastAsiaTheme="minorEastAsia" w:hAnsi="Arial" w:cs="Arial"/>
                </w:rPr>
                <m:t>Debt Repayments</m:t>
              </m:r>
              <m:r>
                <w:rPr>
                  <w:rFonts w:ascii="Cambria Math" w:eastAsiaTheme="minorEastAsia" w:hAnsi="Cambria Math" w:cs="Arial"/>
                </w:rPr>
                <m:t>+</m:t>
              </m:r>
              <m:r>
                <m:rPr>
                  <m:nor/>
                </m:rPr>
                <w:rPr>
                  <w:rFonts w:ascii="Arial" w:eastAsiaTheme="minorEastAsia" w:hAnsi="Arial" w:cs="Arial"/>
                </w:rPr>
                <m:t>Dividends Paid</m:t>
              </m:r>
            </m:den>
          </m:f>
        </m:oMath>
      </m:oMathPara>
    </w:p>
    <w:p w14:paraId="224ADBFA" w14:textId="209C10B1" w:rsidR="00D709AF" w:rsidRPr="00611CB9" w:rsidRDefault="00D709AF" w:rsidP="00A7362D">
      <w:pPr>
        <w:spacing w:line="360" w:lineRule="auto"/>
        <w:rPr>
          <w:rFonts w:ascii="Arial" w:eastAsiaTheme="minorEastAsia" w:hAnsi="Arial" w:cs="Arial"/>
        </w:rPr>
      </w:pPr>
      <w:r w:rsidRPr="00611CB9">
        <w:rPr>
          <w:rFonts w:ascii="Arial" w:eastAsiaTheme="minorEastAsia" w:hAnsi="Arial" w:cs="Arial"/>
        </w:rPr>
        <w:t xml:space="preserve">In the year 2021, the cash flow adequacy ratio of Hyatt was deeply negative (-0.15) due to the high cash burn and the operational pauses. By the year 2025, this metric recovered to 1.35, confirming that Hyatt generates sufficient organic cash from the operations to cover capital reinvestments, shareholder distributions and debt amortisation without depending on dilutive equity financing. </w:t>
      </w:r>
    </w:p>
    <w:p w14:paraId="6C30D854" w14:textId="793FA21C" w:rsidR="00D709AF" w:rsidRPr="00611CB9" w:rsidRDefault="00D709AF" w:rsidP="00A7362D">
      <w:pPr>
        <w:spacing w:line="360" w:lineRule="auto"/>
        <w:rPr>
          <w:rFonts w:ascii="Arial" w:eastAsiaTheme="minorEastAsia" w:hAnsi="Arial" w:cs="Arial"/>
          <w:b/>
          <w:bCs/>
          <w:i/>
          <w:iCs/>
        </w:rPr>
      </w:pPr>
      <w:r w:rsidRPr="00611CB9">
        <w:rPr>
          <w:rFonts w:ascii="Arial" w:eastAsiaTheme="minorEastAsia" w:hAnsi="Arial" w:cs="Arial"/>
          <w:b/>
          <w:bCs/>
          <w:i/>
          <w:iCs/>
        </w:rPr>
        <w:lastRenderedPageBreak/>
        <w:t xml:space="preserve">Gearing and capital structures </w:t>
      </w:r>
    </w:p>
    <w:p w14:paraId="6E34CB6D" w14:textId="5AEF7C72" w:rsidR="00E24BA7" w:rsidRPr="00611CB9" w:rsidRDefault="00E24BA7" w:rsidP="00A7362D">
      <w:pPr>
        <w:spacing w:line="360" w:lineRule="auto"/>
        <w:rPr>
          <w:rFonts w:ascii="Arial" w:eastAsiaTheme="minorEastAsia" w:hAnsi="Arial" w:cs="Arial"/>
        </w:rPr>
      </w:pPr>
      <w:r w:rsidRPr="00611CB9">
        <w:rPr>
          <w:rFonts w:ascii="Arial" w:eastAsiaTheme="minorEastAsia" w:hAnsi="Arial" w:cs="Arial"/>
        </w:rPr>
        <w:t xml:space="preserve">The structural leverage is measured using the Debt-to-Capitalisation model: </w:t>
      </w:r>
    </w:p>
    <w:p w14:paraId="1EA302AF" w14:textId="44B5A737" w:rsidR="00E24BA7" w:rsidRPr="00611CB9" w:rsidRDefault="00E24BA7" w:rsidP="00A7362D">
      <w:pPr>
        <w:spacing w:line="360" w:lineRule="auto"/>
        <w:rPr>
          <w:rFonts w:ascii="Arial" w:eastAsiaTheme="minorEastAsia" w:hAnsi="Arial" w:cs="Arial"/>
        </w:rPr>
      </w:pPr>
      <m:oMathPara>
        <m:oMath>
          <m:r>
            <m:rPr>
              <m:nor/>
            </m:rPr>
            <w:rPr>
              <w:rFonts w:ascii="Arial" w:eastAsiaTheme="minorEastAsia" w:hAnsi="Arial" w:cs="Arial"/>
            </w:rPr>
            <m:t>Debt-to-Capitalization</m:t>
          </m:r>
          <m:r>
            <w:rPr>
              <w:rFonts w:ascii="Cambria Math" w:eastAsiaTheme="minorEastAsia" w:hAnsi="Cambria Math" w:cs="Arial"/>
            </w:rPr>
            <m:t>=</m:t>
          </m:r>
          <m:f>
            <m:fPr>
              <m:ctrlPr>
                <w:rPr>
                  <w:rFonts w:ascii="Cambria Math" w:eastAsiaTheme="minorEastAsia" w:hAnsi="Cambria Math" w:cs="Arial"/>
                </w:rPr>
              </m:ctrlPr>
            </m:fPr>
            <m:num>
              <m:r>
                <m:rPr>
                  <m:nor/>
                </m:rPr>
                <w:rPr>
                  <w:rFonts w:ascii="Arial" w:eastAsiaTheme="minorEastAsia" w:hAnsi="Arial" w:cs="Arial"/>
                </w:rPr>
                <m:t>Total Debt</m:t>
              </m:r>
            </m:num>
            <m:den>
              <m:r>
                <m:rPr>
                  <m:nor/>
                </m:rPr>
                <w:rPr>
                  <w:rFonts w:ascii="Arial" w:eastAsiaTheme="minorEastAsia" w:hAnsi="Arial" w:cs="Arial"/>
                </w:rPr>
                <m:t>Total Debt</m:t>
              </m:r>
              <m:r>
                <w:rPr>
                  <w:rFonts w:ascii="Cambria Math" w:eastAsiaTheme="minorEastAsia" w:hAnsi="Cambria Math" w:cs="Arial"/>
                </w:rPr>
                <m:t>+</m:t>
              </m:r>
              <m:r>
                <m:rPr>
                  <m:nor/>
                </m:rPr>
                <w:rPr>
                  <w:rFonts w:ascii="Arial" w:eastAsiaTheme="minorEastAsia" w:hAnsi="Arial" w:cs="Arial"/>
                </w:rPr>
                <m:t>Shareholders' Equity</m:t>
              </m:r>
            </m:den>
          </m:f>
        </m:oMath>
      </m:oMathPara>
    </w:p>
    <w:p w14:paraId="5E694565" w14:textId="11BCD722" w:rsidR="00E24BA7" w:rsidRPr="00611CB9" w:rsidRDefault="00E24BA7" w:rsidP="00A7362D">
      <w:pPr>
        <w:spacing w:line="360" w:lineRule="auto"/>
        <w:rPr>
          <w:rFonts w:ascii="Arial" w:eastAsiaTheme="minorEastAsia" w:hAnsi="Arial" w:cs="Arial"/>
        </w:rPr>
      </w:pPr>
      <w:r w:rsidRPr="00611CB9">
        <w:rPr>
          <w:rFonts w:ascii="Arial" w:eastAsiaTheme="minorEastAsia" w:hAnsi="Arial" w:cs="Arial"/>
        </w:rPr>
        <w:t xml:space="preserve">This decreased from 64.9% in 2021 to 53.4% in 2025. The decrease confirms a robust deleveraging pathway, shielding the organisation from credit downgrades during the macroeconomic interest rate fluctuations. </w:t>
      </w:r>
    </w:p>
    <w:p w14:paraId="63258ACE" w14:textId="2399D74F" w:rsidR="00E24BA7" w:rsidRPr="00611CB9" w:rsidRDefault="00277003" w:rsidP="00A7362D">
      <w:pPr>
        <w:pStyle w:val="Heading2"/>
        <w:rPr>
          <w:rFonts w:ascii="Arial" w:eastAsiaTheme="minorEastAsia" w:hAnsi="Arial" w:cs="Arial"/>
        </w:rPr>
      </w:pPr>
      <w:bookmarkStart w:id="7" w:name="_Toc235474572"/>
      <w:r w:rsidRPr="00611CB9">
        <w:rPr>
          <w:rFonts w:ascii="Arial" w:eastAsiaTheme="minorEastAsia" w:hAnsi="Arial" w:cs="Arial"/>
        </w:rPr>
        <w:t xml:space="preserve">1.6 </w:t>
      </w:r>
      <w:r w:rsidR="00E24BA7" w:rsidRPr="00611CB9">
        <w:rPr>
          <w:rFonts w:ascii="Arial" w:eastAsiaTheme="minorEastAsia" w:hAnsi="Arial" w:cs="Arial"/>
        </w:rPr>
        <w:t>Critical evaluation of sector liquidity and structural risks</w:t>
      </w:r>
      <w:bookmarkEnd w:id="7"/>
    </w:p>
    <w:p w14:paraId="0339239A" w14:textId="67A655CF" w:rsidR="00E24BA7" w:rsidRPr="00611CB9" w:rsidRDefault="00E24BA7" w:rsidP="00A7362D">
      <w:pPr>
        <w:spacing w:line="360" w:lineRule="auto"/>
        <w:rPr>
          <w:rFonts w:ascii="Arial" w:eastAsiaTheme="minorEastAsia" w:hAnsi="Arial" w:cs="Arial"/>
        </w:rPr>
      </w:pPr>
      <w:r w:rsidRPr="00611CB9">
        <w:rPr>
          <w:rFonts w:ascii="Arial" w:eastAsiaTheme="minorEastAsia" w:hAnsi="Arial" w:cs="Arial"/>
        </w:rPr>
        <w:t xml:space="preserve">The steady </w:t>
      </w:r>
      <w:r w:rsidR="00A677F3" w:rsidRPr="00611CB9">
        <w:rPr>
          <w:rFonts w:ascii="Arial" w:eastAsiaTheme="minorEastAsia" w:hAnsi="Arial" w:cs="Arial"/>
        </w:rPr>
        <w:t>contraction</w:t>
      </w:r>
      <w:r w:rsidRPr="00611CB9">
        <w:rPr>
          <w:rFonts w:ascii="Arial" w:eastAsiaTheme="minorEastAsia" w:hAnsi="Arial" w:cs="Arial"/>
        </w:rPr>
        <w:t xml:space="preserve"> of the quick ratio of Hyatt to 0.74x in 2025 demands rigorous corporate evaluation. In the classic financial theory, a quick ratio below 1.0 implies a structural inability to liquidate the short-term assets to clear current liabilities immediately if </w:t>
      </w:r>
      <w:r w:rsidR="00277003" w:rsidRPr="00611CB9">
        <w:rPr>
          <w:rFonts w:ascii="Arial" w:eastAsiaTheme="minorEastAsia" w:hAnsi="Arial" w:cs="Arial"/>
        </w:rPr>
        <w:t>a</w:t>
      </w:r>
      <w:r w:rsidRPr="00611CB9">
        <w:rPr>
          <w:rFonts w:ascii="Arial" w:eastAsiaTheme="minorEastAsia" w:hAnsi="Arial" w:cs="Arial"/>
        </w:rPr>
        <w:t xml:space="preserve"> sudden credit call takes place. Within the hospitality sector, this risk is partially navigated by the </w:t>
      </w:r>
      <w:r w:rsidRPr="00611CB9">
        <w:rPr>
          <w:rFonts w:ascii="Arial" w:eastAsiaTheme="minorEastAsia" w:hAnsi="Arial" w:cs="Arial"/>
          <w:b/>
          <w:bCs/>
          <w:i/>
          <w:iCs/>
        </w:rPr>
        <w:t xml:space="preserve">negative working capital advantage. </w:t>
      </w:r>
      <w:r w:rsidR="008616CD" w:rsidRPr="00611CB9">
        <w:rPr>
          <w:rFonts w:ascii="Arial" w:eastAsiaTheme="minorEastAsia" w:hAnsi="Arial" w:cs="Arial"/>
        </w:rPr>
        <w:t xml:space="preserve">As consumer hotel bookings are paid upfront using digital reservation platforms, whereas trade payables to corporate suppliers are strategically deferred on 30- to 60-day credit lines, Hyatt uses the highly dynamic operating cash buffer. This structure allows the corporation to fund the daily operational activities using immediate revenue collection instead </w:t>
      </w:r>
      <w:r w:rsidR="00A677F3" w:rsidRPr="00611CB9">
        <w:rPr>
          <w:rFonts w:ascii="Arial" w:eastAsiaTheme="minorEastAsia" w:hAnsi="Arial" w:cs="Arial"/>
        </w:rPr>
        <w:t>of</w:t>
      </w:r>
      <w:r w:rsidR="008616CD" w:rsidRPr="00611CB9">
        <w:rPr>
          <w:rFonts w:ascii="Arial" w:eastAsiaTheme="minorEastAsia" w:hAnsi="Arial" w:cs="Arial"/>
        </w:rPr>
        <w:t xml:space="preserve"> maintaining costly, idle cash balances. </w:t>
      </w:r>
    </w:p>
    <w:p w14:paraId="6F1FC05A" w14:textId="1B1B8973" w:rsidR="008616CD" w:rsidRPr="00611CB9" w:rsidRDefault="008616CD" w:rsidP="00A7362D">
      <w:pPr>
        <w:spacing w:line="360" w:lineRule="auto"/>
        <w:rPr>
          <w:rFonts w:ascii="Arial" w:eastAsiaTheme="minorEastAsia" w:hAnsi="Arial" w:cs="Arial"/>
        </w:rPr>
      </w:pPr>
      <w:r w:rsidRPr="00611CB9">
        <w:rPr>
          <w:rFonts w:ascii="Arial" w:eastAsiaTheme="minorEastAsia" w:hAnsi="Arial" w:cs="Arial"/>
        </w:rPr>
        <w:t xml:space="preserve">Apart from this </w:t>
      </w:r>
      <w:r w:rsidR="008A52DE" w:rsidRPr="00611CB9">
        <w:rPr>
          <w:rFonts w:ascii="Arial" w:eastAsiaTheme="minorEastAsia" w:hAnsi="Arial" w:cs="Arial"/>
        </w:rPr>
        <w:t>operational optimisation, aggressive benchmarking shows that Hyatt maintains a higher concentration of short-term commercial paper debt relative to major peers</w:t>
      </w:r>
      <w:r w:rsidR="00A677F3" w:rsidRPr="00611CB9">
        <w:rPr>
          <w:rFonts w:ascii="Arial" w:eastAsiaTheme="minorEastAsia" w:hAnsi="Arial" w:cs="Arial"/>
        </w:rPr>
        <w:t>. In</w:t>
      </w:r>
      <w:r w:rsidR="008A52DE" w:rsidRPr="00611CB9">
        <w:rPr>
          <w:rFonts w:ascii="Arial" w:eastAsiaTheme="minorEastAsia" w:hAnsi="Arial" w:cs="Arial"/>
        </w:rPr>
        <w:t xml:space="preserve"> expansionary phases, they expose the group to vital rollover and refinancing risks in the case the global credit markets experience sudden liquidity contractions or macroeconomic interest rate shocks. </w:t>
      </w:r>
    </w:p>
    <w:p w14:paraId="2AAEEF8D" w14:textId="512CCE7C" w:rsidR="008A52DE" w:rsidRPr="00611CB9" w:rsidRDefault="008A52DE" w:rsidP="00A7362D">
      <w:pPr>
        <w:spacing w:line="360" w:lineRule="auto"/>
        <w:rPr>
          <w:rFonts w:ascii="Arial" w:eastAsiaTheme="minorEastAsia" w:hAnsi="Arial" w:cs="Arial"/>
        </w:rPr>
      </w:pPr>
      <w:r w:rsidRPr="00611CB9">
        <w:rPr>
          <w:rFonts w:ascii="Arial" w:eastAsiaTheme="minorEastAsia" w:hAnsi="Arial" w:cs="Arial"/>
        </w:rPr>
        <w:t xml:space="preserve">Moreover, the aggressive asset-light transition of Hyatt has led to dependence on deferred franchise fees that are vulnerable to regional economic slowdowns. If the occupancy metrics compress, the cash inflows </w:t>
      </w:r>
      <w:r w:rsidR="00A677F3" w:rsidRPr="00611CB9">
        <w:rPr>
          <w:rFonts w:ascii="Arial" w:eastAsiaTheme="minorEastAsia" w:hAnsi="Arial" w:cs="Arial"/>
        </w:rPr>
        <w:t>needed</w:t>
      </w:r>
      <w:r w:rsidRPr="00611CB9">
        <w:rPr>
          <w:rFonts w:ascii="Arial" w:eastAsiaTheme="minorEastAsia" w:hAnsi="Arial" w:cs="Arial"/>
        </w:rPr>
        <w:t xml:space="preserve"> to service these short-term notes could diminish rapidly. Hence, while the profitability trends of Hyatt remain exceptional, its compressed liquidity profile </w:t>
      </w:r>
      <w:r w:rsidR="00A677F3" w:rsidRPr="00611CB9">
        <w:rPr>
          <w:rFonts w:ascii="Arial" w:eastAsiaTheme="minorEastAsia" w:hAnsi="Arial" w:cs="Arial"/>
        </w:rPr>
        <w:t>shows</w:t>
      </w:r>
      <w:r w:rsidRPr="00611CB9">
        <w:rPr>
          <w:rFonts w:ascii="Arial" w:eastAsiaTheme="minorEastAsia" w:hAnsi="Arial" w:cs="Arial"/>
        </w:rPr>
        <w:t xml:space="preserve"> a different operational vulnerability. To safeguard against unexpected systemic shocks, the executive board must implement structured working capital reforms, actively increasing its debt maturity profiles to align more securely with the historical international benchmarks in hospitality. </w:t>
      </w:r>
    </w:p>
    <w:p w14:paraId="1FBBD822" w14:textId="09C1B9CA" w:rsidR="00E774BC" w:rsidRPr="00611CB9" w:rsidRDefault="00277003" w:rsidP="00A7362D">
      <w:pPr>
        <w:pStyle w:val="Heading1"/>
        <w:rPr>
          <w:rFonts w:ascii="Arial" w:eastAsiaTheme="minorEastAsia" w:hAnsi="Arial" w:cs="Arial"/>
        </w:rPr>
      </w:pPr>
      <w:bookmarkStart w:id="8" w:name="_Toc235474573"/>
      <w:r w:rsidRPr="00611CB9">
        <w:rPr>
          <w:rFonts w:ascii="Arial" w:eastAsiaTheme="minorEastAsia" w:hAnsi="Arial" w:cs="Arial"/>
        </w:rPr>
        <w:lastRenderedPageBreak/>
        <w:t xml:space="preserve">2 </w:t>
      </w:r>
      <w:r w:rsidR="00E774BC" w:rsidRPr="00611CB9">
        <w:rPr>
          <w:rFonts w:ascii="Arial" w:eastAsiaTheme="minorEastAsia" w:hAnsi="Arial" w:cs="Arial"/>
        </w:rPr>
        <w:t>Working Capital Management Analysis</w:t>
      </w:r>
      <w:bookmarkEnd w:id="8"/>
      <w:r w:rsidR="00E774BC" w:rsidRPr="00611CB9">
        <w:rPr>
          <w:rFonts w:ascii="Arial" w:eastAsiaTheme="minorEastAsia" w:hAnsi="Arial" w:cs="Arial"/>
        </w:rPr>
        <w:t xml:space="preserve"> </w:t>
      </w:r>
    </w:p>
    <w:p w14:paraId="105EFB09" w14:textId="10C0B4FB" w:rsidR="00E774BC" w:rsidRPr="00611CB9" w:rsidRDefault="00277003" w:rsidP="00A7362D">
      <w:pPr>
        <w:pStyle w:val="Heading2"/>
        <w:rPr>
          <w:rFonts w:ascii="Arial" w:eastAsiaTheme="minorEastAsia" w:hAnsi="Arial" w:cs="Arial"/>
        </w:rPr>
      </w:pPr>
      <w:bookmarkStart w:id="9" w:name="_Toc235474574"/>
      <w:r w:rsidRPr="00611CB9">
        <w:rPr>
          <w:rFonts w:ascii="Arial" w:eastAsiaTheme="minorEastAsia" w:hAnsi="Arial" w:cs="Arial"/>
        </w:rPr>
        <w:t xml:space="preserve">2.1 </w:t>
      </w:r>
      <w:r w:rsidR="00E774BC" w:rsidRPr="00611CB9">
        <w:rPr>
          <w:rFonts w:ascii="Arial" w:eastAsiaTheme="minorEastAsia" w:hAnsi="Arial" w:cs="Arial"/>
        </w:rPr>
        <w:t>Cash Operating Cycle Assessment</w:t>
      </w:r>
      <w:bookmarkEnd w:id="9"/>
      <w:r w:rsidR="00E774BC" w:rsidRPr="00611CB9">
        <w:rPr>
          <w:rFonts w:ascii="Arial" w:eastAsiaTheme="minorEastAsia" w:hAnsi="Arial" w:cs="Arial"/>
        </w:rPr>
        <w:t xml:space="preserve"> </w:t>
      </w:r>
    </w:p>
    <w:p w14:paraId="523F6F33" w14:textId="3524C312" w:rsidR="00E774BC" w:rsidRPr="00611CB9" w:rsidRDefault="00E774BC" w:rsidP="00A7362D">
      <w:pPr>
        <w:spacing w:line="360" w:lineRule="auto"/>
        <w:rPr>
          <w:rFonts w:ascii="Arial" w:eastAsiaTheme="minorEastAsia" w:hAnsi="Arial" w:cs="Arial"/>
        </w:rPr>
      </w:pPr>
      <w:r w:rsidRPr="00611CB9">
        <w:rPr>
          <w:rFonts w:ascii="Arial" w:eastAsiaTheme="minorEastAsia" w:hAnsi="Arial" w:cs="Arial"/>
        </w:rPr>
        <w:t xml:space="preserve">To evaluate the operating efficiency of the Hyatt Hotels </w:t>
      </w:r>
      <w:r w:rsidR="00277003" w:rsidRPr="00611CB9">
        <w:rPr>
          <w:rFonts w:ascii="Arial" w:eastAsiaTheme="minorEastAsia" w:hAnsi="Arial" w:cs="Arial"/>
        </w:rPr>
        <w:t>Corporation</w:t>
      </w:r>
      <w:r w:rsidRPr="00611CB9">
        <w:rPr>
          <w:rFonts w:ascii="Arial" w:eastAsiaTheme="minorEastAsia" w:hAnsi="Arial" w:cs="Arial"/>
        </w:rPr>
        <w:t xml:space="preserve">, the cash operating cycle (or the cash conversion cycle) provides the primary metric. This framework measures the net time that is elapsed between the cash outflow for the operating inputs and the cash inflow from the consumer collections. For the multinational hotel operator working under the asset-light framework, the cycle is modelled mathematically as: </w:t>
      </w:r>
    </w:p>
    <w:p w14:paraId="3AEEA6AD" w14:textId="75E947A6" w:rsidR="00E774BC" w:rsidRPr="00611CB9" w:rsidRDefault="00E774BC" w:rsidP="00A7362D">
      <w:pPr>
        <w:spacing w:line="360" w:lineRule="auto"/>
        <w:rPr>
          <w:rFonts w:ascii="Arial" w:eastAsiaTheme="minorEastAsia" w:hAnsi="Arial" w:cs="Arial"/>
        </w:rPr>
      </w:pPr>
      <m:oMathPara>
        <m:oMath>
          <m:r>
            <m:rPr>
              <m:nor/>
            </m:rPr>
            <w:rPr>
              <w:rFonts w:ascii="Arial" w:eastAsiaTheme="minorEastAsia" w:hAnsi="Arial" w:cs="Arial"/>
            </w:rPr>
            <m:t>Cash Operating Cycle</m:t>
          </m:r>
          <m:r>
            <w:rPr>
              <w:rFonts w:ascii="Cambria Math" w:eastAsiaTheme="minorEastAsia" w:hAnsi="Cambria Math" w:cs="Arial"/>
            </w:rPr>
            <m:t>=</m:t>
          </m:r>
          <m:r>
            <m:rPr>
              <m:nor/>
            </m:rPr>
            <w:rPr>
              <w:rFonts w:ascii="Arial" w:eastAsiaTheme="minorEastAsia" w:hAnsi="Arial" w:cs="Arial"/>
            </w:rPr>
            <m:t>Days Sales Outstanding (DSO)</m:t>
          </m:r>
          <m:r>
            <w:rPr>
              <w:rFonts w:ascii="Cambria Math" w:eastAsiaTheme="minorEastAsia" w:hAnsi="Cambria Math" w:cs="Arial"/>
            </w:rPr>
            <m:t>+</m:t>
          </m:r>
          <m:r>
            <m:rPr>
              <m:nor/>
            </m:rPr>
            <w:rPr>
              <w:rFonts w:ascii="Arial" w:eastAsiaTheme="minorEastAsia" w:hAnsi="Arial" w:cs="Arial"/>
            </w:rPr>
            <m:t>Days Inventory Outstanding (DIO)</m:t>
          </m:r>
          <m:r>
            <w:rPr>
              <w:rFonts w:ascii="Cambria Math" w:eastAsiaTheme="minorEastAsia" w:hAnsi="Cambria Math" w:cs="Arial"/>
            </w:rPr>
            <m:t>-</m:t>
          </m:r>
          <m:r>
            <m:rPr>
              <m:nor/>
            </m:rPr>
            <w:rPr>
              <w:rFonts w:ascii="Arial" w:eastAsiaTheme="minorEastAsia" w:hAnsi="Arial" w:cs="Arial"/>
            </w:rPr>
            <m:t>Days Payable Outstanding (DPO)</m:t>
          </m:r>
        </m:oMath>
      </m:oMathPara>
    </w:p>
    <w:p w14:paraId="7461A5EF" w14:textId="49152737" w:rsidR="007A64C6" w:rsidRPr="00611CB9" w:rsidRDefault="00E774BC" w:rsidP="00A7362D">
      <w:pPr>
        <w:spacing w:line="360" w:lineRule="auto"/>
        <w:rPr>
          <w:rFonts w:ascii="Arial" w:eastAsiaTheme="minorEastAsia" w:hAnsi="Arial" w:cs="Arial"/>
        </w:rPr>
      </w:pPr>
      <w:r w:rsidRPr="00611CB9">
        <w:rPr>
          <w:rFonts w:ascii="Arial" w:eastAsiaTheme="minorEastAsia" w:hAnsi="Arial" w:cs="Arial"/>
        </w:rPr>
        <w:t xml:space="preserve">In the traditional manufacturing sectors, </w:t>
      </w:r>
      <w:r w:rsidR="00277003" w:rsidRPr="00611CB9">
        <w:rPr>
          <w:rFonts w:ascii="Arial" w:eastAsiaTheme="minorEastAsia" w:hAnsi="Arial" w:cs="Arial"/>
        </w:rPr>
        <w:t xml:space="preserve">a </w:t>
      </w:r>
      <w:r w:rsidRPr="00611CB9">
        <w:rPr>
          <w:rFonts w:ascii="Arial" w:eastAsiaTheme="minorEastAsia" w:hAnsi="Arial" w:cs="Arial"/>
        </w:rPr>
        <w:t>long operating cycle tied up expensive capital. Meanwhile</w:t>
      </w:r>
      <w:r w:rsidR="00277003" w:rsidRPr="00611CB9">
        <w:rPr>
          <w:rFonts w:ascii="Arial" w:eastAsiaTheme="minorEastAsia" w:hAnsi="Arial" w:cs="Arial"/>
        </w:rPr>
        <w:t>,</w:t>
      </w:r>
      <w:r w:rsidRPr="00611CB9">
        <w:rPr>
          <w:rFonts w:ascii="Arial" w:eastAsiaTheme="minorEastAsia" w:hAnsi="Arial" w:cs="Arial"/>
        </w:rPr>
        <w:t xml:space="preserve"> the international hospitality sector </w:t>
      </w:r>
      <w:r w:rsidR="00277003" w:rsidRPr="00611CB9">
        <w:rPr>
          <w:rFonts w:ascii="Arial" w:eastAsiaTheme="minorEastAsia" w:hAnsi="Arial" w:cs="Arial"/>
        </w:rPr>
        <w:t>presents</w:t>
      </w:r>
      <w:r w:rsidRPr="00611CB9">
        <w:rPr>
          <w:rFonts w:ascii="Arial" w:eastAsiaTheme="minorEastAsia" w:hAnsi="Arial" w:cs="Arial"/>
        </w:rPr>
        <w:t xml:space="preserve"> a unique operating architecture. The asset-light corporate structure of Hyatt depends </w:t>
      </w:r>
      <w:r w:rsidR="00277003" w:rsidRPr="00611CB9">
        <w:rPr>
          <w:rFonts w:ascii="Arial" w:eastAsiaTheme="minorEastAsia" w:hAnsi="Arial" w:cs="Arial"/>
        </w:rPr>
        <w:t>mainly</w:t>
      </w:r>
      <w:r w:rsidRPr="00611CB9">
        <w:rPr>
          <w:rFonts w:ascii="Arial" w:eastAsiaTheme="minorEastAsia" w:hAnsi="Arial" w:cs="Arial"/>
        </w:rPr>
        <w:t xml:space="preserve"> on management and franchise fees instead of real estate ownership, which dramatically shortens its structural investment cycles (</w:t>
      </w:r>
      <w:r w:rsidR="00A73E5B" w:rsidRPr="00611CB9">
        <w:rPr>
          <w:rFonts w:ascii="Arial" w:eastAsiaTheme="minorEastAsia" w:hAnsi="Arial" w:cs="Arial"/>
        </w:rPr>
        <w:t>Gomes, 2023</w:t>
      </w:r>
      <w:r w:rsidRPr="00611CB9">
        <w:rPr>
          <w:rFonts w:ascii="Arial" w:eastAsiaTheme="minorEastAsia" w:hAnsi="Arial" w:cs="Arial"/>
        </w:rPr>
        <w:t xml:space="preserve">). </w:t>
      </w:r>
    </w:p>
    <w:p w14:paraId="54D6028D" w14:textId="77777777" w:rsidR="007A64C6" w:rsidRPr="00611CB9" w:rsidRDefault="00E774BC" w:rsidP="00A7362D">
      <w:pPr>
        <w:keepNext/>
        <w:spacing w:line="360" w:lineRule="auto"/>
        <w:rPr>
          <w:rFonts w:ascii="Arial" w:hAnsi="Arial" w:cs="Arial"/>
        </w:rPr>
      </w:pPr>
      <w:r w:rsidRPr="00611CB9">
        <w:rPr>
          <w:rFonts w:ascii="Arial" w:eastAsiaTheme="minorEastAsia" w:hAnsi="Arial" w:cs="Arial"/>
          <w:noProof/>
          <w:lang w:val="en-US"/>
        </w:rPr>
        <w:drawing>
          <wp:inline distT="0" distB="0" distL="0" distR="0" wp14:anchorId="31BC90D9" wp14:editId="05ABB4FC">
            <wp:extent cx="5486400" cy="3200400"/>
            <wp:effectExtent l="38100" t="19050" r="38100" b="19050"/>
            <wp:docPr id="91358260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5FA9151" w14:textId="4414C648" w:rsidR="00E774BC" w:rsidRPr="00611CB9" w:rsidRDefault="007A64C6" w:rsidP="00A7362D">
      <w:pPr>
        <w:pStyle w:val="Caption"/>
        <w:spacing w:line="360" w:lineRule="auto"/>
        <w:rPr>
          <w:rFonts w:ascii="Arial" w:hAnsi="Arial" w:cs="Arial"/>
          <w:noProof/>
          <w:szCs w:val="24"/>
        </w:rPr>
      </w:pPr>
      <w:r w:rsidRPr="00611CB9">
        <w:rPr>
          <w:rFonts w:ascii="Arial" w:hAnsi="Arial" w:cs="Arial"/>
          <w:szCs w:val="24"/>
        </w:rPr>
        <w:t xml:space="preserve">Figure </w:t>
      </w:r>
      <w:r w:rsidRPr="00611CB9">
        <w:rPr>
          <w:rFonts w:ascii="Arial" w:hAnsi="Arial" w:cs="Arial"/>
          <w:szCs w:val="24"/>
        </w:rPr>
        <w:fldChar w:fldCharType="begin"/>
      </w:r>
      <w:r w:rsidRPr="00611CB9">
        <w:rPr>
          <w:rFonts w:ascii="Arial" w:hAnsi="Arial" w:cs="Arial"/>
          <w:szCs w:val="24"/>
        </w:rPr>
        <w:instrText xml:space="preserve"> SEQ Figure \* ARABIC </w:instrText>
      </w:r>
      <w:r w:rsidRPr="00611CB9">
        <w:rPr>
          <w:rFonts w:ascii="Arial" w:hAnsi="Arial" w:cs="Arial"/>
          <w:szCs w:val="24"/>
        </w:rPr>
        <w:fldChar w:fldCharType="separate"/>
      </w:r>
      <w:r w:rsidRPr="00611CB9">
        <w:rPr>
          <w:rFonts w:ascii="Arial" w:hAnsi="Arial" w:cs="Arial"/>
          <w:noProof/>
          <w:szCs w:val="24"/>
        </w:rPr>
        <w:t>1</w:t>
      </w:r>
      <w:r w:rsidRPr="00611CB9">
        <w:rPr>
          <w:rFonts w:ascii="Arial" w:hAnsi="Arial" w:cs="Arial"/>
          <w:szCs w:val="24"/>
        </w:rPr>
        <w:fldChar w:fldCharType="end"/>
      </w:r>
      <w:r w:rsidRPr="00611CB9">
        <w:rPr>
          <w:rFonts w:ascii="Arial" w:hAnsi="Arial" w:cs="Arial"/>
          <w:szCs w:val="24"/>
        </w:rPr>
        <w:t xml:space="preserve">: </w:t>
      </w:r>
      <w:r w:rsidRPr="00611CB9">
        <w:rPr>
          <w:rFonts w:ascii="Arial" w:hAnsi="Arial" w:cs="Arial"/>
          <w:noProof/>
          <w:szCs w:val="24"/>
        </w:rPr>
        <w:t>Cash Operating Cycle</w:t>
      </w:r>
    </w:p>
    <w:p w14:paraId="791139F6" w14:textId="685D5A55" w:rsidR="007A64C6" w:rsidRPr="00611CB9" w:rsidRDefault="007A64C6" w:rsidP="00A7362D">
      <w:pPr>
        <w:spacing w:line="360" w:lineRule="auto"/>
        <w:rPr>
          <w:rFonts w:ascii="Arial" w:hAnsi="Arial" w:cs="Arial"/>
        </w:rPr>
      </w:pPr>
      <w:r w:rsidRPr="00611CB9">
        <w:rPr>
          <w:rFonts w:ascii="Arial" w:hAnsi="Arial" w:cs="Arial"/>
        </w:rPr>
        <w:t xml:space="preserve">(Source: Author, 2026) </w:t>
      </w:r>
    </w:p>
    <w:p w14:paraId="4597886F" w14:textId="73EBCCCC" w:rsidR="007A64C6" w:rsidRPr="00611CB9" w:rsidRDefault="004E2B2F" w:rsidP="00A7362D">
      <w:pPr>
        <w:spacing w:line="360" w:lineRule="auto"/>
        <w:rPr>
          <w:rFonts w:ascii="Arial" w:hAnsi="Arial" w:cs="Arial"/>
          <w:b/>
          <w:bCs/>
          <w:i/>
          <w:iCs/>
        </w:rPr>
      </w:pPr>
      <w:r w:rsidRPr="00611CB9">
        <w:rPr>
          <w:rFonts w:ascii="Arial" w:hAnsi="Arial" w:cs="Arial"/>
          <w:b/>
          <w:bCs/>
          <w:i/>
          <w:iCs/>
        </w:rPr>
        <w:t xml:space="preserve">Days Inventory Outstanding (DSO): </w:t>
      </w:r>
    </w:p>
    <w:p w14:paraId="3EA2ECE2" w14:textId="7CFA8044" w:rsidR="004E2B2F" w:rsidRPr="00611CB9" w:rsidRDefault="009D535B" w:rsidP="00A7362D">
      <w:pPr>
        <w:spacing w:line="360" w:lineRule="auto"/>
        <w:rPr>
          <w:rFonts w:ascii="Arial" w:hAnsi="Arial" w:cs="Arial"/>
        </w:rPr>
      </w:pPr>
      <w:r w:rsidRPr="00611CB9">
        <w:rPr>
          <w:rFonts w:ascii="Arial" w:hAnsi="Arial" w:cs="Arial"/>
        </w:rPr>
        <w:lastRenderedPageBreak/>
        <w:t xml:space="preserve">The physical inventory of Hyatt </w:t>
      </w:r>
      <w:r w:rsidR="00277003" w:rsidRPr="00611CB9">
        <w:rPr>
          <w:rFonts w:ascii="Arial" w:hAnsi="Arial" w:cs="Arial"/>
        </w:rPr>
        <w:t>consists mainly</w:t>
      </w:r>
      <w:r w:rsidRPr="00611CB9">
        <w:rPr>
          <w:rFonts w:ascii="Arial" w:hAnsi="Arial" w:cs="Arial"/>
        </w:rPr>
        <w:t xml:space="preserve"> of highly perishable food, beverages and guest room amenities. As the hotel rooms are an intangible service capacity that cannot be stored, Hyatt reduces its physical asset holdings</w:t>
      </w:r>
      <w:r w:rsidR="00277003" w:rsidRPr="00611CB9">
        <w:rPr>
          <w:rFonts w:ascii="Arial" w:hAnsi="Arial" w:cs="Arial"/>
        </w:rPr>
        <w:t xml:space="preserve"> (</w:t>
      </w:r>
      <w:r w:rsidR="00277003" w:rsidRPr="00611CB9">
        <w:rPr>
          <w:rFonts w:ascii="Arial" w:eastAsiaTheme="minorEastAsia" w:hAnsi="Arial" w:cs="Arial"/>
        </w:rPr>
        <w:t>Qi, 2023</w:t>
      </w:r>
      <w:r w:rsidR="00277003" w:rsidRPr="00611CB9">
        <w:rPr>
          <w:rFonts w:ascii="Arial" w:hAnsi="Arial" w:cs="Arial"/>
        </w:rPr>
        <w:t>)</w:t>
      </w:r>
      <w:r w:rsidRPr="00611CB9">
        <w:rPr>
          <w:rFonts w:ascii="Arial" w:hAnsi="Arial" w:cs="Arial"/>
        </w:rPr>
        <w:t xml:space="preserve">. Using advanced, just-in-time procurement systems across its global properties, Hyatt maintains an exceptionally low DIO, typically ranging between 3-5 days. This reduces the storage costs and prevents obsolescence. </w:t>
      </w:r>
    </w:p>
    <w:p w14:paraId="02AC855B" w14:textId="5E5CBCAB" w:rsidR="009D535B" w:rsidRPr="00611CB9" w:rsidRDefault="009D535B" w:rsidP="00A7362D">
      <w:pPr>
        <w:spacing w:line="360" w:lineRule="auto"/>
        <w:rPr>
          <w:rFonts w:ascii="Arial" w:hAnsi="Arial" w:cs="Arial"/>
          <w:b/>
          <w:bCs/>
          <w:i/>
          <w:iCs/>
        </w:rPr>
      </w:pPr>
      <w:r w:rsidRPr="00611CB9">
        <w:rPr>
          <w:rFonts w:ascii="Arial" w:hAnsi="Arial" w:cs="Arial"/>
          <w:b/>
          <w:bCs/>
          <w:i/>
          <w:iCs/>
        </w:rPr>
        <w:t xml:space="preserve">Days Sales Outstanding (DSO): </w:t>
      </w:r>
    </w:p>
    <w:p w14:paraId="015B2D6C" w14:textId="070B54F3" w:rsidR="009D535B" w:rsidRPr="00611CB9" w:rsidRDefault="000729F0" w:rsidP="00A7362D">
      <w:pPr>
        <w:spacing w:line="360" w:lineRule="auto"/>
        <w:rPr>
          <w:rFonts w:ascii="Arial" w:hAnsi="Arial" w:cs="Arial"/>
        </w:rPr>
      </w:pPr>
      <w:r w:rsidRPr="00611CB9">
        <w:rPr>
          <w:rFonts w:ascii="Arial" w:hAnsi="Arial" w:cs="Arial"/>
        </w:rPr>
        <w:t xml:space="preserve">The collection period of Hyatt is split between two major consumer segments. Direct transient </w:t>
      </w:r>
      <w:r w:rsidR="00277003" w:rsidRPr="00611CB9">
        <w:rPr>
          <w:rFonts w:ascii="Arial" w:hAnsi="Arial" w:cs="Arial"/>
        </w:rPr>
        <w:t>guests</w:t>
      </w:r>
      <w:r w:rsidRPr="00611CB9">
        <w:rPr>
          <w:rFonts w:ascii="Arial" w:hAnsi="Arial" w:cs="Arial"/>
        </w:rPr>
        <w:t xml:space="preserve"> pay immediately upon check-out or upfront through digital channels and Online Travel Agencies (OTAs). This leads to immediate cash inflows. </w:t>
      </w:r>
    </w:p>
    <w:p w14:paraId="6C6C3ACF" w14:textId="70424703" w:rsidR="000729F0" w:rsidRPr="00611CB9" w:rsidRDefault="000729F0" w:rsidP="00A7362D">
      <w:pPr>
        <w:spacing w:line="360" w:lineRule="auto"/>
        <w:rPr>
          <w:rFonts w:ascii="Arial" w:hAnsi="Arial" w:cs="Arial"/>
        </w:rPr>
      </w:pPr>
      <w:r w:rsidRPr="00611CB9">
        <w:rPr>
          <w:rFonts w:ascii="Arial" w:hAnsi="Arial" w:cs="Arial"/>
        </w:rPr>
        <w:t>However, the corporate accounts, property management fees and large-scale conference bookings involve credit terms. Apart from these credit windows, the corporate collection of Hyatt keeps its overall DSO tight, averaging 12 to 15 days.</w:t>
      </w:r>
    </w:p>
    <w:p w14:paraId="75F7C1CA" w14:textId="0D87EA21" w:rsidR="000729F0" w:rsidRPr="00611CB9" w:rsidRDefault="000729F0" w:rsidP="00A7362D">
      <w:pPr>
        <w:spacing w:line="360" w:lineRule="auto"/>
        <w:rPr>
          <w:rFonts w:ascii="Arial" w:hAnsi="Arial" w:cs="Arial"/>
          <w:b/>
          <w:bCs/>
          <w:i/>
          <w:iCs/>
        </w:rPr>
      </w:pPr>
      <w:r w:rsidRPr="00611CB9">
        <w:rPr>
          <w:rFonts w:ascii="Arial" w:hAnsi="Arial" w:cs="Arial"/>
          <w:b/>
          <w:bCs/>
          <w:i/>
          <w:iCs/>
        </w:rPr>
        <w:t>Days Payable Outstanding (DPO):</w:t>
      </w:r>
    </w:p>
    <w:p w14:paraId="1A9887C3" w14:textId="27E70EAB" w:rsidR="000729F0" w:rsidRPr="00611CB9" w:rsidRDefault="00113B96" w:rsidP="00A7362D">
      <w:pPr>
        <w:spacing w:line="360" w:lineRule="auto"/>
        <w:rPr>
          <w:rFonts w:ascii="Arial" w:hAnsi="Arial" w:cs="Arial"/>
        </w:rPr>
      </w:pPr>
      <w:r w:rsidRPr="00611CB9">
        <w:rPr>
          <w:rFonts w:ascii="Arial" w:hAnsi="Arial" w:cs="Arial"/>
        </w:rPr>
        <w:t xml:space="preserve">Hyatt uses its huge corporate scale and market position to negotiate extended terms of payment with suppliers, service contractors and third-party owners. Consequently, its DPO ranges from 35 to 45 days, offering the firm a vital window to deploy cash before settling current liabilities. </w:t>
      </w:r>
    </w:p>
    <w:p w14:paraId="52C64AD9" w14:textId="60CC995A" w:rsidR="00113B96" w:rsidRPr="00611CB9" w:rsidRDefault="00113B96" w:rsidP="00A7362D">
      <w:pPr>
        <w:spacing w:line="360" w:lineRule="auto"/>
        <w:rPr>
          <w:rFonts w:ascii="Arial" w:hAnsi="Arial" w:cs="Arial"/>
          <w:b/>
          <w:bCs/>
          <w:i/>
          <w:iCs/>
        </w:rPr>
      </w:pPr>
      <w:r w:rsidRPr="00611CB9">
        <w:rPr>
          <w:rFonts w:ascii="Arial" w:hAnsi="Arial" w:cs="Arial"/>
          <w:b/>
          <w:bCs/>
          <w:i/>
          <w:iCs/>
        </w:rPr>
        <w:t>Negative working capital phenomenon</w:t>
      </w:r>
    </w:p>
    <w:p w14:paraId="10BC5C32" w14:textId="6F08866A" w:rsidR="00113B96" w:rsidRPr="00611CB9" w:rsidRDefault="00113B96" w:rsidP="00A7362D">
      <w:pPr>
        <w:spacing w:line="360" w:lineRule="auto"/>
        <w:rPr>
          <w:rFonts w:ascii="Arial" w:hAnsi="Arial" w:cs="Arial"/>
        </w:rPr>
      </w:pPr>
      <w:r w:rsidRPr="00611CB9">
        <w:rPr>
          <w:rFonts w:ascii="Arial" w:hAnsi="Arial" w:cs="Arial"/>
        </w:rPr>
        <w:t xml:space="preserve">As its trade payment window is longer than its collection and inventory holding periods (DPO &gt; DSO + DIO), Hyatt operates with </w:t>
      </w:r>
      <w:r w:rsidR="00277003" w:rsidRPr="00611CB9">
        <w:rPr>
          <w:rFonts w:ascii="Arial" w:hAnsi="Arial" w:cs="Arial"/>
        </w:rPr>
        <w:t>a</w:t>
      </w:r>
      <w:r w:rsidRPr="00611CB9">
        <w:rPr>
          <w:rFonts w:ascii="Arial" w:hAnsi="Arial" w:cs="Arial"/>
        </w:rPr>
        <w:t xml:space="preserve"> negative cash operating cycle of about -15 to -25 days. In corporate finance, this is </w:t>
      </w:r>
      <w:r w:rsidR="00277003" w:rsidRPr="00611CB9">
        <w:rPr>
          <w:rFonts w:ascii="Arial" w:hAnsi="Arial" w:cs="Arial"/>
        </w:rPr>
        <w:t>a</w:t>
      </w:r>
      <w:r w:rsidRPr="00611CB9">
        <w:rPr>
          <w:rFonts w:ascii="Arial" w:hAnsi="Arial" w:cs="Arial"/>
        </w:rPr>
        <w:t xml:space="preserve"> major operating advantage. Hyatt gathers revenues from the booking weeks before paying its suppliers. This negative cycle offers a continuous source of interest-free operational liquidity, funding the short-term activities wholly through the day-to-day revenues. </w:t>
      </w:r>
    </w:p>
    <w:p w14:paraId="39DB014E" w14:textId="3D015888" w:rsidR="00113B96" w:rsidRPr="00611CB9" w:rsidRDefault="00277003" w:rsidP="00A7362D">
      <w:pPr>
        <w:pStyle w:val="Heading2"/>
        <w:rPr>
          <w:rFonts w:ascii="Arial" w:hAnsi="Arial" w:cs="Arial"/>
        </w:rPr>
      </w:pPr>
      <w:bookmarkStart w:id="10" w:name="_Toc235474575"/>
      <w:r w:rsidRPr="00611CB9">
        <w:rPr>
          <w:rFonts w:ascii="Arial" w:hAnsi="Arial" w:cs="Arial"/>
        </w:rPr>
        <w:t xml:space="preserve">2.2 </w:t>
      </w:r>
      <w:r w:rsidR="00113B96" w:rsidRPr="00611CB9">
        <w:rPr>
          <w:rFonts w:ascii="Arial" w:hAnsi="Arial" w:cs="Arial"/>
        </w:rPr>
        <w:t>Strategies for working capital reform</w:t>
      </w:r>
      <w:bookmarkEnd w:id="10"/>
      <w:r w:rsidR="00113B96" w:rsidRPr="00611CB9">
        <w:rPr>
          <w:rFonts w:ascii="Arial" w:hAnsi="Arial" w:cs="Arial"/>
        </w:rPr>
        <w:t xml:space="preserve"> </w:t>
      </w:r>
    </w:p>
    <w:p w14:paraId="20034978" w14:textId="7FE13DCB" w:rsidR="00113B96" w:rsidRPr="00611CB9" w:rsidRDefault="00B977C0" w:rsidP="00A7362D">
      <w:pPr>
        <w:spacing w:line="360" w:lineRule="auto"/>
        <w:rPr>
          <w:rFonts w:ascii="Arial" w:hAnsi="Arial" w:cs="Arial"/>
        </w:rPr>
      </w:pPr>
      <w:r w:rsidRPr="00611CB9">
        <w:rPr>
          <w:rFonts w:ascii="Arial" w:hAnsi="Arial" w:cs="Arial"/>
        </w:rPr>
        <w:t xml:space="preserve">While the negative cash cycle of Hyatt is </w:t>
      </w:r>
      <w:r w:rsidR="00277003" w:rsidRPr="00611CB9">
        <w:rPr>
          <w:rFonts w:ascii="Arial" w:hAnsi="Arial" w:cs="Arial"/>
        </w:rPr>
        <w:t>a</w:t>
      </w:r>
      <w:r w:rsidRPr="00611CB9">
        <w:rPr>
          <w:rFonts w:ascii="Arial" w:hAnsi="Arial" w:cs="Arial"/>
        </w:rPr>
        <w:t xml:space="preserve"> strength, its compressed quick ratio (0.74x) shows that these cash reserves are quickly used for the repayment of debt and asset expansion. This leaves slim liquidity buffers to handle sudden disruptions in the market. To improve liquidity without hurting returns, the following structural reforms are suggested: </w:t>
      </w:r>
    </w:p>
    <w:p w14:paraId="3B8415A3" w14:textId="1164DB62" w:rsidR="00B977C0" w:rsidRPr="00611CB9" w:rsidRDefault="00B977C0" w:rsidP="00A7362D">
      <w:pPr>
        <w:spacing w:line="360" w:lineRule="auto"/>
        <w:rPr>
          <w:rFonts w:ascii="Arial" w:hAnsi="Arial" w:cs="Arial"/>
          <w:b/>
          <w:bCs/>
          <w:i/>
          <w:iCs/>
        </w:rPr>
      </w:pPr>
      <w:r w:rsidRPr="00611CB9">
        <w:rPr>
          <w:rFonts w:ascii="Arial" w:hAnsi="Arial" w:cs="Arial"/>
          <w:b/>
          <w:bCs/>
          <w:i/>
          <w:iCs/>
        </w:rPr>
        <w:lastRenderedPageBreak/>
        <w:t xml:space="preserve">Institutional </w:t>
      </w:r>
      <w:r w:rsidR="00277003" w:rsidRPr="00611CB9">
        <w:rPr>
          <w:rFonts w:ascii="Arial" w:hAnsi="Arial" w:cs="Arial"/>
          <w:b/>
          <w:bCs/>
          <w:i/>
          <w:iCs/>
        </w:rPr>
        <w:t>reverse</w:t>
      </w:r>
      <w:r w:rsidRPr="00611CB9">
        <w:rPr>
          <w:rFonts w:ascii="Arial" w:hAnsi="Arial" w:cs="Arial"/>
          <w:b/>
          <w:bCs/>
          <w:i/>
          <w:iCs/>
        </w:rPr>
        <w:t xml:space="preserve"> factoring (supply chain financing) </w:t>
      </w:r>
    </w:p>
    <w:p w14:paraId="2D815ADB" w14:textId="13DCDA7E" w:rsidR="00B977C0" w:rsidRPr="00611CB9" w:rsidRDefault="00B977C0" w:rsidP="00A7362D">
      <w:pPr>
        <w:spacing w:line="360" w:lineRule="auto"/>
        <w:rPr>
          <w:rFonts w:ascii="Arial" w:hAnsi="Arial" w:cs="Arial"/>
        </w:rPr>
      </w:pPr>
      <w:r w:rsidRPr="00611CB9">
        <w:rPr>
          <w:rFonts w:ascii="Arial" w:hAnsi="Arial" w:cs="Arial"/>
        </w:rPr>
        <w:t xml:space="preserve">To extend its DPO beyond 45 days without affecting the vendor partnership, Hyatt needs to establish an institutional reverse factoring platform with the tier-one banks. Under this framework, financial institutions pay its suppliers early on the basis of the high credit rating of Hyatt, while Hyatt defers its actual cash outflows. This step preserves supply chain trust while keeping cash on the balance sheet longer to assist the </w:t>
      </w:r>
      <w:r w:rsidR="00277003" w:rsidRPr="00611CB9">
        <w:rPr>
          <w:rFonts w:ascii="Arial" w:hAnsi="Arial" w:cs="Arial"/>
        </w:rPr>
        <w:t>firm's quick ratio</w:t>
      </w:r>
      <w:r w:rsidRPr="00611CB9">
        <w:rPr>
          <w:rFonts w:ascii="Arial" w:hAnsi="Arial" w:cs="Arial"/>
        </w:rPr>
        <w:t xml:space="preserve">. </w:t>
      </w:r>
    </w:p>
    <w:p w14:paraId="1774212A" w14:textId="626AB48A" w:rsidR="00B977C0" w:rsidRPr="00611CB9" w:rsidRDefault="00B977C0" w:rsidP="00A7362D">
      <w:pPr>
        <w:spacing w:line="360" w:lineRule="auto"/>
        <w:rPr>
          <w:rFonts w:ascii="Arial" w:hAnsi="Arial" w:cs="Arial"/>
          <w:b/>
          <w:bCs/>
          <w:i/>
          <w:iCs/>
        </w:rPr>
      </w:pPr>
      <w:r w:rsidRPr="00611CB9">
        <w:rPr>
          <w:rFonts w:ascii="Arial" w:hAnsi="Arial" w:cs="Arial"/>
          <w:b/>
          <w:bCs/>
          <w:i/>
          <w:iCs/>
        </w:rPr>
        <w:t xml:space="preserve">Dynamic receivable factoring for corporate accounts </w:t>
      </w:r>
    </w:p>
    <w:p w14:paraId="4D3FFC9D" w14:textId="788B7A9D" w:rsidR="00B977C0" w:rsidRPr="00611CB9" w:rsidRDefault="00B977C0" w:rsidP="00A7362D">
      <w:pPr>
        <w:spacing w:line="360" w:lineRule="auto"/>
        <w:rPr>
          <w:rFonts w:ascii="Arial" w:hAnsi="Arial" w:cs="Arial"/>
        </w:rPr>
      </w:pPr>
      <w:r w:rsidRPr="00611CB9">
        <w:rPr>
          <w:rFonts w:ascii="Arial" w:hAnsi="Arial" w:cs="Arial"/>
        </w:rPr>
        <w:t xml:space="preserve">While the transient consumer collections are nearly instantaneous, the corporate group events generally cause seasonal cash flow volatility. Implementation of the dynamic and automated invoice factoring allows Hyatt </w:t>
      </w:r>
      <w:r w:rsidR="00277003" w:rsidRPr="00611CB9">
        <w:rPr>
          <w:rFonts w:ascii="Arial" w:hAnsi="Arial" w:cs="Arial"/>
        </w:rPr>
        <w:t>to</w:t>
      </w:r>
      <w:r w:rsidRPr="00611CB9">
        <w:rPr>
          <w:rFonts w:ascii="Arial" w:hAnsi="Arial" w:cs="Arial"/>
        </w:rPr>
        <w:t xml:space="preserve"> sell its high-volume corporate receivables to financial intermediaries during the periods of </w:t>
      </w:r>
      <w:r w:rsidR="00277003" w:rsidRPr="00611CB9">
        <w:rPr>
          <w:rFonts w:ascii="Arial" w:hAnsi="Arial" w:cs="Arial"/>
        </w:rPr>
        <w:t>low occupancy</w:t>
      </w:r>
      <w:r w:rsidRPr="00611CB9">
        <w:rPr>
          <w:rFonts w:ascii="Arial" w:hAnsi="Arial" w:cs="Arial"/>
        </w:rPr>
        <w:t xml:space="preserve">. This ensures stable cash inflows and cuts down DSO volatility during the off-peak seasons. </w:t>
      </w:r>
    </w:p>
    <w:p w14:paraId="1A175BD7" w14:textId="14AA312F" w:rsidR="00B977C0" w:rsidRPr="00611CB9" w:rsidRDefault="00B977C0" w:rsidP="00A7362D">
      <w:pPr>
        <w:spacing w:line="360" w:lineRule="auto"/>
        <w:rPr>
          <w:rFonts w:ascii="Arial" w:hAnsi="Arial" w:cs="Arial"/>
          <w:b/>
          <w:bCs/>
          <w:i/>
          <w:iCs/>
        </w:rPr>
      </w:pPr>
      <w:r w:rsidRPr="00611CB9">
        <w:rPr>
          <w:rFonts w:ascii="Arial" w:hAnsi="Arial" w:cs="Arial"/>
          <w:b/>
          <w:bCs/>
          <w:i/>
          <w:iCs/>
        </w:rPr>
        <w:t xml:space="preserve">Algorithmic optimisation of loyalty liabilities </w:t>
      </w:r>
    </w:p>
    <w:p w14:paraId="4ECDEC34" w14:textId="32B6F98C" w:rsidR="00B977C0" w:rsidRPr="00611CB9" w:rsidRDefault="00B977C0" w:rsidP="00A7362D">
      <w:pPr>
        <w:spacing w:line="360" w:lineRule="auto"/>
        <w:rPr>
          <w:rFonts w:ascii="Arial" w:hAnsi="Arial" w:cs="Arial"/>
        </w:rPr>
      </w:pPr>
      <w:r w:rsidRPr="00611CB9">
        <w:rPr>
          <w:rFonts w:ascii="Arial" w:hAnsi="Arial" w:cs="Arial"/>
        </w:rPr>
        <w:t xml:space="preserve">The </w:t>
      </w:r>
      <w:r w:rsidRPr="00611CB9">
        <w:rPr>
          <w:rFonts w:ascii="Arial" w:hAnsi="Arial" w:cs="Arial"/>
          <w:i/>
          <w:iCs/>
        </w:rPr>
        <w:t xml:space="preserve">World of Hyatt </w:t>
      </w:r>
      <w:r w:rsidRPr="00611CB9">
        <w:rPr>
          <w:rFonts w:ascii="Arial" w:hAnsi="Arial" w:cs="Arial"/>
        </w:rPr>
        <w:t xml:space="preserve">guest loyalty program leads to substantial short-term liabilities in the form of deferred revenue from the unredeemed points. Hyatt needs to use algorithmic, dynamic redemption pricing to motivate point usage during the peak-off periods. </w:t>
      </w:r>
      <w:r w:rsidR="00277003" w:rsidRPr="00611CB9">
        <w:rPr>
          <w:rFonts w:ascii="Arial" w:hAnsi="Arial" w:cs="Arial"/>
        </w:rPr>
        <w:t>Accelerating</w:t>
      </w:r>
      <w:r w:rsidRPr="00611CB9">
        <w:rPr>
          <w:rFonts w:ascii="Arial" w:hAnsi="Arial" w:cs="Arial"/>
        </w:rPr>
        <w:t xml:space="preserve"> the point redemptions converts deferred liabilities into the current room occupancies, clearing the short-term liabilities from the balance sheet and improving the liquidity metrics. </w:t>
      </w:r>
    </w:p>
    <w:p w14:paraId="028A9B1B" w14:textId="7171B915" w:rsidR="00B977C0" w:rsidRPr="00611CB9" w:rsidRDefault="00277003" w:rsidP="00A7362D">
      <w:pPr>
        <w:pStyle w:val="Heading2"/>
        <w:rPr>
          <w:rFonts w:ascii="Arial" w:hAnsi="Arial" w:cs="Arial"/>
        </w:rPr>
      </w:pPr>
      <w:r w:rsidRPr="00611CB9">
        <w:rPr>
          <w:rFonts w:ascii="Arial" w:hAnsi="Arial" w:cs="Arial"/>
        </w:rPr>
        <w:t xml:space="preserve"> </w:t>
      </w:r>
      <w:bookmarkStart w:id="11" w:name="_Toc235474576"/>
      <w:r w:rsidRPr="00611CB9">
        <w:rPr>
          <w:rFonts w:ascii="Arial" w:hAnsi="Arial" w:cs="Arial"/>
        </w:rPr>
        <w:t xml:space="preserve">2.3 </w:t>
      </w:r>
      <w:r w:rsidR="00B977C0" w:rsidRPr="00611CB9">
        <w:rPr>
          <w:rFonts w:ascii="Arial" w:hAnsi="Arial" w:cs="Arial"/>
        </w:rPr>
        <w:t>Financing options: Short-term v/s Long-term</w:t>
      </w:r>
      <w:bookmarkEnd w:id="11"/>
    </w:p>
    <w:p w14:paraId="631029B9" w14:textId="7E9069E6" w:rsidR="00B977C0" w:rsidRPr="00611CB9" w:rsidRDefault="00B977C0" w:rsidP="00A7362D">
      <w:pPr>
        <w:spacing w:line="360" w:lineRule="auto"/>
        <w:rPr>
          <w:rFonts w:ascii="Arial" w:hAnsi="Arial" w:cs="Arial"/>
        </w:rPr>
      </w:pPr>
      <w:r w:rsidRPr="00611CB9">
        <w:rPr>
          <w:rFonts w:ascii="Arial" w:hAnsi="Arial" w:cs="Arial"/>
        </w:rPr>
        <w:t xml:space="preserve">As the Chief Financial Officer, </w:t>
      </w:r>
      <w:r w:rsidR="00277003" w:rsidRPr="00611CB9">
        <w:rPr>
          <w:rFonts w:ascii="Arial" w:hAnsi="Arial" w:cs="Arial"/>
        </w:rPr>
        <w:t xml:space="preserve">the </w:t>
      </w:r>
      <w:r w:rsidRPr="00611CB9">
        <w:rPr>
          <w:rFonts w:ascii="Arial" w:hAnsi="Arial" w:cs="Arial"/>
        </w:rPr>
        <w:t xml:space="preserve">balance of the capital structure of Hyatt requires a strict trade-off analysis between the short-term agility and long-term financial insulation, particularly given recent fluctuations in the rate of interest. </w:t>
      </w:r>
    </w:p>
    <w:p w14:paraId="71445704" w14:textId="3B490170" w:rsidR="003100E0" w:rsidRPr="00611CB9" w:rsidRDefault="003100E0" w:rsidP="00A7362D">
      <w:pPr>
        <w:pStyle w:val="Caption"/>
        <w:keepNext/>
        <w:spacing w:line="360" w:lineRule="auto"/>
        <w:rPr>
          <w:rFonts w:ascii="Arial" w:hAnsi="Arial" w:cs="Arial"/>
          <w:szCs w:val="24"/>
        </w:rPr>
      </w:pPr>
      <w:r w:rsidRPr="00611CB9">
        <w:rPr>
          <w:rFonts w:ascii="Arial" w:hAnsi="Arial" w:cs="Arial"/>
          <w:szCs w:val="24"/>
        </w:rPr>
        <w:t xml:space="preserve">Table </w:t>
      </w:r>
      <w:r w:rsidRPr="00611CB9">
        <w:rPr>
          <w:rFonts w:ascii="Arial" w:hAnsi="Arial" w:cs="Arial"/>
          <w:szCs w:val="24"/>
        </w:rPr>
        <w:fldChar w:fldCharType="begin"/>
      </w:r>
      <w:r w:rsidRPr="00611CB9">
        <w:rPr>
          <w:rFonts w:ascii="Arial" w:hAnsi="Arial" w:cs="Arial"/>
          <w:szCs w:val="24"/>
        </w:rPr>
        <w:instrText xml:space="preserve"> SEQ Table \* ARABIC </w:instrText>
      </w:r>
      <w:r w:rsidRPr="00611CB9">
        <w:rPr>
          <w:rFonts w:ascii="Arial" w:hAnsi="Arial" w:cs="Arial"/>
          <w:szCs w:val="24"/>
        </w:rPr>
        <w:fldChar w:fldCharType="separate"/>
      </w:r>
      <w:r w:rsidR="00A7362D" w:rsidRPr="00611CB9">
        <w:rPr>
          <w:rFonts w:ascii="Arial" w:hAnsi="Arial" w:cs="Arial"/>
          <w:noProof/>
          <w:szCs w:val="24"/>
        </w:rPr>
        <w:t>2</w:t>
      </w:r>
      <w:r w:rsidRPr="00611CB9">
        <w:rPr>
          <w:rFonts w:ascii="Arial" w:hAnsi="Arial" w:cs="Arial"/>
          <w:szCs w:val="24"/>
        </w:rPr>
        <w:fldChar w:fldCharType="end"/>
      </w:r>
      <w:r w:rsidRPr="00611CB9">
        <w:rPr>
          <w:rFonts w:ascii="Arial" w:hAnsi="Arial" w:cs="Arial"/>
          <w:szCs w:val="24"/>
        </w:rPr>
        <w:t>: Short-term v/s Long-term financing options</w:t>
      </w:r>
    </w:p>
    <w:tbl>
      <w:tblPr>
        <w:tblStyle w:val="TableGrid"/>
        <w:tblW w:w="0" w:type="auto"/>
        <w:tblLook w:val="04A0" w:firstRow="1" w:lastRow="0" w:firstColumn="1" w:lastColumn="0" w:noHBand="0" w:noVBand="1"/>
      </w:tblPr>
      <w:tblGrid>
        <w:gridCol w:w="3005"/>
        <w:gridCol w:w="3005"/>
        <w:gridCol w:w="3006"/>
      </w:tblGrid>
      <w:tr w:rsidR="00B977C0" w:rsidRPr="00611CB9" w14:paraId="40210D69" w14:textId="77777777" w:rsidTr="00B977C0">
        <w:tc>
          <w:tcPr>
            <w:tcW w:w="3005" w:type="dxa"/>
          </w:tcPr>
          <w:p w14:paraId="7CE31C1E" w14:textId="65D88AF0" w:rsidR="00B977C0" w:rsidRPr="00611CB9" w:rsidRDefault="00B977C0" w:rsidP="00A7362D">
            <w:pPr>
              <w:spacing w:line="360" w:lineRule="auto"/>
              <w:rPr>
                <w:rFonts w:ascii="Arial" w:hAnsi="Arial" w:cs="Arial"/>
              </w:rPr>
            </w:pPr>
            <w:r w:rsidRPr="00611CB9">
              <w:rPr>
                <w:rFonts w:ascii="Arial" w:hAnsi="Arial" w:cs="Arial"/>
              </w:rPr>
              <w:t xml:space="preserve">Financing dimension </w:t>
            </w:r>
          </w:p>
        </w:tc>
        <w:tc>
          <w:tcPr>
            <w:tcW w:w="3005" w:type="dxa"/>
          </w:tcPr>
          <w:p w14:paraId="2FBAB119" w14:textId="195A516B" w:rsidR="00B977C0" w:rsidRPr="00611CB9" w:rsidRDefault="00B977C0" w:rsidP="00A7362D">
            <w:pPr>
              <w:spacing w:line="360" w:lineRule="auto"/>
              <w:rPr>
                <w:rFonts w:ascii="Arial" w:hAnsi="Arial" w:cs="Arial"/>
              </w:rPr>
            </w:pPr>
            <w:r w:rsidRPr="00611CB9">
              <w:rPr>
                <w:rFonts w:ascii="Arial" w:hAnsi="Arial" w:cs="Arial"/>
              </w:rPr>
              <w:t xml:space="preserve">Short-term options </w:t>
            </w:r>
          </w:p>
        </w:tc>
        <w:tc>
          <w:tcPr>
            <w:tcW w:w="3006" w:type="dxa"/>
          </w:tcPr>
          <w:p w14:paraId="2828CBD9" w14:textId="42522B12" w:rsidR="00B977C0" w:rsidRPr="00611CB9" w:rsidRDefault="00B977C0" w:rsidP="00A7362D">
            <w:pPr>
              <w:spacing w:line="360" w:lineRule="auto"/>
              <w:rPr>
                <w:rFonts w:ascii="Arial" w:hAnsi="Arial" w:cs="Arial"/>
              </w:rPr>
            </w:pPr>
            <w:r w:rsidRPr="00611CB9">
              <w:rPr>
                <w:rFonts w:ascii="Arial" w:hAnsi="Arial" w:cs="Arial"/>
              </w:rPr>
              <w:t xml:space="preserve">Long-term options </w:t>
            </w:r>
          </w:p>
        </w:tc>
      </w:tr>
      <w:tr w:rsidR="00B977C0" w:rsidRPr="00611CB9" w14:paraId="6E36F8EA" w14:textId="77777777" w:rsidTr="00B977C0">
        <w:tc>
          <w:tcPr>
            <w:tcW w:w="3005" w:type="dxa"/>
          </w:tcPr>
          <w:p w14:paraId="05D37800" w14:textId="05537625" w:rsidR="00B977C0" w:rsidRPr="00611CB9" w:rsidRDefault="00B977C0" w:rsidP="00A7362D">
            <w:pPr>
              <w:spacing w:line="360" w:lineRule="auto"/>
              <w:rPr>
                <w:rFonts w:ascii="Arial" w:hAnsi="Arial" w:cs="Arial"/>
              </w:rPr>
            </w:pPr>
            <w:r w:rsidRPr="00611CB9">
              <w:rPr>
                <w:rFonts w:ascii="Arial" w:hAnsi="Arial" w:cs="Arial"/>
              </w:rPr>
              <w:t xml:space="preserve">Operational flexibility </w:t>
            </w:r>
          </w:p>
        </w:tc>
        <w:tc>
          <w:tcPr>
            <w:tcW w:w="3005" w:type="dxa"/>
          </w:tcPr>
          <w:p w14:paraId="1CAF5179" w14:textId="50F90AB4" w:rsidR="00B977C0" w:rsidRPr="00611CB9" w:rsidRDefault="00B977C0" w:rsidP="00A7362D">
            <w:pPr>
              <w:spacing w:line="360" w:lineRule="auto"/>
              <w:rPr>
                <w:rFonts w:ascii="Arial" w:hAnsi="Arial" w:cs="Arial"/>
              </w:rPr>
            </w:pPr>
            <w:r w:rsidRPr="00611CB9">
              <w:rPr>
                <w:rFonts w:ascii="Arial" w:hAnsi="Arial" w:cs="Arial"/>
              </w:rPr>
              <w:t xml:space="preserve">Highly flexible; credit lines can be drawn down or repaid to match the seasonal cash flows. </w:t>
            </w:r>
          </w:p>
        </w:tc>
        <w:tc>
          <w:tcPr>
            <w:tcW w:w="3006" w:type="dxa"/>
          </w:tcPr>
          <w:p w14:paraId="0CD54EA6" w14:textId="0D6FD89C" w:rsidR="00B977C0" w:rsidRPr="00611CB9" w:rsidRDefault="00B977C0" w:rsidP="00A7362D">
            <w:pPr>
              <w:spacing w:line="360" w:lineRule="auto"/>
              <w:rPr>
                <w:rFonts w:ascii="Arial" w:hAnsi="Arial" w:cs="Arial"/>
              </w:rPr>
            </w:pPr>
            <w:r w:rsidRPr="00611CB9">
              <w:rPr>
                <w:rFonts w:ascii="Arial" w:hAnsi="Arial" w:cs="Arial"/>
              </w:rPr>
              <w:t xml:space="preserve">Low flexibility; strict, locked-in coupon payments create fixed </w:t>
            </w:r>
            <w:r w:rsidRPr="00611CB9">
              <w:rPr>
                <w:rFonts w:ascii="Arial" w:hAnsi="Arial" w:cs="Arial"/>
              </w:rPr>
              <w:lastRenderedPageBreak/>
              <w:t xml:space="preserve">cash obligations over decades. </w:t>
            </w:r>
          </w:p>
        </w:tc>
      </w:tr>
      <w:tr w:rsidR="00B977C0" w:rsidRPr="00611CB9" w14:paraId="66DEA946" w14:textId="77777777" w:rsidTr="00B977C0">
        <w:tc>
          <w:tcPr>
            <w:tcW w:w="3005" w:type="dxa"/>
          </w:tcPr>
          <w:p w14:paraId="7F736930" w14:textId="6059ABC0" w:rsidR="00B977C0" w:rsidRPr="00611CB9" w:rsidRDefault="00B977C0" w:rsidP="00A7362D">
            <w:pPr>
              <w:spacing w:line="360" w:lineRule="auto"/>
              <w:rPr>
                <w:rFonts w:ascii="Arial" w:hAnsi="Arial" w:cs="Arial"/>
              </w:rPr>
            </w:pPr>
            <w:r w:rsidRPr="00611CB9">
              <w:rPr>
                <w:rFonts w:ascii="Arial" w:hAnsi="Arial" w:cs="Arial"/>
              </w:rPr>
              <w:lastRenderedPageBreak/>
              <w:t xml:space="preserve">Cost of Capital </w:t>
            </w:r>
          </w:p>
        </w:tc>
        <w:tc>
          <w:tcPr>
            <w:tcW w:w="3005" w:type="dxa"/>
          </w:tcPr>
          <w:p w14:paraId="09974D81" w14:textId="1AC4B2F7" w:rsidR="00B977C0" w:rsidRPr="00611CB9" w:rsidRDefault="00B977C0" w:rsidP="00A7362D">
            <w:pPr>
              <w:spacing w:line="360" w:lineRule="auto"/>
              <w:rPr>
                <w:rFonts w:ascii="Arial" w:hAnsi="Arial" w:cs="Arial"/>
              </w:rPr>
            </w:pPr>
            <w:r w:rsidRPr="00611CB9">
              <w:rPr>
                <w:rFonts w:ascii="Arial" w:hAnsi="Arial" w:cs="Arial"/>
              </w:rPr>
              <w:t xml:space="preserve">Lower initial interest rates; avoids paying the long-term maturity risk premiums. </w:t>
            </w:r>
          </w:p>
        </w:tc>
        <w:tc>
          <w:tcPr>
            <w:tcW w:w="3006" w:type="dxa"/>
          </w:tcPr>
          <w:p w14:paraId="0C850A09" w14:textId="63471A1E" w:rsidR="00B977C0" w:rsidRPr="00611CB9" w:rsidRDefault="00B977C0" w:rsidP="00A7362D">
            <w:pPr>
              <w:spacing w:line="360" w:lineRule="auto"/>
              <w:rPr>
                <w:rFonts w:ascii="Arial" w:hAnsi="Arial" w:cs="Arial"/>
              </w:rPr>
            </w:pPr>
            <w:r w:rsidRPr="00611CB9">
              <w:rPr>
                <w:rFonts w:ascii="Arial" w:hAnsi="Arial" w:cs="Arial"/>
              </w:rPr>
              <w:t xml:space="preserve">Higher yield premiums; </w:t>
            </w:r>
            <w:r w:rsidR="00277003" w:rsidRPr="00611CB9">
              <w:rPr>
                <w:rFonts w:ascii="Arial" w:hAnsi="Arial" w:cs="Arial"/>
              </w:rPr>
              <w:t>needed</w:t>
            </w:r>
            <w:r w:rsidRPr="00611CB9">
              <w:rPr>
                <w:rFonts w:ascii="Arial" w:hAnsi="Arial" w:cs="Arial"/>
              </w:rPr>
              <w:t xml:space="preserve"> by the investors to offset long-term risks. </w:t>
            </w:r>
          </w:p>
        </w:tc>
      </w:tr>
      <w:tr w:rsidR="00B977C0" w:rsidRPr="00611CB9" w14:paraId="7004D2C5" w14:textId="77777777" w:rsidTr="00B977C0">
        <w:tc>
          <w:tcPr>
            <w:tcW w:w="3005" w:type="dxa"/>
          </w:tcPr>
          <w:p w14:paraId="2280B78F" w14:textId="0B03D9E1" w:rsidR="00B977C0" w:rsidRPr="00611CB9" w:rsidRDefault="00B977C0" w:rsidP="00A7362D">
            <w:pPr>
              <w:spacing w:line="360" w:lineRule="auto"/>
              <w:rPr>
                <w:rFonts w:ascii="Arial" w:hAnsi="Arial" w:cs="Arial"/>
              </w:rPr>
            </w:pPr>
            <w:r w:rsidRPr="00611CB9">
              <w:rPr>
                <w:rFonts w:ascii="Arial" w:hAnsi="Arial" w:cs="Arial"/>
              </w:rPr>
              <w:t xml:space="preserve">Refinancing risk </w:t>
            </w:r>
          </w:p>
        </w:tc>
        <w:tc>
          <w:tcPr>
            <w:tcW w:w="3005" w:type="dxa"/>
          </w:tcPr>
          <w:p w14:paraId="3F0EA51E" w14:textId="0E91315C" w:rsidR="00B977C0" w:rsidRPr="00611CB9" w:rsidRDefault="00B977C0" w:rsidP="00A7362D">
            <w:pPr>
              <w:spacing w:line="360" w:lineRule="auto"/>
              <w:rPr>
                <w:rFonts w:ascii="Arial" w:hAnsi="Arial" w:cs="Arial"/>
              </w:rPr>
            </w:pPr>
            <w:r w:rsidRPr="00611CB9">
              <w:rPr>
                <w:rFonts w:ascii="Arial" w:hAnsi="Arial" w:cs="Arial"/>
              </w:rPr>
              <w:t>Severe risk; exposes the organisation to rollover</w:t>
            </w:r>
            <w:r w:rsidR="003100E0" w:rsidRPr="00611CB9">
              <w:rPr>
                <w:rFonts w:ascii="Arial" w:hAnsi="Arial" w:cs="Arial"/>
              </w:rPr>
              <w:t xml:space="preserve"> friction and high interest rates if credit markets tighten. </w:t>
            </w:r>
          </w:p>
        </w:tc>
        <w:tc>
          <w:tcPr>
            <w:tcW w:w="3006" w:type="dxa"/>
          </w:tcPr>
          <w:p w14:paraId="2FE14445" w14:textId="07B89A39" w:rsidR="003100E0" w:rsidRPr="00611CB9" w:rsidRDefault="003100E0" w:rsidP="00A7362D">
            <w:pPr>
              <w:spacing w:line="360" w:lineRule="auto"/>
              <w:rPr>
                <w:rFonts w:ascii="Arial" w:hAnsi="Arial" w:cs="Arial"/>
              </w:rPr>
            </w:pPr>
            <w:r w:rsidRPr="00611CB9">
              <w:rPr>
                <w:rFonts w:ascii="Arial" w:hAnsi="Arial" w:cs="Arial"/>
              </w:rPr>
              <w:t xml:space="preserve">Negligible short-term risk; immunises the organisation from the credit market shocks during the term of debt. </w:t>
            </w:r>
          </w:p>
        </w:tc>
      </w:tr>
      <w:tr w:rsidR="003100E0" w:rsidRPr="00611CB9" w14:paraId="7B1CC97E" w14:textId="77777777" w:rsidTr="00B977C0">
        <w:tc>
          <w:tcPr>
            <w:tcW w:w="3005" w:type="dxa"/>
          </w:tcPr>
          <w:p w14:paraId="7C7E0E95" w14:textId="53468C6F" w:rsidR="003100E0" w:rsidRPr="00611CB9" w:rsidRDefault="003100E0" w:rsidP="00A7362D">
            <w:pPr>
              <w:spacing w:line="360" w:lineRule="auto"/>
              <w:rPr>
                <w:rFonts w:ascii="Arial" w:hAnsi="Arial" w:cs="Arial"/>
              </w:rPr>
            </w:pPr>
            <w:r w:rsidRPr="00611CB9">
              <w:rPr>
                <w:rFonts w:ascii="Arial" w:hAnsi="Arial" w:cs="Arial"/>
              </w:rPr>
              <w:t xml:space="preserve">Strategic alignment </w:t>
            </w:r>
          </w:p>
        </w:tc>
        <w:tc>
          <w:tcPr>
            <w:tcW w:w="3005" w:type="dxa"/>
          </w:tcPr>
          <w:p w14:paraId="0B025C06" w14:textId="71E4DB4F" w:rsidR="003100E0" w:rsidRPr="00611CB9" w:rsidRDefault="003100E0" w:rsidP="00A7362D">
            <w:pPr>
              <w:spacing w:line="360" w:lineRule="auto"/>
              <w:rPr>
                <w:rFonts w:ascii="Arial" w:hAnsi="Arial" w:cs="Arial"/>
              </w:rPr>
            </w:pPr>
            <w:r w:rsidRPr="00611CB9">
              <w:rPr>
                <w:rFonts w:ascii="Arial" w:hAnsi="Arial" w:cs="Arial"/>
              </w:rPr>
              <w:t xml:space="preserve">Ideal for smoothing seasonal cash flow dips or matching short-term inventory cycles. </w:t>
            </w:r>
          </w:p>
        </w:tc>
        <w:tc>
          <w:tcPr>
            <w:tcW w:w="3006" w:type="dxa"/>
          </w:tcPr>
          <w:p w14:paraId="74910940" w14:textId="5DBC73FE" w:rsidR="003100E0" w:rsidRPr="00611CB9" w:rsidRDefault="003100E0" w:rsidP="00A7362D">
            <w:pPr>
              <w:spacing w:line="360" w:lineRule="auto"/>
              <w:rPr>
                <w:rFonts w:ascii="Arial" w:hAnsi="Arial" w:cs="Arial"/>
              </w:rPr>
            </w:pPr>
            <w:r w:rsidRPr="00611CB9">
              <w:rPr>
                <w:rFonts w:ascii="Arial" w:hAnsi="Arial" w:cs="Arial"/>
              </w:rPr>
              <w:t xml:space="preserve">Best for long-term investments, such as international brand acquisitions. </w:t>
            </w:r>
          </w:p>
        </w:tc>
      </w:tr>
    </w:tbl>
    <w:p w14:paraId="54D9D819" w14:textId="77777777" w:rsidR="00B977C0" w:rsidRPr="00611CB9" w:rsidRDefault="00B977C0" w:rsidP="00A7362D">
      <w:pPr>
        <w:spacing w:line="360" w:lineRule="auto"/>
        <w:rPr>
          <w:rFonts w:ascii="Arial" w:hAnsi="Arial" w:cs="Arial"/>
        </w:rPr>
      </w:pPr>
    </w:p>
    <w:p w14:paraId="36DA5010" w14:textId="3FABAAB9" w:rsidR="003100E0" w:rsidRPr="00611CB9" w:rsidRDefault="003100E0" w:rsidP="00A7362D">
      <w:pPr>
        <w:spacing w:line="360" w:lineRule="auto"/>
        <w:rPr>
          <w:rFonts w:ascii="Arial" w:hAnsi="Arial" w:cs="Arial"/>
          <w:b/>
          <w:bCs/>
          <w:i/>
          <w:iCs/>
        </w:rPr>
      </w:pPr>
      <w:r w:rsidRPr="00611CB9">
        <w:rPr>
          <w:rFonts w:ascii="Arial" w:hAnsi="Arial" w:cs="Arial"/>
          <w:b/>
          <w:bCs/>
          <w:i/>
          <w:iCs/>
        </w:rPr>
        <w:t xml:space="preserve">CFO strategic choice </w:t>
      </w:r>
    </w:p>
    <w:p w14:paraId="0E9DC266" w14:textId="0C69F330" w:rsidR="003100E0" w:rsidRPr="00611CB9" w:rsidRDefault="00277003" w:rsidP="00A7362D">
      <w:pPr>
        <w:spacing w:line="360" w:lineRule="auto"/>
        <w:rPr>
          <w:rFonts w:ascii="Arial" w:hAnsi="Arial" w:cs="Arial"/>
        </w:rPr>
      </w:pPr>
      <w:r w:rsidRPr="00611CB9">
        <w:rPr>
          <w:rFonts w:ascii="Arial" w:hAnsi="Arial" w:cs="Arial"/>
        </w:rPr>
        <w:t>Overdependence</w:t>
      </w:r>
      <w:r w:rsidR="003100E0" w:rsidRPr="00611CB9">
        <w:rPr>
          <w:rFonts w:ascii="Arial" w:hAnsi="Arial" w:cs="Arial"/>
        </w:rPr>
        <w:t xml:space="preserve"> on the short-term commercial paper exposes the hospitality company to high rollover and interest rate volatility during downturns in the market. Hence, Hyatt needs to adjust its strategy to use fixed and long-term debt instruments for its permanent working capital requirements. Short-term revolving credit lines need to be reserved strictly for the unexpected operational volatility. This balanced approach will insulate Hyatt from sudden credit contractions while naturally improving its quick ratio back towards the </w:t>
      </w:r>
      <w:r w:rsidRPr="00611CB9">
        <w:rPr>
          <w:rFonts w:ascii="Arial" w:hAnsi="Arial" w:cs="Arial"/>
        </w:rPr>
        <w:t>sector standards</w:t>
      </w:r>
      <w:r w:rsidR="003100E0" w:rsidRPr="00611CB9">
        <w:rPr>
          <w:rFonts w:ascii="Arial" w:hAnsi="Arial" w:cs="Arial"/>
        </w:rPr>
        <w:t xml:space="preserve">. </w:t>
      </w:r>
    </w:p>
    <w:p w14:paraId="50A21A98" w14:textId="24DE4CFF" w:rsidR="000729F0" w:rsidRPr="00611CB9" w:rsidRDefault="00277003" w:rsidP="00A7362D">
      <w:pPr>
        <w:pStyle w:val="Heading1"/>
        <w:rPr>
          <w:rFonts w:ascii="Arial" w:hAnsi="Arial" w:cs="Arial"/>
        </w:rPr>
      </w:pPr>
      <w:bookmarkStart w:id="12" w:name="_Toc235474577"/>
      <w:r w:rsidRPr="00611CB9">
        <w:rPr>
          <w:rFonts w:ascii="Arial" w:hAnsi="Arial" w:cs="Arial"/>
        </w:rPr>
        <w:t xml:space="preserve">3 </w:t>
      </w:r>
      <w:r w:rsidR="00F70FA4" w:rsidRPr="00611CB9">
        <w:rPr>
          <w:rFonts w:ascii="Arial" w:hAnsi="Arial" w:cs="Arial"/>
        </w:rPr>
        <w:t>Strategic Financial Restructuring Plan</w:t>
      </w:r>
      <w:bookmarkEnd w:id="12"/>
      <w:r w:rsidR="00F70FA4" w:rsidRPr="00611CB9">
        <w:rPr>
          <w:rFonts w:ascii="Arial" w:hAnsi="Arial" w:cs="Arial"/>
        </w:rPr>
        <w:t xml:space="preserve"> </w:t>
      </w:r>
    </w:p>
    <w:p w14:paraId="65EE615D" w14:textId="00F1D9EE" w:rsidR="00F70FA4" w:rsidRPr="00611CB9" w:rsidRDefault="00F70FA4" w:rsidP="00A7362D">
      <w:pPr>
        <w:spacing w:line="360" w:lineRule="auto"/>
        <w:rPr>
          <w:rFonts w:ascii="Arial" w:hAnsi="Arial" w:cs="Arial"/>
        </w:rPr>
      </w:pPr>
      <w:r w:rsidRPr="00611CB9">
        <w:rPr>
          <w:rFonts w:ascii="Arial" w:hAnsi="Arial" w:cs="Arial"/>
        </w:rPr>
        <w:t xml:space="preserve">As the Chief Financial Officer, navigating the capital composition of Hyatt Hotels Corporation requires balancing operational expansion with balance sheet resilience. This phase of rapid acquisition (exemplified by the purchase of Apple Leisure Group and transactions for Playa Hotels &amp; Resorts N.V) initially strained financial leverage and liquidity metrics. To fortify the capital architecture of Hyatt, this section </w:t>
      </w:r>
      <w:r w:rsidR="00920014" w:rsidRPr="00611CB9">
        <w:rPr>
          <w:rFonts w:ascii="Arial" w:hAnsi="Arial" w:cs="Arial"/>
        </w:rPr>
        <w:t>presents</w:t>
      </w:r>
      <w:r w:rsidRPr="00611CB9">
        <w:rPr>
          <w:rFonts w:ascii="Arial" w:hAnsi="Arial" w:cs="Arial"/>
        </w:rPr>
        <w:t xml:space="preserve"> a formal financial restructuring plan. </w:t>
      </w:r>
    </w:p>
    <w:p w14:paraId="42422F70" w14:textId="49B75DC3" w:rsidR="00F70FA4" w:rsidRPr="00611CB9" w:rsidRDefault="00277003" w:rsidP="00A7362D">
      <w:pPr>
        <w:pStyle w:val="Heading2"/>
        <w:rPr>
          <w:rFonts w:ascii="Arial" w:hAnsi="Arial" w:cs="Arial"/>
        </w:rPr>
      </w:pPr>
      <w:bookmarkStart w:id="13" w:name="_Toc235474578"/>
      <w:r w:rsidRPr="00611CB9">
        <w:rPr>
          <w:rFonts w:ascii="Arial" w:hAnsi="Arial" w:cs="Arial"/>
        </w:rPr>
        <w:lastRenderedPageBreak/>
        <w:t xml:space="preserve">3.1 </w:t>
      </w:r>
      <w:r w:rsidR="00920014" w:rsidRPr="00611CB9">
        <w:rPr>
          <w:rFonts w:ascii="Arial" w:hAnsi="Arial" w:cs="Arial"/>
        </w:rPr>
        <w:t>Recommended corporate restructuring: Asset-light divestiture</w:t>
      </w:r>
      <w:bookmarkEnd w:id="13"/>
      <w:r w:rsidR="00920014" w:rsidRPr="00611CB9">
        <w:rPr>
          <w:rFonts w:ascii="Arial" w:hAnsi="Arial" w:cs="Arial"/>
        </w:rPr>
        <w:t xml:space="preserve"> </w:t>
      </w:r>
    </w:p>
    <w:p w14:paraId="05F28BC2" w14:textId="6FE14136" w:rsidR="00920014" w:rsidRPr="00611CB9" w:rsidRDefault="00920014" w:rsidP="00A7362D">
      <w:pPr>
        <w:spacing w:line="360" w:lineRule="auto"/>
        <w:rPr>
          <w:rFonts w:ascii="Arial" w:hAnsi="Arial" w:cs="Arial"/>
        </w:rPr>
      </w:pPr>
      <w:r w:rsidRPr="00611CB9">
        <w:rPr>
          <w:rFonts w:ascii="Arial" w:hAnsi="Arial" w:cs="Arial"/>
        </w:rPr>
        <w:t xml:space="preserve">The primary suggested corporate restructuring tool is </w:t>
      </w:r>
      <w:r w:rsidRPr="00611CB9">
        <w:rPr>
          <w:rFonts w:ascii="Arial" w:hAnsi="Arial" w:cs="Arial"/>
          <w:b/>
          <w:bCs/>
          <w:i/>
          <w:iCs/>
        </w:rPr>
        <w:t>the strategic asset divestiture paired with the long-term lease-back or management conversions</w:t>
      </w:r>
      <w:r w:rsidRPr="00611CB9">
        <w:rPr>
          <w:rFonts w:ascii="Arial" w:hAnsi="Arial" w:cs="Arial"/>
        </w:rPr>
        <w:t xml:space="preserve">. This structure directly copes with the stated corporate objective of Hyatt to reach an asset-light earnings mix exceeding more than 90%. </w:t>
      </w:r>
    </w:p>
    <w:p w14:paraId="3527647C" w14:textId="1375FD6A" w:rsidR="00920014" w:rsidRPr="00611CB9" w:rsidRDefault="00920014" w:rsidP="00A7362D">
      <w:pPr>
        <w:spacing w:line="360" w:lineRule="auto"/>
        <w:rPr>
          <w:rFonts w:ascii="Arial" w:hAnsi="Arial" w:cs="Arial"/>
        </w:rPr>
      </w:pPr>
      <w:r w:rsidRPr="00611CB9">
        <w:rPr>
          <w:rFonts w:ascii="Arial" w:hAnsi="Arial" w:cs="Arial"/>
        </w:rPr>
        <w:t xml:space="preserve">A prime model executing this is the closing of Hyatt’s $2.0 billion sale of Playa real estate portfolio to Tortuga Resorts. By offloading physical real estate holdings while simultaneously securing the 50-year management agreements for 13 of those beachfront properties, Hyatt effectively unbundles its real estate assets from its core hospitality brand equity. </w:t>
      </w:r>
    </w:p>
    <w:p w14:paraId="429B661B" w14:textId="7C97AB5A" w:rsidR="00920014" w:rsidRPr="00611CB9" w:rsidRDefault="00920014" w:rsidP="00A7362D">
      <w:pPr>
        <w:spacing w:line="360" w:lineRule="auto"/>
        <w:rPr>
          <w:rFonts w:ascii="Arial" w:hAnsi="Arial" w:cs="Arial"/>
        </w:rPr>
      </w:pPr>
      <w:r w:rsidRPr="00611CB9">
        <w:rPr>
          <w:rFonts w:ascii="Arial" w:hAnsi="Arial" w:cs="Arial"/>
        </w:rPr>
        <w:t xml:space="preserve">Moreover, Hyatt also needs to continue the execution of its pending purchase and sale agreements for high-value properties like Andaz London Liverpool Street and Hyatt Grand Central New York. Instead of executing an equity injection, which would dilute the ownership of the existing shareholders, capital recycling using real estate divestment offers organic liquidity. </w:t>
      </w:r>
    </w:p>
    <w:p w14:paraId="400A78AD" w14:textId="6C462BE1" w:rsidR="00920014" w:rsidRPr="00611CB9" w:rsidRDefault="00277003" w:rsidP="00A7362D">
      <w:pPr>
        <w:pStyle w:val="Heading2"/>
        <w:rPr>
          <w:rFonts w:ascii="Arial" w:hAnsi="Arial" w:cs="Arial"/>
        </w:rPr>
      </w:pPr>
      <w:bookmarkStart w:id="14" w:name="_Toc235474579"/>
      <w:r w:rsidRPr="00611CB9">
        <w:rPr>
          <w:rFonts w:ascii="Arial" w:hAnsi="Arial" w:cs="Arial"/>
        </w:rPr>
        <w:t xml:space="preserve">3.2 </w:t>
      </w:r>
      <w:r w:rsidR="00920014" w:rsidRPr="00611CB9">
        <w:rPr>
          <w:rFonts w:ascii="Arial" w:hAnsi="Arial" w:cs="Arial"/>
        </w:rPr>
        <w:t>Capital impact evaluation</w:t>
      </w:r>
      <w:bookmarkEnd w:id="14"/>
      <w:r w:rsidR="00920014" w:rsidRPr="00611CB9">
        <w:rPr>
          <w:rFonts w:ascii="Arial" w:hAnsi="Arial" w:cs="Arial"/>
        </w:rPr>
        <w:t xml:space="preserve"> </w:t>
      </w:r>
    </w:p>
    <w:p w14:paraId="3E76161B" w14:textId="74DA9CAC" w:rsidR="00920014" w:rsidRPr="00611CB9" w:rsidRDefault="00B70611" w:rsidP="00A7362D">
      <w:pPr>
        <w:spacing w:line="360" w:lineRule="auto"/>
        <w:rPr>
          <w:rFonts w:ascii="Arial" w:hAnsi="Arial" w:cs="Arial"/>
          <w:b/>
          <w:bCs/>
          <w:i/>
          <w:iCs/>
        </w:rPr>
      </w:pPr>
      <w:r w:rsidRPr="00611CB9">
        <w:rPr>
          <w:rFonts w:ascii="Arial" w:hAnsi="Arial" w:cs="Arial"/>
          <w:b/>
          <w:bCs/>
          <w:i/>
          <w:iCs/>
        </w:rPr>
        <w:t xml:space="preserve">Impact of Debt Structure and Liquidity </w:t>
      </w:r>
    </w:p>
    <w:p w14:paraId="404F7442" w14:textId="185864AB" w:rsidR="00B70611" w:rsidRPr="00611CB9" w:rsidRDefault="00B70611" w:rsidP="00A7362D">
      <w:pPr>
        <w:spacing w:line="360" w:lineRule="auto"/>
        <w:rPr>
          <w:rFonts w:ascii="Arial" w:hAnsi="Arial" w:cs="Arial"/>
        </w:rPr>
      </w:pPr>
      <w:r w:rsidRPr="00611CB9">
        <w:rPr>
          <w:rFonts w:ascii="Arial" w:hAnsi="Arial" w:cs="Arial"/>
        </w:rPr>
        <w:t xml:space="preserve">The immediate allocation of divestment cash proceeds needs to be directed towards paying down long-term leverage, such as delayed draw term loans utilised to fund the acquisitions. This strategic application successfully compressed the total debt of Hyatt to $4.3 billion. By retiring these credit tranches, the interest coverage ratio of Hyatt organically expands, improving the firm’s credit risk profile and preserving its investment-grade rating. Concurrently, maintaining a strong revolving credit facility of $1.497 </w:t>
      </w:r>
      <w:r w:rsidR="00277003" w:rsidRPr="00611CB9">
        <w:rPr>
          <w:rFonts w:ascii="Arial" w:hAnsi="Arial" w:cs="Arial"/>
        </w:rPr>
        <w:t>million</w:t>
      </w:r>
      <w:r w:rsidRPr="00611CB9">
        <w:rPr>
          <w:rFonts w:ascii="Arial" w:hAnsi="Arial" w:cs="Arial"/>
        </w:rPr>
        <w:t xml:space="preserve"> provides a substantial buffer to clear the short-term commercial papers, directly addressing the liquidity gaps recognised in the financial health checks. </w:t>
      </w:r>
    </w:p>
    <w:p w14:paraId="7932A271" w14:textId="1678FB8A" w:rsidR="00B70611" w:rsidRPr="00611CB9" w:rsidRDefault="00B70611" w:rsidP="00A7362D">
      <w:pPr>
        <w:spacing w:line="360" w:lineRule="auto"/>
        <w:rPr>
          <w:rFonts w:ascii="Arial" w:hAnsi="Arial" w:cs="Arial"/>
          <w:b/>
          <w:bCs/>
          <w:i/>
          <w:iCs/>
        </w:rPr>
      </w:pPr>
      <w:r w:rsidRPr="00611CB9">
        <w:rPr>
          <w:rFonts w:ascii="Arial" w:hAnsi="Arial" w:cs="Arial"/>
          <w:b/>
          <w:bCs/>
          <w:i/>
          <w:iCs/>
        </w:rPr>
        <w:t xml:space="preserve">Maximisation of shareholder value </w:t>
      </w:r>
    </w:p>
    <w:p w14:paraId="267ABC66" w14:textId="5CE6E6A7" w:rsidR="00B70611" w:rsidRPr="00611CB9" w:rsidRDefault="00380D8D" w:rsidP="00A7362D">
      <w:pPr>
        <w:spacing w:line="360" w:lineRule="auto"/>
        <w:rPr>
          <w:rFonts w:ascii="Arial" w:hAnsi="Arial" w:cs="Arial"/>
        </w:rPr>
      </w:pPr>
      <w:r w:rsidRPr="00611CB9">
        <w:rPr>
          <w:rFonts w:ascii="Arial" w:hAnsi="Arial" w:cs="Arial"/>
        </w:rPr>
        <w:t>From</w:t>
      </w:r>
      <w:r w:rsidR="00B70611" w:rsidRPr="00611CB9">
        <w:rPr>
          <w:rFonts w:ascii="Arial" w:hAnsi="Arial" w:cs="Arial"/>
        </w:rPr>
        <w:t xml:space="preserve"> the </w:t>
      </w:r>
      <w:r w:rsidR="00277003" w:rsidRPr="00611CB9">
        <w:rPr>
          <w:rFonts w:ascii="Arial" w:hAnsi="Arial" w:cs="Arial"/>
        </w:rPr>
        <w:t>viewpoint</w:t>
      </w:r>
      <w:r w:rsidR="00B70611" w:rsidRPr="00611CB9">
        <w:rPr>
          <w:rFonts w:ascii="Arial" w:hAnsi="Arial" w:cs="Arial"/>
        </w:rPr>
        <w:t xml:space="preserve"> of valuation, asset-light hospitality fee generators command </w:t>
      </w:r>
      <w:r w:rsidRPr="00611CB9">
        <w:rPr>
          <w:rFonts w:ascii="Arial" w:hAnsi="Arial" w:cs="Arial"/>
        </w:rPr>
        <w:t xml:space="preserve">significantly higher enterprise-value-to-EBITDA </w:t>
      </w:r>
      <w:r w:rsidR="00277003" w:rsidRPr="00611CB9">
        <w:rPr>
          <w:rFonts w:ascii="Arial" w:hAnsi="Arial" w:cs="Arial"/>
        </w:rPr>
        <w:t>multiples</w:t>
      </w:r>
      <w:r w:rsidRPr="00611CB9">
        <w:rPr>
          <w:rFonts w:ascii="Arial" w:hAnsi="Arial" w:cs="Arial"/>
        </w:rPr>
        <w:t xml:space="preserve"> (</w:t>
      </w:r>
      <w:r w:rsidR="00277003" w:rsidRPr="00611CB9">
        <w:rPr>
          <w:rFonts w:ascii="Arial" w:hAnsi="Arial" w:cs="Arial"/>
        </w:rPr>
        <w:t>typically</w:t>
      </w:r>
      <w:r w:rsidRPr="00611CB9">
        <w:rPr>
          <w:rFonts w:ascii="Arial" w:hAnsi="Arial" w:cs="Arial"/>
        </w:rPr>
        <w:t xml:space="preserve"> 14x-18x) relative to asset-heavy real estate owners (8x-11x). </w:t>
      </w:r>
      <w:r w:rsidR="0055592F" w:rsidRPr="00611CB9">
        <w:rPr>
          <w:rFonts w:ascii="Arial" w:hAnsi="Arial" w:cs="Arial"/>
        </w:rPr>
        <w:t>Divestments</w:t>
      </w:r>
      <w:r w:rsidRPr="00611CB9">
        <w:rPr>
          <w:rFonts w:ascii="Arial" w:hAnsi="Arial" w:cs="Arial"/>
        </w:rPr>
        <w:t xml:space="preserve"> unlock hidden balance sheet value</w:t>
      </w:r>
      <w:r w:rsidR="00277003" w:rsidRPr="00611CB9">
        <w:rPr>
          <w:rFonts w:ascii="Arial" w:hAnsi="Arial" w:cs="Arial"/>
        </w:rPr>
        <w:t>, leading</w:t>
      </w:r>
      <w:r w:rsidRPr="00611CB9">
        <w:rPr>
          <w:rFonts w:ascii="Arial" w:hAnsi="Arial" w:cs="Arial"/>
        </w:rPr>
        <w:t xml:space="preserve"> to cash available for active capital return programs. This is presented by the board of Hyatt expanding its share repurchase authorisations, returning </w:t>
      </w:r>
      <w:r w:rsidRPr="00611CB9">
        <w:rPr>
          <w:rFonts w:ascii="Arial" w:hAnsi="Arial" w:cs="Arial"/>
        </w:rPr>
        <w:lastRenderedPageBreak/>
        <w:t xml:space="preserve">hundreds of millions to investors through Class A stock buybacks alongside a sustained cash dividend. </w:t>
      </w:r>
    </w:p>
    <w:p w14:paraId="55258767" w14:textId="254492D3" w:rsidR="0055592F" w:rsidRPr="00611CB9" w:rsidRDefault="0055592F" w:rsidP="00A7362D">
      <w:pPr>
        <w:spacing w:line="360" w:lineRule="auto"/>
        <w:rPr>
          <w:rFonts w:ascii="Arial" w:hAnsi="Arial" w:cs="Arial"/>
          <w:b/>
          <w:bCs/>
          <w:i/>
          <w:iCs/>
        </w:rPr>
      </w:pPr>
      <w:r w:rsidRPr="00611CB9">
        <w:rPr>
          <w:rFonts w:ascii="Arial" w:hAnsi="Arial" w:cs="Arial"/>
          <w:b/>
          <w:bCs/>
          <w:i/>
          <w:iCs/>
        </w:rPr>
        <w:t xml:space="preserve">Optimisation of operational flexibility </w:t>
      </w:r>
    </w:p>
    <w:p w14:paraId="624549A3" w14:textId="11A8E963" w:rsidR="0055592F" w:rsidRPr="00611CB9" w:rsidRDefault="0055592F" w:rsidP="00A7362D">
      <w:pPr>
        <w:spacing w:line="360" w:lineRule="auto"/>
        <w:rPr>
          <w:rFonts w:ascii="Arial" w:hAnsi="Arial" w:cs="Arial"/>
        </w:rPr>
      </w:pPr>
      <w:r w:rsidRPr="00611CB9">
        <w:rPr>
          <w:rFonts w:ascii="Arial" w:hAnsi="Arial" w:cs="Arial"/>
        </w:rPr>
        <w:t xml:space="preserve">Operating as the dedicated </w:t>
      </w:r>
      <w:r w:rsidR="00277003" w:rsidRPr="00611CB9">
        <w:rPr>
          <w:rFonts w:ascii="Arial" w:hAnsi="Arial" w:cs="Arial"/>
        </w:rPr>
        <w:t>manager</w:t>
      </w:r>
      <w:r w:rsidRPr="00611CB9">
        <w:rPr>
          <w:rFonts w:ascii="Arial" w:hAnsi="Arial" w:cs="Arial"/>
        </w:rPr>
        <w:t xml:space="preserve"> and franchisor instead of the property owner insulates Hyatt from the heavy operational risks of real estate ownership. Property operational costs, cyclical real estate maintenance capital expenditures (CapEx), and the localised property tax liabilities </w:t>
      </w:r>
      <w:r w:rsidR="00277003" w:rsidRPr="00611CB9">
        <w:rPr>
          <w:rFonts w:ascii="Arial" w:hAnsi="Arial" w:cs="Arial"/>
        </w:rPr>
        <w:t>shift</w:t>
      </w:r>
      <w:r w:rsidRPr="00611CB9">
        <w:rPr>
          <w:rFonts w:ascii="Arial" w:hAnsi="Arial" w:cs="Arial"/>
        </w:rPr>
        <w:t xml:space="preserve"> wholly to the third-party owners. Hyatt retains high-margin, top-line fee streams (gross fees growing to a projected $1.3 billion). This </w:t>
      </w:r>
      <w:r w:rsidR="00277003" w:rsidRPr="00611CB9">
        <w:rPr>
          <w:rFonts w:ascii="Arial" w:hAnsi="Arial" w:cs="Arial"/>
        </w:rPr>
        <w:t>structural</w:t>
      </w:r>
      <w:r w:rsidRPr="00611CB9">
        <w:rPr>
          <w:rFonts w:ascii="Arial" w:hAnsi="Arial" w:cs="Arial"/>
        </w:rPr>
        <w:t xml:space="preserve"> flexibility ensures steady cash flow generation even during regional or cyclical economic slowdowns. </w:t>
      </w:r>
    </w:p>
    <w:p w14:paraId="23C8AD31" w14:textId="2850B676" w:rsidR="00380D8D" w:rsidRPr="00611CB9" w:rsidRDefault="00277003" w:rsidP="00A7362D">
      <w:pPr>
        <w:pStyle w:val="Heading2"/>
        <w:rPr>
          <w:rFonts w:ascii="Arial" w:hAnsi="Arial" w:cs="Arial"/>
        </w:rPr>
      </w:pPr>
      <w:bookmarkStart w:id="15" w:name="_Toc235474580"/>
      <w:r w:rsidRPr="00611CB9">
        <w:rPr>
          <w:rFonts w:ascii="Arial" w:hAnsi="Arial" w:cs="Arial"/>
        </w:rPr>
        <w:t xml:space="preserve">3.3 </w:t>
      </w:r>
      <w:r w:rsidR="00380D8D" w:rsidRPr="00611CB9">
        <w:rPr>
          <w:rFonts w:ascii="Arial" w:hAnsi="Arial" w:cs="Arial"/>
        </w:rPr>
        <w:t>International and Ethical Considerations</w:t>
      </w:r>
      <w:bookmarkEnd w:id="15"/>
      <w:r w:rsidR="00380D8D" w:rsidRPr="00611CB9">
        <w:rPr>
          <w:rFonts w:ascii="Arial" w:hAnsi="Arial" w:cs="Arial"/>
        </w:rPr>
        <w:t xml:space="preserve"> </w:t>
      </w:r>
    </w:p>
    <w:p w14:paraId="190299B3" w14:textId="77777777" w:rsidR="0055592F" w:rsidRPr="00611CB9" w:rsidRDefault="0055592F" w:rsidP="00A7362D">
      <w:pPr>
        <w:spacing w:line="360" w:lineRule="auto"/>
        <w:rPr>
          <w:rFonts w:ascii="Arial" w:eastAsiaTheme="minorEastAsia" w:hAnsi="Arial" w:cs="Arial"/>
          <w:b/>
          <w:bCs/>
          <w:i/>
          <w:iCs/>
        </w:rPr>
      </w:pPr>
      <w:r w:rsidRPr="00611CB9">
        <w:rPr>
          <w:rFonts w:ascii="Arial" w:eastAsiaTheme="minorEastAsia" w:hAnsi="Arial" w:cs="Arial"/>
          <w:b/>
          <w:bCs/>
          <w:i/>
          <w:iCs/>
        </w:rPr>
        <w:t>Currency risk and macroeconomic inflation</w:t>
      </w:r>
    </w:p>
    <w:p w14:paraId="57099DFA" w14:textId="03F94FA0" w:rsidR="00755EC7" w:rsidRPr="00611CB9" w:rsidRDefault="00755EC7" w:rsidP="00A7362D">
      <w:pPr>
        <w:spacing w:line="360" w:lineRule="auto"/>
        <w:rPr>
          <w:rFonts w:ascii="Arial" w:eastAsiaTheme="minorEastAsia" w:hAnsi="Arial" w:cs="Arial"/>
        </w:rPr>
      </w:pPr>
      <w:r w:rsidRPr="00611CB9">
        <w:rPr>
          <w:rFonts w:ascii="Arial" w:eastAsiaTheme="minorEastAsia" w:hAnsi="Arial" w:cs="Arial"/>
        </w:rPr>
        <w:t xml:space="preserve">Operating across 82 nations exposes the </w:t>
      </w:r>
      <w:r w:rsidR="00277003" w:rsidRPr="00611CB9">
        <w:rPr>
          <w:rFonts w:ascii="Arial" w:eastAsiaTheme="minorEastAsia" w:hAnsi="Arial" w:cs="Arial"/>
        </w:rPr>
        <w:t>fee</w:t>
      </w:r>
      <w:r w:rsidRPr="00611CB9">
        <w:rPr>
          <w:rFonts w:ascii="Arial" w:eastAsiaTheme="minorEastAsia" w:hAnsi="Arial" w:cs="Arial"/>
        </w:rPr>
        <w:t xml:space="preserve"> structure of Hyatt to foreign exchange translation risks. In hyperinflationary regions or locations that face currency </w:t>
      </w:r>
      <w:r w:rsidR="00277003" w:rsidRPr="00611CB9">
        <w:rPr>
          <w:rFonts w:ascii="Arial" w:eastAsiaTheme="minorEastAsia" w:hAnsi="Arial" w:cs="Arial"/>
        </w:rPr>
        <w:t>devaluation</w:t>
      </w:r>
      <w:r w:rsidRPr="00611CB9">
        <w:rPr>
          <w:rFonts w:ascii="Arial" w:eastAsiaTheme="minorEastAsia" w:hAnsi="Arial" w:cs="Arial"/>
        </w:rPr>
        <w:t xml:space="preserve">, localised fee generation loses purchasing </w:t>
      </w:r>
      <w:r w:rsidR="00277003" w:rsidRPr="00611CB9">
        <w:rPr>
          <w:rFonts w:ascii="Arial" w:eastAsiaTheme="minorEastAsia" w:hAnsi="Arial" w:cs="Arial"/>
        </w:rPr>
        <w:t>power</w:t>
      </w:r>
      <w:r w:rsidRPr="00611CB9">
        <w:rPr>
          <w:rFonts w:ascii="Arial" w:eastAsiaTheme="minorEastAsia" w:hAnsi="Arial" w:cs="Arial"/>
        </w:rPr>
        <w:t xml:space="preserve"> when consolidated into USD. To </w:t>
      </w:r>
      <w:r w:rsidR="00277003" w:rsidRPr="00611CB9">
        <w:rPr>
          <w:rFonts w:ascii="Arial" w:eastAsiaTheme="minorEastAsia" w:hAnsi="Arial" w:cs="Arial"/>
        </w:rPr>
        <w:t>manage</w:t>
      </w:r>
      <w:r w:rsidRPr="00611CB9">
        <w:rPr>
          <w:rFonts w:ascii="Arial" w:eastAsiaTheme="minorEastAsia" w:hAnsi="Arial" w:cs="Arial"/>
        </w:rPr>
        <w:t xml:space="preserve"> this, restructuring agreements need </w:t>
      </w:r>
      <w:r w:rsidR="00277003" w:rsidRPr="00611CB9">
        <w:rPr>
          <w:rFonts w:ascii="Arial" w:eastAsiaTheme="minorEastAsia" w:hAnsi="Arial" w:cs="Arial"/>
        </w:rPr>
        <w:t>to peg</w:t>
      </w:r>
      <w:r w:rsidRPr="00611CB9">
        <w:rPr>
          <w:rFonts w:ascii="Arial" w:eastAsiaTheme="minorEastAsia" w:hAnsi="Arial" w:cs="Arial"/>
        </w:rPr>
        <w:t xml:space="preserve"> </w:t>
      </w:r>
      <w:r w:rsidR="00277003" w:rsidRPr="00611CB9">
        <w:rPr>
          <w:rFonts w:ascii="Arial" w:eastAsiaTheme="minorEastAsia" w:hAnsi="Arial" w:cs="Arial"/>
        </w:rPr>
        <w:t>franchise</w:t>
      </w:r>
      <w:r w:rsidRPr="00611CB9">
        <w:rPr>
          <w:rFonts w:ascii="Arial" w:eastAsiaTheme="minorEastAsia" w:hAnsi="Arial" w:cs="Arial"/>
        </w:rPr>
        <w:t xml:space="preserve"> fees and </w:t>
      </w:r>
      <w:r w:rsidR="00277003" w:rsidRPr="00611CB9">
        <w:rPr>
          <w:rFonts w:ascii="Arial" w:eastAsiaTheme="minorEastAsia" w:hAnsi="Arial" w:cs="Arial"/>
        </w:rPr>
        <w:t>management</w:t>
      </w:r>
      <w:r w:rsidRPr="00611CB9">
        <w:rPr>
          <w:rFonts w:ascii="Arial" w:eastAsiaTheme="minorEastAsia" w:hAnsi="Arial" w:cs="Arial"/>
        </w:rPr>
        <w:t xml:space="preserve"> </w:t>
      </w:r>
      <w:r w:rsidR="00277003" w:rsidRPr="00611CB9">
        <w:rPr>
          <w:rFonts w:ascii="Arial" w:eastAsiaTheme="minorEastAsia" w:hAnsi="Arial" w:cs="Arial"/>
        </w:rPr>
        <w:t>fees</w:t>
      </w:r>
      <w:r w:rsidRPr="00611CB9">
        <w:rPr>
          <w:rFonts w:ascii="Arial" w:eastAsiaTheme="minorEastAsia" w:hAnsi="Arial" w:cs="Arial"/>
        </w:rPr>
        <w:t xml:space="preserve"> directly to hard currencies (such as EUI or USD) or tied to local consumer price indices (CPI) to insulate Hyatt from global inflation shocks. </w:t>
      </w:r>
    </w:p>
    <w:p w14:paraId="6F445346" w14:textId="442473F7" w:rsidR="00755EC7" w:rsidRPr="00611CB9" w:rsidRDefault="00755EC7" w:rsidP="00A7362D">
      <w:pPr>
        <w:spacing w:line="360" w:lineRule="auto"/>
        <w:rPr>
          <w:rFonts w:ascii="Arial" w:eastAsiaTheme="minorEastAsia" w:hAnsi="Arial" w:cs="Arial"/>
          <w:b/>
          <w:bCs/>
          <w:i/>
          <w:iCs/>
        </w:rPr>
      </w:pPr>
      <w:r w:rsidRPr="00611CB9">
        <w:rPr>
          <w:rFonts w:ascii="Arial" w:eastAsiaTheme="minorEastAsia" w:hAnsi="Arial" w:cs="Arial"/>
          <w:b/>
          <w:bCs/>
          <w:i/>
          <w:iCs/>
        </w:rPr>
        <w:t>International taxation and compliance</w:t>
      </w:r>
    </w:p>
    <w:p w14:paraId="1A98F1F3" w14:textId="4CEDC706" w:rsidR="00B74102" w:rsidRPr="00611CB9" w:rsidRDefault="00B74102" w:rsidP="00A7362D">
      <w:pPr>
        <w:spacing w:line="360" w:lineRule="auto"/>
        <w:rPr>
          <w:rFonts w:ascii="Arial" w:eastAsiaTheme="minorEastAsia" w:hAnsi="Arial" w:cs="Arial"/>
        </w:rPr>
      </w:pPr>
      <w:r w:rsidRPr="00611CB9">
        <w:rPr>
          <w:rFonts w:ascii="Arial" w:eastAsiaTheme="minorEastAsia" w:hAnsi="Arial" w:cs="Arial"/>
        </w:rPr>
        <w:t xml:space="preserve">Moving from the ownership of real estate to the cross-border fee generation changes the corporate tax obligation of Hyatt. The corporate treasury must manage the international withholding taxes on the franchise royalties. Structuring intellectual property and brand licensing </w:t>
      </w:r>
      <w:r w:rsidR="00277003" w:rsidRPr="00611CB9">
        <w:rPr>
          <w:rFonts w:ascii="Arial" w:eastAsiaTheme="minorEastAsia" w:hAnsi="Arial" w:cs="Arial"/>
        </w:rPr>
        <w:t>agreements</w:t>
      </w:r>
      <w:r w:rsidRPr="00611CB9">
        <w:rPr>
          <w:rFonts w:ascii="Arial" w:eastAsiaTheme="minorEastAsia" w:hAnsi="Arial" w:cs="Arial"/>
        </w:rPr>
        <w:t xml:space="preserve"> using the compliance hubs allows the firm to navigate tax </w:t>
      </w:r>
      <w:r w:rsidR="00277003" w:rsidRPr="00611CB9">
        <w:rPr>
          <w:rFonts w:ascii="Arial" w:eastAsiaTheme="minorEastAsia" w:hAnsi="Arial" w:cs="Arial"/>
        </w:rPr>
        <w:t>exposures</w:t>
      </w:r>
      <w:r w:rsidRPr="00611CB9">
        <w:rPr>
          <w:rFonts w:ascii="Arial" w:eastAsiaTheme="minorEastAsia" w:hAnsi="Arial" w:cs="Arial"/>
        </w:rPr>
        <w:t xml:space="preserve"> ethically while adhering fully to OECD base erosion and profit </w:t>
      </w:r>
      <w:r w:rsidR="00277003" w:rsidRPr="00611CB9">
        <w:rPr>
          <w:rFonts w:ascii="Arial" w:eastAsiaTheme="minorEastAsia" w:hAnsi="Arial" w:cs="Arial"/>
        </w:rPr>
        <w:t>shifting</w:t>
      </w:r>
      <w:r w:rsidRPr="00611CB9">
        <w:rPr>
          <w:rFonts w:ascii="Arial" w:eastAsiaTheme="minorEastAsia" w:hAnsi="Arial" w:cs="Arial"/>
        </w:rPr>
        <w:t xml:space="preserve"> (BEPS) guidelines. </w:t>
      </w:r>
    </w:p>
    <w:p w14:paraId="13C19C70" w14:textId="5FFA8D1B" w:rsidR="00B74102" w:rsidRPr="00611CB9" w:rsidRDefault="00B74102" w:rsidP="00A7362D">
      <w:pPr>
        <w:spacing w:line="360" w:lineRule="auto"/>
        <w:rPr>
          <w:rFonts w:ascii="Arial" w:eastAsiaTheme="minorEastAsia" w:hAnsi="Arial" w:cs="Arial"/>
          <w:b/>
          <w:bCs/>
          <w:i/>
          <w:iCs/>
        </w:rPr>
      </w:pPr>
      <w:r w:rsidRPr="00611CB9">
        <w:rPr>
          <w:rFonts w:ascii="Arial" w:eastAsiaTheme="minorEastAsia" w:hAnsi="Arial" w:cs="Arial"/>
          <w:b/>
          <w:bCs/>
          <w:i/>
          <w:iCs/>
        </w:rPr>
        <w:t xml:space="preserve">CSR, ESG, and climate resilience frameworks </w:t>
      </w:r>
    </w:p>
    <w:p w14:paraId="7D68BD55" w14:textId="3BBC175D" w:rsidR="00B74102" w:rsidRPr="00611CB9" w:rsidRDefault="00B74102" w:rsidP="00A7362D">
      <w:pPr>
        <w:spacing w:line="360" w:lineRule="auto"/>
        <w:rPr>
          <w:rFonts w:ascii="Arial" w:eastAsiaTheme="minorEastAsia" w:hAnsi="Arial" w:cs="Arial"/>
        </w:rPr>
      </w:pPr>
      <w:r w:rsidRPr="00611CB9">
        <w:rPr>
          <w:rFonts w:ascii="Arial" w:eastAsiaTheme="minorEastAsia" w:hAnsi="Arial" w:cs="Arial"/>
        </w:rPr>
        <w:t xml:space="preserve">Ethical financial management needs allocation of capital to counter environmental risks. For instance, critical weather events, like Hurricane Melissa damaging the properties of Hyatt in Jamaica, present the operational risks that climate change poses to coastal luxury resorts. </w:t>
      </w:r>
    </w:p>
    <w:p w14:paraId="6BD701AC" w14:textId="3DAABBDF" w:rsidR="00B74102" w:rsidRPr="00611CB9" w:rsidRDefault="007A1E5C" w:rsidP="00A7362D">
      <w:pPr>
        <w:spacing w:line="360" w:lineRule="auto"/>
        <w:rPr>
          <w:rFonts w:ascii="Arial" w:eastAsiaTheme="minorEastAsia" w:hAnsi="Arial" w:cs="Arial"/>
        </w:rPr>
      </w:pPr>
      <w:r>
        <w:rPr>
          <w:rFonts w:ascii="Arial" w:eastAsiaTheme="minorEastAsia" w:hAnsi="Arial" w:cs="Arial"/>
        </w:rPr>
        <w:lastRenderedPageBreak/>
        <w:t>While the split</w:t>
      </w:r>
      <w:r w:rsidR="00B74102" w:rsidRPr="00611CB9">
        <w:rPr>
          <w:rFonts w:ascii="Arial" w:eastAsiaTheme="minorEastAsia" w:hAnsi="Arial" w:cs="Arial"/>
        </w:rPr>
        <w:t xml:space="preserve">s transfer physical climate risks to partners like Tortuga Resorts, Hyatt maintains the ethical responsibility to protect local communities. Restructuring agreements must consist of enforceable ESG clauses mandating that property owners meet strict green building and energy-efficiency standards. </w:t>
      </w:r>
    </w:p>
    <w:p w14:paraId="4FF757A3" w14:textId="08A7EC71" w:rsidR="00B74102" w:rsidRPr="00611CB9" w:rsidRDefault="00B74102" w:rsidP="00A7362D">
      <w:pPr>
        <w:spacing w:line="360" w:lineRule="auto"/>
        <w:rPr>
          <w:rFonts w:ascii="Arial" w:eastAsiaTheme="minorEastAsia" w:hAnsi="Arial" w:cs="Arial"/>
        </w:rPr>
      </w:pPr>
      <w:r w:rsidRPr="00611CB9">
        <w:rPr>
          <w:rFonts w:ascii="Arial" w:eastAsiaTheme="minorEastAsia" w:hAnsi="Arial" w:cs="Arial"/>
        </w:rPr>
        <w:t xml:space="preserve">Moreover, the portion </w:t>
      </w:r>
      <w:r w:rsidR="00A73E5B" w:rsidRPr="00611CB9">
        <w:rPr>
          <w:rFonts w:ascii="Arial" w:eastAsiaTheme="minorEastAsia" w:hAnsi="Arial" w:cs="Arial"/>
        </w:rPr>
        <w:t xml:space="preserve">of corporate fee cash flow </w:t>
      </w:r>
      <w:r w:rsidR="00277003" w:rsidRPr="00611CB9">
        <w:rPr>
          <w:rFonts w:ascii="Arial" w:eastAsiaTheme="minorEastAsia" w:hAnsi="Arial" w:cs="Arial"/>
        </w:rPr>
        <w:t>needs</w:t>
      </w:r>
      <w:r w:rsidR="00A73E5B" w:rsidRPr="00611CB9">
        <w:rPr>
          <w:rFonts w:ascii="Arial" w:eastAsiaTheme="minorEastAsia" w:hAnsi="Arial" w:cs="Arial"/>
        </w:rPr>
        <w:t xml:space="preserve"> to be allocated to CSR initiatives, like </w:t>
      </w:r>
      <w:r w:rsidR="00277003" w:rsidRPr="00611CB9">
        <w:rPr>
          <w:rFonts w:ascii="Arial" w:eastAsiaTheme="minorEastAsia" w:hAnsi="Arial" w:cs="Arial"/>
        </w:rPr>
        <w:t xml:space="preserve">the </w:t>
      </w:r>
      <w:r w:rsidR="00A73E5B" w:rsidRPr="00611CB9">
        <w:rPr>
          <w:rFonts w:ascii="Arial" w:eastAsiaTheme="minorEastAsia" w:hAnsi="Arial" w:cs="Arial"/>
          <w:i/>
          <w:iCs/>
        </w:rPr>
        <w:t xml:space="preserve">Hyatt Care Fund, </w:t>
      </w:r>
      <w:r w:rsidR="00A73E5B" w:rsidRPr="00611CB9">
        <w:rPr>
          <w:rFonts w:ascii="Arial" w:eastAsiaTheme="minorEastAsia" w:hAnsi="Arial" w:cs="Arial"/>
        </w:rPr>
        <w:t xml:space="preserve">to provide emergency financial assistance to international resort workers affected by natural disasters. </w:t>
      </w:r>
      <w:r w:rsidR="00277003" w:rsidRPr="00611CB9">
        <w:rPr>
          <w:rFonts w:ascii="Arial" w:eastAsiaTheme="minorEastAsia" w:hAnsi="Arial" w:cs="Arial"/>
        </w:rPr>
        <w:t>Incorporation</w:t>
      </w:r>
      <w:r w:rsidR="00A73E5B" w:rsidRPr="00611CB9">
        <w:rPr>
          <w:rFonts w:ascii="Arial" w:eastAsiaTheme="minorEastAsia" w:hAnsi="Arial" w:cs="Arial"/>
        </w:rPr>
        <w:t xml:space="preserve"> of these ethical standards into the financial planning protects the brand equity of Hyatt, ensures sustainable </w:t>
      </w:r>
      <w:r w:rsidR="00277003" w:rsidRPr="00611CB9">
        <w:rPr>
          <w:rFonts w:ascii="Arial" w:eastAsiaTheme="minorEastAsia" w:hAnsi="Arial" w:cs="Arial"/>
        </w:rPr>
        <w:t>shareholder</w:t>
      </w:r>
      <w:r w:rsidR="00A73E5B" w:rsidRPr="00611CB9">
        <w:rPr>
          <w:rFonts w:ascii="Arial" w:eastAsiaTheme="minorEastAsia" w:hAnsi="Arial" w:cs="Arial"/>
        </w:rPr>
        <w:t xml:space="preserve"> returns and secures long-term customer loyalty. </w:t>
      </w:r>
    </w:p>
    <w:p w14:paraId="146A3BA4" w14:textId="77777777" w:rsidR="00A7362D" w:rsidRPr="00611CB9" w:rsidRDefault="00A7362D" w:rsidP="00A7362D">
      <w:pPr>
        <w:pStyle w:val="Heading1"/>
        <w:rPr>
          <w:rFonts w:ascii="Arial" w:hAnsi="Arial" w:cs="Arial"/>
        </w:rPr>
      </w:pPr>
      <w:bookmarkStart w:id="16" w:name="_Toc235403033"/>
      <w:bookmarkStart w:id="17" w:name="_Toc235474581"/>
      <w:r w:rsidRPr="00611CB9">
        <w:rPr>
          <w:rFonts w:ascii="Arial" w:hAnsi="Arial" w:cs="Arial"/>
        </w:rPr>
        <w:t>4. Investment Appraisal and Capital Budgeting</w:t>
      </w:r>
      <w:bookmarkEnd w:id="16"/>
      <w:bookmarkEnd w:id="17"/>
    </w:p>
    <w:p w14:paraId="4A7ED0F4" w14:textId="55C0CD9E" w:rsidR="00A7362D" w:rsidRPr="00611CB9" w:rsidRDefault="00A7362D" w:rsidP="00A7362D">
      <w:pPr>
        <w:pStyle w:val="Heading2"/>
        <w:rPr>
          <w:rFonts w:ascii="Arial" w:hAnsi="Arial" w:cs="Arial"/>
        </w:rPr>
      </w:pPr>
      <w:bookmarkStart w:id="18" w:name="_Toc235474582"/>
      <w:r w:rsidRPr="00611CB9">
        <w:rPr>
          <w:rFonts w:ascii="Arial" w:hAnsi="Arial" w:cs="Arial"/>
        </w:rPr>
        <w:t>4.1 Numerical Methods and Calculations</w:t>
      </w:r>
      <w:bookmarkEnd w:id="18"/>
    </w:p>
    <w:p w14:paraId="7E22FA54" w14:textId="67C38E19" w:rsidR="00A7362D" w:rsidRPr="00611CB9" w:rsidRDefault="00A7362D" w:rsidP="00A7362D">
      <w:pPr>
        <w:rPr>
          <w:rFonts w:ascii="Arial" w:hAnsi="Arial" w:cs="Arial"/>
        </w:rPr>
      </w:pPr>
      <w:r w:rsidRPr="00611CB9">
        <w:rPr>
          <w:rFonts w:ascii="Arial" w:hAnsi="Arial" w:cs="Arial"/>
        </w:rPr>
        <w:t>Capital budgeting decisions are important for long-term financial strategy as these decisions have a clear effect on the company’s capital structure and shareholder wealth goals. The five most important investment appraisal measures are considered to evaluate the three proposed different investment projects (Project A, Project B, Project C): Payback period (PBP), Accounting rate of return (ARR), Net Present Value (NPV), Profitability index (PI), and Internal rate of return (IRR).</w:t>
      </w:r>
    </w:p>
    <w:p w14:paraId="1EEA529E" w14:textId="77777777" w:rsidR="00A7362D" w:rsidRPr="00611CB9" w:rsidRDefault="00A7362D"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 xml:space="preserve">The initial capital investment for each project is £50 million. The company maintains a hurdle rate (cost of capital) of 8% per year and straight-line depreciation to 0 throughout a 5-year  economic lifespan. This gives a fixed depreciation expense for each project yearly, calculated as – </w:t>
      </w:r>
    </w:p>
    <w:p w14:paraId="1E7032AB" w14:textId="77777777" w:rsidR="00A7362D" w:rsidRPr="00611CB9" w:rsidRDefault="00A7362D" w:rsidP="00A7362D">
      <w:pPr>
        <w:spacing w:line="360" w:lineRule="auto"/>
        <w:ind w:left="-180" w:right="206"/>
        <w:rPr>
          <w:rFonts w:ascii="Arial" w:eastAsiaTheme="minorEastAsia" w:hAnsi="Arial" w:cs="Arial"/>
          <w:kern w:val="0"/>
          <w:lang w:val="en-US"/>
          <w14:ligatures w14:val="none"/>
        </w:rPr>
      </w:pPr>
      <m:oMathPara>
        <m:oMath>
          <m:r>
            <m:rPr>
              <m:nor/>
            </m:rPr>
            <w:rPr>
              <w:rFonts w:ascii="Arial" w:eastAsiaTheme="minorEastAsia" w:hAnsi="Arial" w:cs="Arial"/>
              <w:kern w:val="0"/>
              <w:lang w:val="en-US"/>
              <w14:ligatures w14:val="none"/>
            </w:rPr>
            <m:t>Annual Depreciation </m:t>
          </m:r>
          <m:r>
            <m:rPr>
              <m:sty m:val="p"/>
            </m:rPr>
            <w:rPr>
              <w:rFonts w:ascii="Cambria Math" w:eastAsiaTheme="minorEastAsia" w:hAnsi="Cambria Math" w:cs="Arial"/>
              <w:kern w:val="0"/>
              <w:lang w:val="en-US"/>
              <w14:ligatures w14:val="none"/>
            </w:rPr>
            <m:t>=</m:t>
          </m:r>
          <m:f>
            <m:fPr>
              <m:ctrlPr>
                <w:rPr>
                  <w:rFonts w:ascii="Cambria Math" w:eastAsiaTheme="minorEastAsia" w:hAnsi="Cambria Math" w:cs="Arial"/>
                  <w:kern w:val="0"/>
                  <w:lang w:val="en-US"/>
                  <w14:ligatures w14:val="none"/>
                </w:rPr>
              </m:ctrlPr>
            </m:fPr>
            <m:num>
              <m:r>
                <m:rPr>
                  <m:nor/>
                </m:rPr>
                <w:rPr>
                  <w:rFonts w:ascii="Arial" w:eastAsiaTheme="minorEastAsia" w:hAnsi="Arial" w:cs="Arial"/>
                  <w:kern w:val="0"/>
                  <w:lang w:val="en-US"/>
                  <w14:ligatures w14:val="none"/>
                </w:rPr>
                <m:t>Initial Capital Investment</m:t>
              </m:r>
              <m:r>
                <m:rPr>
                  <m:sty m:val="p"/>
                </m:rPr>
                <w:rPr>
                  <w:rFonts w:ascii="Cambria Math" w:eastAsiaTheme="minorEastAsia" w:hAnsi="Cambria Math" w:cs="Arial"/>
                  <w:kern w:val="0"/>
                  <w:lang w:val="en-US"/>
                  <w14:ligatures w14:val="none"/>
                </w:rPr>
                <m:t>-</m:t>
              </m:r>
              <m:r>
                <m:rPr>
                  <m:nor/>
                </m:rPr>
                <w:rPr>
                  <w:rFonts w:ascii="Arial" w:eastAsiaTheme="minorEastAsia" w:hAnsi="Arial" w:cs="Arial"/>
                  <w:kern w:val="0"/>
                  <w:lang w:val="en-US"/>
                  <w14:ligatures w14:val="none"/>
                </w:rPr>
                <m:t>Residual Value</m:t>
              </m:r>
            </m:num>
            <m:den>
              <m:r>
                <m:rPr>
                  <m:nor/>
                </m:rPr>
                <w:rPr>
                  <w:rFonts w:ascii="Arial" w:eastAsiaTheme="minorEastAsia" w:hAnsi="Arial" w:cs="Arial"/>
                  <w:kern w:val="0"/>
                  <w:lang w:val="en-US"/>
                  <w14:ligatures w14:val="none"/>
                </w:rPr>
                <m:t>Asset Life</m:t>
              </m:r>
            </m:den>
          </m:f>
          <m:r>
            <m:rPr>
              <m:sty m:val="p"/>
            </m:rPr>
            <w:rPr>
              <w:rFonts w:ascii="Cambria Math" w:eastAsiaTheme="minorEastAsia" w:hAnsi="Cambria Math" w:cs="Arial"/>
              <w:kern w:val="0"/>
              <w:lang w:val="en-US"/>
              <w14:ligatures w14:val="none"/>
            </w:rPr>
            <m:t>=</m:t>
          </m:r>
          <m:f>
            <m:fPr>
              <m:ctrlPr>
                <w:rPr>
                  <w:rFonts w:ascii="Cambria Math" w:eastAsiaTheme="minorEastAsia" w:hAnsi="Cambria Math" w:cs="Arial"/>
                  <w:kern w:val="0"/>
                  <w:lang w:val="en-US"/>
                  <w14:ligatures w14:val="none"/>
                </w:rPr>
              </m:ctrlPr>
            </m:fPr>
            <m:num>
              <m:r>
                <m:rPr>
                  <m:sty m:val="p"/>
                </m:rPr>
                <w:rPr>
                  <w:rFonts w:ascii="Cambria Math" w:eastAsiaTheme="minorEastAsia" w:hAnsi="Cambria Math" w:cs="Arial"/>
                  <w:kern w:val="0"/>
                  <w:lang w:val="en-US"/>
                  <w14:ligatures w14:val="none"/>
                </w:rPr>
                <m:t>£50,000,000-0</m:t>
              </m:r>
            </m:num>
            <m:den>
              <m:r>
                <m:rPr>
                  <m:sty m:val="p"/>
                </m:rPr>
                <w:rPr>
                  <w:rFonts w:ascii="Cambria Math" w:eastAsiaTheme="minorEastAsia" w:hAnsi="Cambria Math" w:cs="Arial"/>
                  <w:kern w:val="0"/>
                  <w:lang w:val="en-US"/>
                  <w14:ligatures w14:val="none"/>
                </w:rPr>
                <m:t>5</m:t>
              </m:r>
            </m:den>
          </m:f>
          <m:r>
            <m:rPr>
              <m:sty m:val="p"/>
            </m:rPr>
            <w:rPr>
              <w:rFonts w:ascii="Cambria Math" w:eastAsiaTheme="minorEastAsia" w:hAnsi="Cambria Math" w:cs="Arial"/>
              <w:kern w:val="0"/>
              <w:lang w:val="en-US"/>
              <w14:ligatures w14:val="none"/>
            </w:rPr>
            <m:t xml:space="preserve"> =£10,000,000</m:t>
          </m:r>
          <m:r>
            <m:rPr>
              <m:nor/>
            </m:rPr>
            <w:rPr>
              <w:rFonts w:ascii="Arial" w:eastAsiaTheme="minorEastAsia" w:hAnsi="Arial" w:cs="Arial"/>
              <w:kern w:val="0"/>
              <w:lang w:val="en-US"/>
              <w14:ligatures w14:val="none"/>
            </w:rPr>
            <m:t> per year</m:t>
          </m:r>
        </m:oMath>
      </m:oMathPara>
    </w:p>
    <w:p w14:paraId="51549799" w14:textId="77777777" w:rsidR="00A7362D" w:rsidRPr="00611CB9" w:rsidRDefault="00A7362D" w:rsidP="00A7362D">
      <w:pPr>
        <w:spacing w:line="360" w:lineRule="auto"/>
        <w:ind w:right="206"/>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 xml:space="preserve">Average Capital Investment is calculated as - </w:t>
      </w:r>
    </w:p>
    <w:p w14:paraId="35489B61" w14:textId="77777777" w:rsidR="00A7362D" w:rsidRPr="00611CB9" w:rsidRDefault="00A7362D" w:rsidP="00A7362D">
      <w:pPr>
        <w:spacing w:line="360" w:lineRule="auto"/>
        <w:ind w:left="810" w:right="1196"/>
        <w:rPr>
          <w:rFonts w:ascii="Arial" w:eastAsiaTheme="minorEastAsia" w:hAnsi="Arial" w:cs="Arial"/>
          <w:kern w:val="0"/>
          <w:lang w:val="en-US"/>
          <w14:ligatures w14:val="none"/>
        </w:rPr>
      </w:pPr>
      <m:oMathPara>
        <m:oMath>
          <m:r>
            <m:rPr>
              <m:nor/>
            </m:rPr>
            <w:rPr>
              <w:rFonts w:ascii="Arial" w:eastAsiaTheme="minorEastAsia" w:hAnsi="Arial" w:cs="Arial"/>
              <w:kern w:val="0"/>
              <w:lang w:val="en-US"/>
              <w14:ligatures w14:val="none"/>
            </w:rPr>
            <m:t>Average Capital Investment</m:t>
          </m:r>
          <m:r>
            <m:rPr>
              <m:sty m:val="p"/>
            </m:rPr>
            <w:rPr>
              <w:rFonts w:ascii="Cambria Math" w:eastAsiaTheme="minorEastAsia" w:hAnsi="Cambria Math" w:cs="Arial"/>
              <w:kern w:val="0"/>
              <w:lang w:val="en-US"/>
              <w14:ligatures w14:val="none"/>
            </w:rPr>
            <m:t>=</m:t>
          </m:r>
          <m:f>
            <m:fPr>
              <m:ctrlPr>
                <w:rPr>
                  <w:rFonts w:ascii="Cambria Math" w:eastAsiaTheme="minorEastAsia" w:hAnsi="Cambria Math" w:cs="Arial"/>
                  <w:kern w:val="0"/>
                  <w:lang w:val="en-US"/>
                  <w14:ligatures w14:val="none"/>
                </w:rPr>
              </m:ctrlPr>
            </m:fPr>
            <m:num>
              <m:r>
                <m:rPr>
                  <m:nor/>
                </m:rPr>
                <w:rPr>
                  <w:rFonts w:ascii="Arial" w:eastAsiaTheme="minorEastAsia" w:hAnsi="Arial" w:cs="Arial"/>
                  <w:kern w:val="0"/>
                  <w:lang w:val="en-US"/>
                  <w14:ligatures w14:val="none"/>
                </w:rPr>
                <m:t>Initial Investment</m:t>
              </m:r>
              <m:r>
                <m:rPr>
                  <m:sty m:val="p"/>
                </m:rPr>
                <w:rPr>
                  <w:rFonts w:ascii="Cambria Math" w:eastAsiaTheme="minorEastAsia" w:hAnsi="Cambria Math" w:cs="Arial"/>
                  <w:kern w:val="0"/>
                  <w:lang w:val="en-US"/>
                  <w14:ligatures w14:val="none"/>
                </w:rPr>
                <m:t>+</m:t>
              </m:r>
              <m:r>
                <m:rPr>
                  <m:nor/>
                </m:rPr>
                <w:rPr>
                  <w:rFonts w:ascii="Arial" w:eastAsiaTheme="minorEastAsia" w:hAnsi="Arial" w:cs="Arial"/>
                  <w:kern w:val="0"/>
                  <w:lang w:val="en-US"/>
                  <w14:ligatures w14:val="none"/>
                </w:rPr>
                <m:t>Residual Value</m:t>
              </m:r>
            </m:num>
            <m:den>
              <m:r>
                <m:rPr>
                  <m:sty m:val="p"/>
                </m:rPr>
                <w:rPr>
                  <w:rFonts w:ascii="Cambria Math" w:eastAsiaTheme="minorEastAsia" w:hAnsi="Cambria Math" w:cs="Arial"/>
                  <w:kern w:val="0"/>
                  <w:lang w:val="en-US"/>
                  <w14:ligatures w14:val="none"/>
                </w:rPr>
                <m:t>2</m:t>
              </m:r>
            </m:den>
          </m:f>
          <m:r>
            <m:rPr>
              <m:sty m:val="p"/>
            </m:rPr>
            <w:rPr>
              <w:rFonts w:ascii="Cambria Math" w:eastAsiaTheme="minorEastAsia" w:hAnsi="Cambria Math" w:cs="Arial"/>
              <w:kern w:val="0"/>
              <w:lang w:val="en-US"/>
              <w14:ligatures w14:val="none"/>
            </w:rPr>
            <m:t>=</m:t>
          </m:r>
          <m:f>
            <m:fPr>
              <m:ctrlPr>
                <w:rPr>
                  <w:rFonts w:ascii="Cambria Math" w:eastAsiaTheme="minorEastAsia" w:hAnsi="Cambria Math" w:cs="Arial"/>
                  <w:kern w:val="0"/>
                  <w:lang w:val="en-US"/>
                  <w14:ligatures w14:val="none"/>
                </w:rPr>
              </m:ctrlPr>
            </m:fPr>
            <m:num>
              <m:r>
                <m:rPr>
                  <m:sty m:val="p"/>
                </m:rPr>
                <w:rPr>
                  <w:rFonts w:ascii="Cambria Math" w:eastAsiaTheme="minorEastAsia" w:hAnsi="Cambria Math" w:cs="Arial"/>
                  <w:kern w:val="0"/>
                  <w:lang w:val="en-US"/>
                  <w14:ligatures w14:val="none"/>
                </w:rPr>
                <m:t>£50,000,000+0</m:t>
              </m:r>
            </m:num>
            <m:den>
              <m:r>
                <m:rPr>
                  <m:sty m:val="p"/>
                </m:rPr>
                <w:rPr>
                  <w:rFonts w:ascii="Cambria Math" w:eastAsiaTheme="minorEastAsia" w:hAnsi="Cambria Math" w:cs="Arial"/>
                  <w:kern w:val="0"/>
                  <w:lang w:val="en-US"/>
                  <w14:ligatures w14:val="none"/>
                </w:rPr>
                <m:t>2</m:t>
              </m:r>
            </m:den>
          </m:f>
          <m:r>
            <m:rPr>
              <m:sty m:val="p"/>
            </m:rPr>
            <w:rPr>
              <w:rFonts w:ascii="Cambria Math" w:eastAsiaTheme="minorEastAsia" w:hAnsi="Cambria Math" w:cs="Arial"/>
              <w:kern w:val="0"/>
              <w:lang w:val="en-US"/>
              <w14:ligatures w14:val="none"/>
            </w:rPr>
            <m:t>=£25,000,000</m:t>
          </m:r>
        </m:oMath>
      </m:oMathPara>
    </w:p>
    <w:p w14:paraId="3D7DA710" w14:textId="77777777" w:rsidR="00A7362D" w:rsidRPr="00611CB9" w:rsidRDefault="00A7362D" w:rsidP="00A7362D">
      <w:pPr>
        <w:spacing w:line="360" w:lineRule="auto"/>
        <w:ind w:left="810" w:right="1196"/>
        <w:rPr>
          <w:rFonts w:ascii="Arial" w:eastAsiaTheme="minorEastAsia" w:hAnsi="Arial" w:cs="Arial"/>
        </w:rPr>
      </w:pPr>
    </w:p>
    <w:p w14:paraId="187EEDF3" w14:textId="286A423F" w:rsidR="00A7362D" w:rsidRPr="00611CB9" w:rsidRDefault="00A7362D" w:rsidP="00A7362D">
      <w:pPr>
        <w:pStyle w:val="Heading2"/>
        <w:rPr>
          <w:rFonts w:ascii="Arial" w:eastAsiaTheme="minorEastAsia" w:hAnsi="Arial" w:cs="Arial"/>
        </w:rPr>
      </w:pPr>
      <w:bookmarkStart w:id="19" w:name="_Toc235474583"/>
      <w:r w:rsidRPr="00611CB9">
        <w:rPr>
          <w:rFonts w:ascii="Arial" w:eastAsiaTheme="minorEastAsia" w:hAnsi="Arial" w:cs="Arial"/>
        </w:rPr>
        <w:t>4.2 Capital Project Inflow Model</w:t>
      </w:r>
      <w:bookmarkEnd w:id="19"/>
    </w:p>
    <w:p w14:paraId="587B54A6" w14:textId="7158235F" w:rsidR="00A7362D" w:rsidRDefault="00A7362D"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The expected performance forecasts for the three recommended capital investments are shown in the table below:</w:t>
      </w:r>
    </w:p>
    <w:p w14:paraId="5D51EAF2" w14:textId="08FCFEE0" w:rsidR="007A1E5C" w:rsidRPr="00611CB9" w:rsidRDefault="007A1E5C"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lastRenderedPageBreak/>
        <w:t>Table</w:t>
      </w:r>
      <w:r>
        <w:rPr>
          <w:rFonts w:ascii="Arial" w:eastAsiaTheme="minorEastAsia" w:hAnsi="Arial" w:cs="Arial"/>
          <w:kern w:val="0"/>
          <w:lang w:val="en-US"/>
          <w14:ligatures w14:val="none"/>
        </w:rPr>
        <w:t xml:space="preserve"> 3 </w:t>
      </w:r>
      <w:r w:rsidRPr="00611CB9">
        <w:rPr>
          <w:rFonts w:ascii="Arial" w:eastAsiaTheme="minorEastAsia" w:hAnsi="Arial" w:cs="Arial"/>
          <w:kern w:val="0"/>
          <w:lang w:val="en-US"/>
          <w14:ligatures w14:val="none"/>
        </w:rPr>
        <w:t>: Forecasted performance of all three projects</w:t>
      </w:r>
    </w:p>
    <w:tbl>
      <w:tblPr>
        <w:tblStyle w:val="TableGrid"/>
        <w:tblW w:w="0" w:type="auto"/>
        <w:tblLook w:val="04A0" w:firstRow="1" w:lastRow="0" w:firstColumn="1" w:lastColumn="0" w:noHBand="0" w:noVBand="1"/>
      </w:tblPr>
      <w:tblGrid>
        <w:gridCol w:w="2041"/>
        <w:gridCol w:w="2325"/>
        <w:gridCol w:w="2325"/>
        <w:gridCol w:w="2325"/>
      </w:tblGrid>
      <w:tr w:rsidR="00A7362D" w:rsidRPr="00611CB9" w14:paraId="5333A959" w14:textId="77777777" w:rsidTr="00D4245F">
        <w:tc>
          <w:tcPr>
            <w:tcW w:w="0" w:type="auto"/>
          </w:tcPr>
          <w:p w14:paraId="0E6B4830" w14:textId="77777777" w:rsidR="00A7362D" w:rsidRPr="00611CB9" w:rsidRDefault="00A7362D" w:rsidP="00A7362D">
            <w:pPr>
              <w:rPr>
                <w:rFonts w:ascii="Arial" w:eastAsiaTheme="minorEastAsia" w:hAnsi="Arial" w:cs="Arial"/>
                <w:b/>
                <w:kern w:val="0"/>
                <w:lang w:val="en-US"/>
                <w14:ligatures w14:val="none"/>
              </w:rPr>
            </w:pPr>
            <w:r w:rsidRPr="00611CB9">
              <w:rPr>
                <w:rFonts w:ascii="Arial" w:eastAsiaTheme="minorEastAsia" w:hAnsi="Arial" w:cs="Arial"/>
                <w:b/>
                <w:kern w:val="0"/>
                <w:lang w:val="en-US"/>
                <w14:ligatures w14:val="none"/>
              </w:rPr>
              <w:t>Timeline</w:t>
            </w:r>
          </w:p>
        </w:tc>
        <w:tc>
          <w:tcPr>
            <w:tcW w:w="0" w:type="auto"/>
          </w:tcPr>
          <w:p w14:paraId="44BD11C9" w14:textId="77777777" w:rsidR="00A7362D" w:rsidRPr="00611CB9" w:rsidRDefault="00A7362D" w:rsidP="00A7362D">
            <w:pPr>
              <w:rPr>
                <w:rFonts w:ascii="Arial" w:eastAsiaTheme="minorEastAsia" w:hAnsi="Arial" w:cs="Arial"/>
                <w:b/>
                <w:kern w:val="0"/>
                <w:lang w:val="en-US"/>
                <w14:ligatures w14:val="none"/>
              </w:rPr>
            </w:pPr>
            <w:r w:rsidRPr="00611CB9">
              <w:rPr>
                <w:rFonts w:ascii="Arial" w:eastAsiaTheme="minorEastAsia" w:hAnsi="Arial" w:cs="Arial"/>
                <w:b/>
                <w:kern w:val="0"/>
                <w:lang w:val="en-US"/>
                <w14:ligatures w14:val="none"/>
              </w:rPr>
              <w:t>Project A Cash Flow</w:t>
            </w:r>
          </w:p>
        </w:tc>
        <w:tc>
          <w:tcPr>
            <w:tcW w:w="0" w:type="auto"/>
          </w:tcPr>
          <w:p w14:paraId="24601647" w14:textId="77777777" w:rsidR="00A7362D" w:rsidRPr="00611CB9" w:rsidRDefault="00A7362D" w:rsidP="00A7362D">
            <w:pPr>
              <w:rPr>
                <w:rFonts w:ascii="Arial" w:eastAsiaTheme="minorEastAsia" w:hAnsi="Arial" w:cs="Arial"/>
                <w:b/>
                <w:kern w:val="0"/>
                <w:lang w:val="en-US"/>
                <w14:ligatures w14:val="none"/>
              </w:rPr>
            </w:pPr>
            <w:r w:rsidRPr="00611CB9">
              <w:rPr>
                <w:rFonts w:ascii="Arial" w:eastAsiaTheme="minorEastAsia" w:hAnsi="Arial" w:cs="Arial"/>
                <w:b/>
                <w:kern w:val="0"/>
                <w:lang w:val="en-US"/>
                <w14:ligatures w14:val="none"/>
              </w:rPr>
              <w:t>Project B Cash Flow</w:t>
            </w:r>
          </w:p>
        </w:tc>
        <w:tc>
          <w:tcPr>
            <w:tcW w:w="0" w:type="auto"/>
          </w:tcPr>
          <w:p w14:paraId="1543557F" w14:textId="77777777" w:rsidR="00A7362D" w:rsidRPr="00611CB9" w:rsidRDefault="00A7362D" w:rsidP="00A7362D">
            <w:pPr>
              <w:rPr>
                <w:rFonts w:ascii="Arial" w:eastAsiaTheme="minorEastAsia" w:hAnsi="Arial" w:cs="Arial"/>
                <w:b/>
                <w:kern w:val="0"/>
                <w:lang w:val="en-US"/>
                <w14:ligatures w14:val="none"/>
              </w:rPr>
            </w:pPr>
            <w:r w:rsidRPr="00611CB9">
              <w:rPr>
                <w:rFonts w:ascii="Arial" w:eastAsiaTheme="minorEastAsia" w:hAnsi="Arial" w:cs="Arial"/>
                <w:b/>
                <w:kern w:val="0"/>
                <w:lang w:val="en-US"/>
                <w14:ligatures w14:val="none"/>
              </w:rPr>
              <w:t>Project C Cash Flow</w:t>
            </w:r>
          </w:p>
        </w:tc>
      </w:tr>
      <w:tr w:rsidR="00A7362D" w:rsidRPr="00611CB9" w14:paraId="1D0C1657" w14:textId="77777777" w:rsidTr="00D4245F">
        <w:tc>
          <w:tcPr>
            <w:tcW w:w="0" w:type="auto"/>
          </w:tcPr>
          <w:p w14:paraId="7FF4AEB8" w14:textId="77777777" w:rsidR="00A7362D" w:rsidRPr="00611CB9" w:rsidRDefault="00A7362D" w:rsidP="00A7362D">
            <w:pPr>
              <w:rPr>
                <w:rFonts w:ascii="Arial" w:eastAsiaTheme="minorEastAsia" w:hAnsi="Arial" w:cs="Arial"/>
                <w:b/>
                <w:kern w:val="0"/>
                <w:lang w:val="en-US"/>
                <w14:ligatures w14:val="none"/>
              </w:rPr>
            </w:pPr>
            <w:r w:rsidRPr="00611CB9">
              <w:rPr>
                <w:rFonts w:ascii="Arial" w:eastAsiaTheme="minorEastAsia" w:hAnsi="Arial" w:cs="Arial"/>
                <w:b/>
                <w:kern w:val="0"/>
                <w:lang w:val="en-US"/>
                <w14:ligatures w14:val="none"/>
              </w:rPr>
              <w:t>Year 0</w:t>
            </w:r>
          </w:p>
        </w:tc>
        <w:tc>
          <w:tcPr>
            <w:tcW w:w="0" w:type="auto"/>
          </w:tcPr>
          <w:p w14:paraId="68DFBE8E" w14:textId="77777777" w:rsidR="00A7362D" w:rsidRPr="00611CB9" w:rsidRDefault="00A7362D"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(£50,000,000)</w:t>
            </w:r>
          </w:p>
        </w:tc>
        <w:tc>
          <w:tcPr>
            <w:tcW w:w="0" w:type="auto"/>
          </w:tcPr>
          <w:p w14:paraId="6A9E3536" w14:textId="77777777" w:rsidR="00A7362D" w:rsidRPr="00611CB9" w:rsidRDefault="00A7362D"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(£50,000,000)</w:t>
            </w:r>
          </w:p>
        </w:tc>
        <w:tc>
          <w:tcPr>
            <w:tcW w:w="0" w:type="auto"/>
          </w:tcPr>
          <w:p w14:paraId="526C3A79" w14:textId="77777777" w:rsidR="00A7362D" w:rsidRPr="00611CB9" w:rsidRDefault="00A7362D"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(£50,000,000)</w:t>
            </w:r>
          </w:p>
        </w:tc>
      </w:tr>
      <w:tr w:rsidR="00A7362D" w:rsidRPr="00611CB9" w14:paraId="74219FF5" w14:textId="77777777" w:rsidTr="00D4245F">
        <w:tc>
          <w:tcPr>
            <w:tcW w:w="0" w:type="auto"/>
          </w:tcPr>
          <w:p w14:paraId="73C1CE09" w14:textId="77777777" w:rsidR="00A7362D" w:rsidRPr="00611CB9" w:rsidRDefault="00A7362D" w:rsidP="00A7362D">
            <w:pPr>
              <w:rPr>
                <w:rFonts w:ascii="Arial" w:eastAsiaTheme="minorEastAsia" w:hAnsi="Arial" w:cs="Arial"/>
                <w:b/>
                <w:kern w:val="0"/>
                <w:lang w:val="en-US"/>
                <w14:ligatures w14:val="none"/>
              </w:rPr>
            </w:pPr>
            <w:r w:rsidRPr="00611CB9">
              <w:rPr>
                <w:rFonts w:ascii="Arial" w:eastAsiaTheme="minorEastAsia" w:hAnsi="Arial" w:cs="Arial"/>
                <w:b/>
                <w:kern w:val="0"/>
                <w:lang w:val="en-US"/>
                <w14:ligatures w14:val="none"/>
              </w:rPr>
              <w:t>Year 1</w:t>
            </w:r>
          </w:p>
        </w:tc>
        <w:tc>
          <w:tcPr>
            <w:tcW w:w="0" w:type="auto"/>
          </w:tcPr>
          <w:p w14:paraId="6D0A2594" w14:textId="77777777" w:rsidR="00A7362D" w:rsidRPr="00611CB9" w:rsidRDefault="00A7362D"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£10,000,000</w:t>
            </w:r>
          </w:p>
        </w:tc>
        <w:tc>
          <w:tcPr>
            <w:tcW w:w="0" w:type="auto"/>
          </w:tcPr>
          <w:p w14:paraId="395097C7" w14:textId="77777777" w:rsidR="00A7362D" w:rsidRPr="00611CB9" w:rsidRDefault="00A7362D"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£11,000,000</w:t>
            </w:r>
          </w:p>
        </w:tc>
        <w:tc>
          <w:tcPr>
            <w:tcW w:w="0" w:type="auto"/>
          </w:tcPr>
          <w:p w14:paraId="63DB6E41" w14:textId="77777777" w:rsidR="00A7362D" w:rsidRPr="00611CB9" w:rsidRDefault="00A7362D"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£5,000,000</w:t>
            </w:r>
          </w:p>
        </w:tc>
      </w:tr>
      <w:tr w:rsidR="00A7362D" w:rsidRPr="00611CB9" w14:paraId="7B1BF77C" w14:textId="77777777" w:rsidTr="00D4245F">
        <w:tc>
          <w:tcPr>
            <w:tcW w:w="0" w:type="auto"/>
          </w:tcPr>
          <w:p w14:paraId="49026CDE" w14:textId="77777777" w:rsidR="00A7362D" w:rsidRPr="00611CB9" w:rsidRDefault="00A7362D" w:rsidP="00A7362D">
            <w:pPr>
              <w:rPr>
                <w:rFonts w:ascii="Arial" w:eastAsiaTheme="minorEastAsia" w:hAnsi="Arial" w:cs="Arial"/>
                <w:b/>
                <w:kern w:val="0"/>
                <w:lang w:val="en-US"/>
                <w14:ligatures w14:val="none"/>
              </w:rPr>
            </w:pPr>
            <w:r w:rsidRPr="00611CB9">
              <w:rPr>
                <w:rFonts w:ascii="Arial" w:eastAsiaTheme="minorEastAsia" w:hAnsi="Arial" w:cs="Arial"/>
                <w:b/>
                <w:kern w:val="0"/>
                <w:lang w:val="en-US"/>
                <w14:ligatures w14:val="none"/>
              </w:rPr>
              <w:t>Year 2</w:t>
            </w:r>
          </w:p>
        </w:tc>
        <w:tc>
          <w:tcPr>
            <w:tcW w:w="0" w:type="auto"/>
          </w:tcPr>
          <w:p w14:paraId="7D176C04" w14:textId="77777777" w:rsidR="00A7362D" w:rsidRPr="00611CB9" w:rsidRDefault="00A7362D"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£12,000,000</w:t>
            </w:r>
          </w:p>
        </w:tc>
        <w:tc>
          <w:tcPr>
            <w:tcW w:w="0" w:type="auto"/>
          </w:tcPr>
          <w:p w14:paraId="0697E0D3" w14:textId="77777777" w:rsidR="00A7362D" w:rsidRPr="00611CB9" w:rsidRDefault="00A7362D"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£11,000,000</w:t>
            </w:r>
          </w:p>
        </w:tc>
        <w:tc>
          <w:tcPr>
            <w:tcW w:w="0" w:type="auto"/>
          </w:tcPr>
          <w:p w14:paraId="0B98AC70" w14:textId="77777777" w:rsidR="00A7362D" w:rsidRPr="00611CB9" w:rsidRDefault="00A7362D"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£10,000,000</w:t>
            </w:r>
          </w:p>
        </w:tc>
      </w:tr>
      <w:tr w:rsidR="00A7362D" w:rsidRPr="00611CB9" w14:paraId="1D05EBD3" w14:textId="77777777" w:rsidTr="00D4245F">
        <w:tc>
          <w:tcPr>
            <w:tcW w:w="0" w:type="auto"/>
          </w:tcPr>
          <w:p w14:paraId="7AF25617" w14:textId="77777777" w:rsidR="00A7362D" w:rsidRPr="00611CB9" w:rsidRDefault="00A7362D" w:rsidP="00A7362D">
            <w:pPr>
              <w:rPr>
                <w:rFonts w:ascii="Arial" w:eastAsiaTheme="minorEastAsia" w:hAnsi="Arial" w:cs="Arial"/>
                <w:b/>
                <w:kern w:val="0"/>
                <w:lang w:val="en-US"/>
                <w14:ligatures w14:val="none"/>
              </w:rPr>
            </w:pPr>
            <w:r w:rsidRPr="00611CB9">
              <w:rPr>
                <w:rFonts w:ascii="Arial" w:eastAsiaTheme="minorEastAsia" w:hAnsi="Arial" w:cs="Arial"/>
                <w:b/>
                <w:kern w:val="0"/>
                <w:lang w:val="en-US"/>
                <w14:ligatures w14:val="none"/>
              </w:rPr>
              <w:t>Year 3</w:t>
            </w:r>
          </w:p>
        </w:tc>
        <w:tc>
          <w:tcPr>
            <w:tcW w:w="0" w:type="auto"/>
          </w:tcPr>
          <w:p w14:paraId="3DDDAEE9" w14:textId="77777777" w:rsidR="00A7362D" w:rsidRPr="00611CB9" w:rsidRDefault="00A7362D"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£14,000,000</w:t>
            </w:r>
          </w:p>
        </w:tc>
        <w:tc>
          <w:tcPr>
            <w:tcW w:w="0" w:type="auto"/>
          </w:tcPr>
          <w:p w14:paraId="7C8BF28A" w14:textId="77777777" w:rsidR="00A7362D" w:rsidRPr="00611CB9" w:rsidRDefault="00A7362D"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£11,000,000</w:t>
            </w:r>
          </w:p>
        </w:tc>
        <w:tc>
          <w:tcPr>
            <w:tcW w:w="0" w:type="auto"/>
          </w:tcPr>
          <w:p w14:paraId="1FE4866E" w14:textId="77777777" w:rsidR="00A7362D" w:rsidRPr="00611CB9" w:rsidRDefault="00A7362D"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£20,000,000</w:t>
            </w:r>
          </w:p>
        </w:tc>
      </w:tr>
      <w:tr w:rsidR="00A7362D" w:rsidRPr="00611CB9" w14:paraId="493A63BB" w14:textId="77777777" w:rsidTr="00D4245F">
        <w:tc>
          <w:tcPr>
            <w:tcW w:w="0" w:type="auto"/>
          </w:tcPr>
          <w:p w14:paraId="0734CA88" w14:textId="77777777" w:rsidR="00A7362D" w:rsidRPr="00611CB9" w:rsidRDefault="00A7362D" w:rsidP="00A7362D">
            <w:pPr>
              <w:rPr>
                <w:rFonts w:ascii="Arial" w:eastAsiaTheme="minorEastAsia" w:hAnsi="Arial" w:cs="Arial"/>
                <w:b/>
                <w:kern w:val="0"/>
                <w:lang w:val="en-US"/>
                <w14:ligatures w14:val="none"/>
              </w:rPr>
            </w:pPr>
            <w:r w:rsidRPr="00611CB9">
              <w:rPr>
                <w:rFonts w:ascii="Arial" w:eastAsiaTheme="minorEastAsia" w:hAnsi="Arial" w:cs="Arial"/>
                <w:b/>
                <w:kern w:val="0"/>
                <w:lang w:val="en-US"/>
                <w14:ligatures w14:val="none"/>
              </w:rPr>
              <w:t>Year 4</w:t>
            </w:r>
          </w:p>
        </w:tc>
        <w:tc>
          <w:tcPr>
            <w:tcW w:w="0" w:type="auto"/>
          </w:tcPr>
          <w:p w14:paraId="0F4A84D2" w14:textId="77777777" w:rsidR="00A7362D" w:rsidRPr="00611CB9" w:rsidRDefault="00A7362D"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£10,000,000</w:t>
            </w:r>
          </w:p>
        </w:tc>
        <w:tc>
          <w:tcPr>
            <w:tcW w:w="0" w:type="auto"/>
          </w:tcPr>
          <w:p w14:paraId="38D635B8" w14:textId="77777777" w:rsidR="00A7362D" w:rsidRPr="00611CB9" w:rsidRDefault="00A7362D"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£11,000,000</w:t>
            </w:r>
          </w:p>
        </w:tc>
        <w:tc>
          <w:tcPr>
            <w:tcW w:w="0" w:type="auto"/>
          </w:tcPr>
          <w:p w14:paraId="0CD7ADFC" w14:textId="77777777" w:rsidR="00A7362D" w:rsidRPr="00611CB9" w:rsidRDefault="00A7362D"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£25,000,000</w:t>
            </w:r>
          </w:p>
        </w:tc>
      </w:tr>
      <w:tr w:rsidR="00A7362D" w:rsidRPr="00611CB9" w14:paraId="46420EE6" w14:textId="77777777" w:rsidTr="00D4245F">
        <w:tc>
          <w:tcPr>
            <w:tcW w:w="0" w:type="auto"/>
          </w:tcPr>
          <w:p w14:paraId="6010C5D6" w14:textId="77777777" w:rsidR="00A7362D" w:rsidRPr="00611CB9" w:rsidRDefault="00A7362D" w:rsidP="00A7362D">
            <w:pPr>
              <w:rPr>
                <w:rFonts w:ascii="Arial" w:eastAsiaTheme="minorEastAsia" w:hAnsi="Arial" w:cs="Arial"/>
                <w:b/>
                <w:kern w:val="0"/>
                <w:lang w:val="en-US"/>
                <w14:ligatures w14:val="none"/>
              </w:rPr>
            </w:pPr>
            <w:r w:rsidRPr="00611CB9">
              <w:rPr>
                <w:rFonts w:ascii="Arial" w:eastAsiaTheme="minorEastAsia" w:hAnsi="Arial" w:cs="Arial"/>
                <w:b/>
                <w:kern w:val="0"/>
                <w:lang w:val="en-US"/>
                <w14:ligatures w14:val="none"/>
              </w:rPr>
              <w:t>Year 5</w:t>
            </w:r>
          </w:p>
        </w:tc>
        <w:tc>
          <w:tcPr>
            <w:tcW w:w="0" w:type="auto"/>
          </w:tcPr>
          <w:p w14:paraId="7E8298D3" w14:textId="77777777" w:rsidR="00A7362D" w:rsidRPr="00611CB9" w:rsidRDefault="00A7362D"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£8,000,000</w:t>
            </w:r>
          </w:p>
        </w:tc>
        <w:tc>
          <w:tcPr>
            <w:tcW w:w="0" w:type="auto"/>
          </w:tcPr>
          <w:p w14:paraId="732DE10B" w14:textId="77777777" w:rsidR="00A7362D" w:rsidRPr="00611CB9" w:rsidRDefault="00A7362D"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£11,000,000</w:t>
            </w:r>
          </w:p>
        </w:tc>
        <w:tc>
          <w:tcPr>
            <w:tcW w:w="0" w:type="auto"/>
          </w:tcPr>
          <w:p w14:paraId="421F4FB8" w14:textId="77777777" w:rsidR="00A7362D" w:rsidRPr="00611CB9" w:rsidRDefault="00A7362D"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£5,000,000</w:t>
            </w:r>
          </w:p>
        </w:tc>
      </w:tr>
      <w:tr w:rsidR="00A7362D" w:rsidRPr="00611CB9" w14:paraId="0495ACDE" w14:textId="77777777" w:rsidTr="00D4245F">
        <w:tc>
          <w:tcPr>
            <w:tcW w:w="0" w:type="auto"/>
          </w:tcPr>
          <w:p w14:paraId="6F426B36" w14:textId="77777777" w:rsidR="00A7362D" w:rsidRPr="00611CB9" w:rsidRDefault="00A7362D" w:rsidP="00A7362D">
            <w:pPr>
              <w:rPr>
                <w:rFonts w:ascii="Arial" w:eastAsiaTheme="minorEastAsia" w:hAnsi="Arial" w:cs="Arial"/>
                <w:b/>
                <w:kern w:val="0"/>
                <w:lang w:val="en-US"/>
                <w14:ligatures w14:val="none"/>
              </w:rPr>
            </w:pPr>
            <w:r w:rsidRPr="00611CB9">
              <w:rPr>
                <w:rFonts w:ascii="Arial" w:eastAsiaTheme="minorEastAsia" w:hAnsi="Arial" w:cs="Arial"/>
                <w:b/>
                <w:kern w:val="0"/>
                <w:lang w:val="en-US"/>
                <w14:ligatures w14:val="none"/>
              </w:rPr>
              <w:t>Total Cash Inflows</w:t>
            </w:r>
          </w:p>
        </w:tc>
        <w:tc>
          <w:tcPr>
            <w:tcW w:w="0" w:type="auto"/>
          </w:tcPr>
          <w:p w14:paraId="6217F8C4" w14:textId="77777777" w:rsidR="00A7362D" w:rsidRPr="00611CB9" w:rsidRDefault="00A7362D" w:rsidP="00A7362D">
            <w:pPr>
              <w:rPr>
                <w:rFonts w:ascii="Arial" w:eastAsiaTheme="minorEastAsia" w:hAnsi="Arial" w:cs="Arial"/>
                <w:b/>
                <w:kern w:val="0"/>
                <w:lang w:val="en-US"/>
                <w14:ligatures w14:val="none"/>
              </w:rPr>
            </w:pPr>
            <w:r w:rsidRPr="00611CB9">
              <w:rPr>
                <w:rFonts w:ascii="Arial" w:eastAsiaTheme="minorEastAsia" w:hAnsi="Arial" w:cs="Arial"/>
                <w:b/>
                <w:kern w:val="0"/>
                <w:lang w:val="en-US"/>
                <w14:ligatures w14:val="none"/>
              </w:rPr>
              <w:t>£54,000,000</w:t>
            </w:r>
          </w:p>
        </w:tc>
        <w:tc>
          <w:tcPr>
            <w:tcW w:w="0" w:type="auto"/>
          </w:tcPr>
          <w:p w14:paraId="4CAF64AC" w14:textId="77777777" w:rsidR="00A7362D" w:rsidRPr="00611CB9" w:rsidRDefault="00A7362D" w:rsidP="00A7362D">
            <w:pPr>
              <w:rPr>
                <w:rFonts w:ascii="Arial" w:eastAsiaTheme="minorEastAsia" w:hAnsi="Arial" w:cs="Arial"/>
                <w:b/>
                <w:kern w:val="0"/>
                <w:lang w:val="en-US"/>
                <w14:ligatures w14:val="none"/>
              </w:rPr>
            </w:pPr>
            <w:r w:rsidRPr="00611CB9">
              <w:rPr>
                <w:rFonts w:ascii="Arial" w:eastAsiaTheme="minorEastAsia" w:hAnsi="Arial" w:cs="Arial"/>
                <w:b/>
                <w:kern w:val="0"/>
                <w:lang w:val="en-US"/>
                <w14:ligatures w14:val="none"/>
              </w:rPr>
              <w:t>£55,000,000</w:t>
            </w:r>
          </w:p>
        </w:tc>
        <w:tc>
          <w:tcPr>
            <w:tcW w:w="0" w:type="auto"/>
          </w:tcPr>
          <w:p w14:paraId="7FB602C8" w14:textId="77777777" w:rsidR="00A7362D" w:rsidRPr="00611CB9" w:rsidRDefault="00A7362D" w:rsidP="00A7362D">
            <w:pPr>
              <w:rPr>
                <w:rFonts w:ascii="Arial" w:eastAsiaTheme="minorEastAsia" w:hAnsi="Arial" w:cs="Arial"/>
                <w:b/>
                <w:kern w:val="0"/>
                <w:lang w:val="en-US"/>
                <w14:ligatures w14:val="none"/>
              </w:rPr>
            </w:pPr>
            <w:r w:rsidRPr="00611CB9">
              <w:rPr>
                <w:rFonts w:ascii="Arial" w:eastAsiaTheme="minorEastAsia" w:hAnsi="Arial" w:cs="Arial"/>
                <w:b/>
                <w:kern w:val="0"/>
                <w:lang w:val="en-US"/>
                <w14:ligatures w14:val="none"/>
              </w:rPr>
              <w:t>£65,000,000</w:t>
            </w:r>
          </w:p>
        </w:tc>
      </w:tr>
    </w:tbl>
    <w:p w14:paraId="3C90303A" w14:textId="6DF6B317" w:rsidR="00A7362D" w:rsidRPr="00611CB9" w:rsidRDefault="007A1E5C" w:rsidP="00A7362D">
      <w:p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 xml:space="preserve"> </w:t>
      </w:r>
    </w:p>
    <w:p w14:paraId="0296F3B8" w14:textId="662B9D06" w:rsidR="00A7362D" w:rsidRPr="00611CB9" w:rsidRDefault="00A7362D" w:rsidP="00A7362D">
      <w:pPr>
        <w:pStyle w:val="Heading2"/>
        <w:rPr>
          <w:rFonts w:ascii="Arial" w:hAnsi="Arial" w:cs="Arial"/>
        </w:rPr>
      </w:pPr>
      <w:bookmarkStart w:id="20" w:name="_Toc235474584"/>
      <w:r w:rsidRPr="00611CB9">
        <w:rPr>
          <w:rFonts w:ascii="Arial" w:hAnsi="Arial" w:cs="Arial"/>
        </w:rPr>
        <w:t>4.3 Detailed Project Evaluations</w:t>
      </w:r>
      <w:bookmarkEnd w:id="20"/>
    </w:p>
    <w:p w14:paraId="74109ABB" w14:textId="77777777" w:rsidR="00A7362D" w:rsidRPr="00611CB9" w:rsidRDefault="00A7362D" w:rsidP="00A7362D">
      <w:pPr>
        <w:pStyle w:val="Heading2"/>
        <w:rPr>
          <w:rFonts w:ascii="Arial" w:hAnsi="Arial" w:cs="Arial"/>
        </w:rPr>
      </w:pPr>
      <w:bookmarkStart w:id="21" w:name="_Toc235474585"/>
      <w:r w:rsidRPr="00611CB9">
        <w:rPr>
          <w:rFonts w:ascii="Arial" w:hAnsi="Arial" w:cs="Arial"/>
        </w:rPr>
        <w:t>1. Project A</w:t>
      </w:r>
      <w:bookmarkEnd w:id="21"/>
    </w:p>
    <w:p w14:paraId="3C0CDD51" w14:textId="77777777" w:rsidR="00A7362D" w:rsidRPr="00611CB9" w:rsidRDefault="00A7362D" w:rsidP="00A7362D">
      <w:pPr>
        <w:pStyle w:val="Heading2"/>
        <w:rPr>
          <w:rFonts w:ascii="Arial" w:hAnsi="Arial" w:cs="Arial"/>
        </w:rPr>
      </w:pPr>
      <w:bookmarkStart w:id="22" w:name="_Toc235474586"/>
      <w:r w:rsidRPr="00611CB9">
        <w:rPr>
          <w:rFonts w:ascii="Arial" w:hAnsi="Arial" w:cs="Arial"/>
        </w:rPr>
        <w:t>Project A has an unequal, front-loaded cash flow structure; it generates high inflows in later years before falling in Year 5.</w:t>
      </w:r>
      <w:bookmarkEnd w:id="22"/>
    </w:p>
    <w:p w14:paraId="54932DB0" w14:textId="77777777" w:rsidR="00A7362D" w:rsidRPr="00611CB9" w:rsidRDefault="00A7362D" w:rsidP="00A7362D">
      <w:pPr>
        <w:rPr>
          <w:rFonts w:ascii="Arial" w:eastAsiaTheme="minorEastAsia" w:hAnsi="Arial" w:cs="Arial"/>
          <w:kern w:val="0"/>
          <w:lang w:val="en-US"/>
          <w14:ligatures w14:val="none"/>
        </w:rPr>
      </w:pPr>
      <w:r w:rsidRPr="00611CB9">
        <w:rPr>
          <w:rFonts w:ascii="Arial" w:eastAsiaTheme="minorEastAsia" w:hAnsi="Arial" w:cs="Arial"/>
          <w:b/>
          <w:kern w:val="0"/>
          <w:lang w:val="en-US"/>
          <w14:ligatures w14:val="none"/>
        </w:rPr>
        <w:t>Payback Period (PBP):</w:t>
      </w:r>
      <w:r w:rsidRPr="00611CB9">
        <w:rPr>
          <w:rFonts w:ascii="Arial" w:eastAsiaTheme="minorEastAsia" w:hAnsi="Arial" w:cs="Arial"/>
          <w:kern w:val="0"/>
          <w:lang w:val="en-US"/>
          <w14:ligatures w14:val="none"/>
        </w:rPr>
        <w:t xml:space="preserve"> PBP is calculated as the specific duration of time required for net cash inflows to make up for the initial investment.</w:t>
      </w:r>
    </w:p>
    <w:p w14:paraId="2D4C9ACC" w14:textId="77777777" w:rsidR="00A7362D" w:rsidRPr="00611CB9" w:rsidRDefault="00A7362D" w:rsidP="00A7362D">
      <w:pPr>
        <w:pStyle w:val="ListParagraph"/>
        <w:numPr>
          <w:ilvl w:val="0"/>
          <w:numId w:val="5"/>
        </w:num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Year 1 Inflow: £10,000,000 (Cumulative: £10m)</w:t>
      </w:r>
    </w:p>
    <w:p w14:paraId="6EDB4020" w14:textId="77777777" w:rsidR="00A7362D" w:rsidRPr="00611CB9" w:rsidRDefault="00A7362D" w:rsidP="00A7362D">
      <w:pPr>
        <w:pStyle w:val="ListParagraph"/>
        <w:numPr>
          <w:ilvl w:val="0"/>
          <w:numId w:val="5"/>
        </w:num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Year 2 Inflow: £12,000,000 (Cumulative: £22m)</w:t>
      </w:r>
    </w:p>
    <w:p w14:paraId="6C37F86B" w14:textId="77777777" w:rsidR="00A7362D" w:rsidRPr="00611CB9" w:rsidRDefault="00A7362D" w:rsidP="00A7362D">
      <w:pPr>
        <w:pStyle w:val="ListParagraph"/>
        <w:numPr>
          <w:ilvl w:val="0"/>
          <w:numId w:val="5"/>
        </w:num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Year 3 Inflow: £14,000,000 (Cumulative: £36m)</w:t>
      </w:r>
    </w:p>
    <w:p w14:paraId="3A42172F" w14:textId="77777777" w:rsidR="00A7362D" w:rsidRPr="00611CB9" w:rsidRDefault="00A7362D" w:rsidP="00A7362D">
      <w:pPr>
        <w:pStyle w:val="ListParagraph"/>
        <w:numPr>
          <w:ilvl w:val="0"/>
          <w:numId w:val="5"/>
        </w:num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Year 4 Inflow: £10,000,000 (Cumulative: £46m)</w:t>
      </w:r>
    </w:p>
    <w:p w14:paraId="148038B9" w14:textId="77777777" w:rsidR="00A7362D" w:rsidRPr="00611CB9" w:rsidRDefault="00A7362D" w:rsidP="00A7362D">
      <w:pPr>
        <w:pStyle w:val="ListParagraph"/>
        <w:numPr>
          <w:ilvl w:val="0"/>
          <w:numId w:val="5"/>
        </w:num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Remaining cash needed at the end of Year 4: £50,000,000 - £46,000,000 = £4,000,000</w:t>
      </w:r>
    </w:p>
    <w:p w14:paraId="160CD219" w14:textId="77777777" w:rsidR="00A7362D" w:rsidRPr="00611CB9" w:rsidRDefault="00A7362D" w:rsidP="00A7362D">
      <w:pPr>
        <w:pStyle w:val="ListParagraph"/>
        <w:numPr>
          <w:ilvl w:val="0"/>
          <w:numId w:val="5"/>
        </w:num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 xml:space="preserve">Year 5 cash inflow: £8,000,000 </w:t>
      </w:r>
    </w:p>
    <w:p w14:paraId="04E4C81A" w14:textId="77777777" w:rsidR="00A7362D" w:rsidRPr="00611CB9" w:rsidRDefault="00000000" w:rsidP="00A7362D">
      <w:pPr>
        <w:pStyle w:val="ListParagraph"/>
        <w:spacing w:line="360" w:lineRule="auto"/>
        <w:rPr>
          <w:rFonts w:ascii="Arial" w:eastAsiaTheme="minorEastAsia" w:hAnsi="Arial" w:cs="Arial"/>
        </w:rPr>
      </w:pPr>
      <m:oMathPara>
        <m:oMath>
          <m:sSub>
            <m:sSubPr>
              <m:ctrlPr>
                <w:rPr>
                  <w:rFonts w:ascii="Cambria Math" w:hAnsi="Cambria Math" w:cs="Arial"/>
                </w:rPr>
              </m:ctrlPr>
            </m:sSubPr>
            <m:e>
              <m:r>
                <m:rPr>
                  <m:nor/>
                </m:rPr>
                <w:rPr>
                  <w:rFonts w:ascii="Arial" w:hAnsi="Arial" w:cs="Arial"/>
                </w:rPr>
                <m:t>PBP</m:t>
              </m:r>
            </m:e>
            <m:sub>
              <m:r>
                <w:rPr>
                  <w:rFonts w:ascii="Cambria Math" w:hAnsi="Cambria Math" w:cs="Arial"/>
                </w:rPr>
                <m:t>A</m:t>
              </m:r>
            </m:sub>
          </m:sSub>
          <m:r>
            <w:rPr>
              <w:rFonts w:ascii="Cambria Math" w:hAnsi="Cambria Math" w:cs="Arial"/>
            </w:rPr>
            <m:t>=4</m:t>
          </m:r>
          <m:r>
            <m:rPr>
              <m:nor/>
            </m:rPr>
            <w:rPr>
              <w:rFonts w:ascii="Arial" w:hAnsi="Arial" w:cs="Arial"/>
            </w:rPr>
            <m:t> Years</m:t>
          </m:r>
          <m:r>
            <w:rPr>
              <w:rFonts w:ascii="Cambria Math" w:hAnsi="Cambria Math" w:cs="Arial"/>
            </w:rPr>
            <m:t>+</m:t>
          </m:r>
          <m:d>
            <m:dPr>
              <m:ctrlPr>
                <w:rPr>
                  <w:rFonts w:ascii="Cambria Math" w:hAnsi="Cambria Math" w:cs="Arial"/>
                </w:rPr>
              </m:ctrlPr>
            </m:dPr>
            <m:e>
              <m:f>
                <m:fPr>
                  <m:ctrlPr>
                    <w:rPr>
                      <w:rFonts w:ascii="Cambria Math" w:hAnsi="Cambria Math" w:cs="Arial"/>
                    </w:rPr>
                  </m:ctrlPr>
                </m:fPr>
                <m:num>
                  <m:r>
                    <w:rPr>
                      <w:rFonts w:ascii="Cambria Math" w:hAnsi="Cambria Math" w:cs="Arial"/>
                    </w:rPr>
                    <m:t>£4</m:t>
                  </m:r>
                  <m:r>
                    <m:rPr>
                      <m:nor/>
                    </m:rPr>
                    <w:rPr>
                      <w:rFonts w:ascii="Arial" w:hAnsi="Arial" w:cs="Arial"/>
                    </w:rPr>
                    <m:t>m</m:t>
                  </m:r>
                </m:num>
                <m:den>
                  <m:r>
                    <w:rPr>
                      <w:rFonts w:ascii="Cambria Math" w:hAnsi="Cambria Math" w:cs="Arial"/>
                    </w:rPr>
                    <m:t>£8</m:t>
                  </m:r>
                  <m:r>
                    <m:rPr>
                      <m:nor/>
                    </m:rPr>
                    <w:rPr>
                      <w:rFonts w:ascii="Arial" w:hAnsi="Arial" w:cs="Arial"/>
                    </w:rPr>
                    <m:t>m</m:t>
                  </m:r>
                </m:den>
              </m:f>
            </m:e>
          </m:d>
          <m:r>
            <w:rPr>
              <w:rFonts w:ascii="Cambria Math" w:hAnsi="Cambria Math" w:cs="Arial"/>
            </w:rPr>
            <m:t>=</m:t>
          </m:r>
          <m:r>
            <m:rPr>
              <m:sty m:val="b"/>
            </m:rPr>
            <w:rPr>
              <w:rFonts w:ascii="Cambria Math" w:hAnsi="Cambria Math" w:cs="Arial"/>
            </w:rPr>
            <m:t>4.50</m:t>
          </m:r>
          <m:r>
            <m:rPr>
              <m:nor/>
            </m:rPr>
            <w:rPr>
              <w:rFonts w:ascii="Arial" w:hAnsi="Arial" w:cs="Arial"/>
            </w:rPr>
            <m:t> Years</m:t>
          </m:r>
        </m:oMath>
      </m:oMathPara>
    </w:p>
    <w:p w14:paraId="57DD37B4" w14:textId="77777777" w:rsidR="00A7362D" w:rsidRPr="00611CB9" w:rsidRDefault="00A7362D" w:rsidP="00A7362D">
      <w:pPr>
        <w:rPr>
          <w:rFonts w:ascii="Arial" w:eastAsiaTheme="minorEastAsia" w:hAnsi="Arial" w:cs="Arial"/>
          <w:kern w:val="0"/>
          <w:lang w:val="en-US"/>
          <w14:ligatures w14:val="none"/>
        </w:rPr>
      </w:pPr>
      <w:r w:rsidRPr="00611CB9">
        <w:rPr>
          <w:rFonts w:ascii="Arial" w:eastAsiaTheme="minorEastAsia" w:hAnsi="Arial" w:cs="Arial"/>
          <w:b/>
          <w:kern w:val="0"/>
          <w:lang w:val="en-US"/>
          <w14:ligatures w14:val="none"/>
        </w:rPr>
        <w:t>Accounting Rate of Return (ARR):</w:t>
      </w:r>
      <w:r w:rsidRPr="00611CB9">
        <w:rPr>
          <w:rFonts w:ascii="Arial" w:eastAsiaTheme="minorEastAsia" w:hAnsi="Arial" w:cs="Arial"/>
          <w:kern w:val="0"/>
          <w:lang w:val="en-US"/>
          <w14:ligatures w14:val="none"/>
        </w:rPr>
        <w:t xml:space="preserve"> ARR measures the profitability of a project by comparing annual accounting net profit to the asset’s average book value.</w:t>
      </w:r>
    </w:p>
    <w:p w14:paraId="5CAEDF50" w14:textId="77777777" w:rsidR="00A7362D" w:rsidRPr="00611CB9" w:rsidRDefault="00A7362D" w:rsidP="00A7362D">
      <w:pPr>
        <w:pStyle w:val="ListParagraph"/>
        <w:numPr>
          <w:ilvl w:val="0"/>
          <w:numId w:val="6"/>
        </w:num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Total 5-year Cash Inflow = 10+12+14+10+8 = £54,000,000</w:t>
      </w:r>
    </w:p>
    <w:p w14:paraId="3BB9E19F" w14:textId="77777777" w:rsidR="00A7362D" w:rsidRPr="00611CB9" w:rsidRDefault="00A7362D" w:rsidP="00A7362D">
      <w:pPr>
        <w:pStyle w:val="ListParagraph"/>
        <w:rPr>
          <w:rFonts w:ascii="Arial" w:eastAsiaTheme="minorEastAsia" w:hAnsi="Arial" w:cs="Arial"/>
          <w:kern w:val="0"/>
          <w:lang w:val="en-US"/>
          <w14:ligatures w14:val="none"/>
        </w:rPr>
      </w:pPr>
    </w:p>
    <w:p w14:paraId="65115744" w14:textId="77777777" w:rsidR="00A7362D" w:rsidRPr="00611CB9" w:rsidRDefault="00A7362D" w:rsidP="00A7362D">
      <w:pPr>
        <w:pStyle w:val="ListParagraph"/>
        <w:numPr>
          <w:ilvl w:val="0"/>
          <w:numId w:val="6"/>
        </w:num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Total 5-year Net Profit = Total Cash Inflow  -  Total Depreciation = 54 – 50 = £4,000,000</w:t>
      </w:r>
    </w:p>
    <w:p w14:paraId="654DC8FB" w14:textId="77777777" w:rsidR="00A7362D" w:rsidRPr="00611CB9" w:rsidRDefault="00A7362D" w:rsidP="00A7362D">
      <w:pPr>
        <w:rPr>
          <w:rFonts w:ascii="Arial" w:eastAsiaTheme="minorEastAsia" w:hAnsi="Arial" w:cs="Arial"/>
          <w:kern w:val="0"/>
          <w:lang w:val="en-US"/>
          <w14:ligatures w14:val="none"/>
        </w:rPr>
      </w:pPr>
    </w:p>
    <w:p w14:paraId="742439FE" w14:textId="25F055A5" w:rsidR="00A7362D" w:rsidRPr="00611CB9" w:rsidRDefault="00A7362D" w:rsidP="00A7362D">
      <w:pPr>
        <w:pStyle w:val="ListParagraph"/>
        <w:numPr>
          <w:ilvl w:val="0"/>
          <w:numId w:val="6"/>
        </w:num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 xml:space="preserve">Average Annual Net Profit = </w:t>
      </w:r>
      <m:oMath>
        <m:f>
          <m:fPr>
            <m:ctrlPr>
              <w:rPr>
                <w:rFonts w:ascii="Cambria Math" w:eastAsiaTheme="minorEastAsia" w:hAnsi="Cambria Math" w:cs="Arial"/>
                <w:kern w:val="0"/>
                <w:lang w:val="en-US"/>
                <w14:ligatures w14:val="none"/>
              </w:rPr>
            </m:ctrlPr>
          </m:fPr>
          <m:num>
            <m:r>
              <m:rPr>
                <m:sty m:val="p"/>
              </m:rPr>
              <w:rPr>
                <w:rFonts w:ascii="Cambria Math" w:eastAsiaTheme="minorEastAsia" w:hAnsi="Cambria Math" w:cs="Arial"/>
                <w:kern w:val="0"/>
                <w:lang w:val="en-US"/>
                <w14:ligatures w14:val="none"/>
              </w:rPr>
              <m:t>£4,000,000</m:t>
            </m:r>
          </m:num>
          <m:den>
            <m:r>
              <m:rPr>
                <m:sty m:val="p"/>
              </m:rPr>
              <w:rPr>
                <w:rFonts w:ascii="Cambria Math" w:eastAsiaTheme="minorEastAsia" w:hAnsi="Cambria Math" w:cs="Arial"/>
                <w:kern w:val="0"/>
                <w:lang w:val="en-US"/>
                <w14:ligatures w14:val="none"/>
              </w:rPr>
              <m:t>5</m:t>
            </m:r>
          </m:den>
        </m:f>
        <m:r>
          <m:rPr>
            <m:sty m:val="p"/>
          </m:rPr>
          <w:rPr>
            <w:rFonts w:ascii="Cambria Math" w:eastAsiaTheme="minorEastAsia" w:hAnsi="Cambria Math" w:cs="Arial"/>
            <w:kern w:val="0"/>
            <w:lang w:val="en-US"/>
            <w14:ligatures w14:val="none"/>
          </w:rPr>
          <m:t>=£8,00,000</m:t>
        </m:r>
      </m:oMath>
    </w:p>
    <w:p w14:paraId="2CD1CC4C" w14:textId="77777777" w:rsidR="00A7362D" w:rsidRPr="00611CB9" w:rsidRDefault="00A7362D" w:rsidP="00A7362D">
      <w:pPr>
        <w:pStyle w:val="ListParagraph"/>
        <w:rPr>
          <w:rFonts w:ascii="Arial" w:eastAsiaTheme="minorEastAsia" w:hAnsi="Arial" w:cs="Arial"/>
          <w:kern w:val="0"/>
          <w:lang w:val="en-US"/>
          <w14:ligatures w14:val="none"/>
        </w:rPr>
      </w:pPr>
    </w:p>
    <w:p w14:paraId="07973F61" w14:textId="77777777" w:rsidR="00A7362D" w:rsidRPr="00611CB9" w:rsidRDefault="00A7362D" w:rsidP="00A7362D">
      <w:pPr>
        <w:pStyle w:val="ListParagraph"/>
        <w:numPr>
          <w:ilvl w:val="0"/>
          <w:numId w:val="6"/>
        </w:numPr>
        <w:ind w:right="-694"/>
        <w:rPr>
          <w:rFonts w:ascii="Arial" w:eastAsiaTheme="minorEastAsia" w:hAnsi="Arial" w:cs="Arial"/>
          <w:kern w:val="0"/>
          <w:lang w:val="en-US"/>
          <w14:ligatures w14:val="none"/>
        </w:rPr>
      </w:pPr>
      <m:oMath>
        <m:r>
          <m:rPr>
            <m:nor/>
          </m:rPr>
          <w:rPr>
            <w:rFonts w:ascii="Arial" w:eastAsiaTheme="minorEastAsia" w:hAnsi="Arial" w:cs="Arial"/>
            <w:kern w:val="0"/>
            <w:lang w:val="en-US"/>
            <w14:ligatures w14:val="none"/>
          </w:rPr>
          <m:t>Average Investment  </m:t>
        </m:r>
        <m:r>
          <m:rPr>
            <m:sty m:val="p"/>
          </m:rPr>
          <w:rPr>
            <w:rFonts w:ascii="Cambria Math" w:eastAsiaTheme="minorEastAsia" w:hAnsi="Cambria Math" w:cs="Arial"/>
            <w:kern w:val="0"/>
            <w:lang w:val="en-US"/>
            <w14:ligatures w14:val="none"/>
          </w:rPr>
          <m:t>=</m:t>
        </m:r>
        <m:f>
          <m:fPr>
            <m:ctrlPr>
              <w:rPr>
                <w:rFonts w:ascii="Cambria Math" w:eastAsiaTheme="minorEastAsia" w:hAnsi="Cambria Math" w:cs="Arial"/>
                <w:kern w:val="0"/>
                <w:lang w:val="en-US"/>
                <w14:ligatures w14:val="none"/>
              </w:rPr>
            </m:ctrlPr>
          </m:fPr>
          <m:num>
            <m:r>
              <m:rPr>
                <m:nor/>
              </m:rPr>
              <w:rPr>
                <w:rFonts w:ascii="Arial" w:eastAsiaTheme="minorEastAsia" w:hAnsi="Arial" w:cs="Arial"/>
                <w:kern w:val="0"/>
                <w:lang w:val="en-US"/>
                <w14:ligatures w14:val="none"/>
              </w:rPr>
              <m:t>Initial Book Value</m:t>
            </m:r>
            <m:r>
              <m:rPr>
                <m:sty m:val="p"/>
              </m:rPr>
              <w:rPr>
                <w:rFonts w:ascii="Cambria Math" w:eastAsiaTheme="minorEastAsia" w:hAnsi="Cambria Math" w:cs="Arial"/>
                <w:kern w:val="0"/>
                <w:lang w:val="en-US"/>
                <w14:ligatures w14:val="none"/>
              </w:rPr>
              <m:t xml:space="preserve">+Ending </m:t>
            </m:r>
            <m:r>
              <m:rPr>
                <m:nor/>
              </m:rPr>
              <w:rPr>
                <w:rFonts w:ascii="Arial" w:eastAsiaTheme="minorEastAsia" w:hAnsi="Arial" w:cs="Arial"/>
                <w:kern w:val="0"/>
                <w:lang w:val="en-US"/>
                <w14:ligatures w14:val="none"/>
              </w:rPr>
              <m:t>Residual Value</m:t>
            </m:r>
          </m:num>
          <m:den>
            <m:r>
              <m:rPr>
                <m:nor/>
              </m:rPr>
              <w:rPr>
                <w:rFonts w:ascii="Arial" w:eastAsiaTheme="minorEastAsia" w:hAnsi="Arial" w:cs="Arial"/>
                <w:kern w:val="0"/>
                <w:lang w:val="en-US"/>
                <w14:ligatures w14:val="none"/>
              </w:rPr>
              <m:t>2</m:t>
            </m:r>
          </m:den>
        </m:f>
        <m:r>
          <m:rPr>
            <m:sty m:val="p"/>
          </m:rPr>
          <w:rPr>
            <w:rFonts w:ascii="Cambria Math" w:eastAsiaTheme="minorEastAsia" w:hAnsi="Cambria Math" w:cs="Arial"/>
            <w:kern w:val="0"/>
            <w:lang w:val="en-US"/>
            <w14:ligatures w14:val="none"/>
          </w:rPr>
          <m:t>=</m:t>
        </m:r>
        <m:f>
          <m:fPr>
            <m:ctrlPr>
              <w:rPr>
                <w:rFonts w:ascii="Cambria Math" w:eastAsiaTheme="minorEastAsia" w:hAnsi="Cambria Math" w:cs="Arial"/>
                <w:kern w:val="0"/>
                <w:lang w:val="en-US"/>
                <w14:ligatures w14:val="none"/>
              </w:rPr>
            </m:ctrlPr>
          </m:fPr>
          <m:num>
            <m:r>
              <m:rPr>
                <m:sty m:val="p"/>
              </m:rPr>
              <w:rPr>
                <w:rFonts w:ascii="Cambria Math" w:eastAsiaTheme="minorEastAsia" w:hAnsi="Cambria Math" w:cs="Arial"/>
                <w:kern w:val="0"/>
                <w:lang w:val="en-US"/>
                <w14:ligatures w14:val="none"/>
              </w:rPr>
              <m:t>£50,000,000+0</m:t>
            </m:r>
          </m:num>
          <m:den>
            <m:r>
              <m:rPr>
                <m:sty m:val="p"/>
              </m:rPr>
              <w:rPr>
                <w:rFonts w:ascii="Cambria Math" w:eastAsiaTheme="minorEastAsia" w:hAnsi="Cambria Math" w:cs="Arial"/>
                <w:kern w:val="0"/>
                <w:lang w:val="en-US"/>
                <w14:ligatures w14:val="none"/>
              </w:rPr>
              <m:t>2</m:t>
            </m:r>
          </m:den>
        </m:f>
        <m:r>
          <w:rPr>
            <w:rFonts w:ascii="Cambria Math" w:eastAsiaTheme="minorEastAsia" w:hAnsi="Cambria Math" w:cs="Arial"/>
            <w:kern w:val="0"/>
            <w:lang w:val="en-US"/>
            <w14:ligatures w14:val="none"/>
          </w:rPr>
          <m:t>=</m:t>
        </m:r>
        <m:r>
          <m:rPr>
            <m:sty m:val="p"/>
          </m:rPr>
          <w:rPr>
            <w:rFonts w:ascii="Cambria Math" w:eastAsiaTheme="minorEastAsia" w:hAnsi="Cambria Math" w:cs="Arial"/>
            <w:kern w:val="0"/>
            <w:lang w:val="en-US"/>
            <w14:ligatures w14:val="none"/>
          </w:rPr>
          <m:t>£25,000,000</m:t>
        </m:r>
      </m:oMath>
    </w:p>
    <w:p w14:paraId="50670F74" w14:textId="77777777" w:rsidR="00A7362D" w:rsidRPr="00611CB9" w:rsidRDefault="00A7362D" w:rsidP="00A7362D">
      <w:pPr>
        <w:pStyle w:val="ListParagraph"/>
        <w:rPr>
          <w:rFonts w:ascii="Arial" w:eastAsiaTheme="minorEastAsia" w:hAnsi="Arial" w:cs="Arial"/>
          <w:kern w:val="0"/>
          <w:lang w:val="en-US"/>
          <w14:ligatures w14:val="none"/>
        </w:rPr>
      </w:pPr>
    </w:p>
    <w:p w14:paraId="1CC8BD38" w14:textId="77777777" w:rsidR="00A7362D" w:rsidRPr="00611CB9" w:rsidRDefault="00A7362D" w:rsidP="00A7362D">
      <w:pPr>
        <w:pStyle w:val="ListParagraph"/>
        <w:ind w:right="-694"/>
        <w:rPr>
          <w:rFonts w:ascii="Arial" w:eastAsiaTheme="minorEastAsia" w:hAnsi="Arial" w:cs="Arial"/>
          <w:kern w:val="0"/>
          <w:lang w:val="en-US"/>
          <w14:ligatures w14:val="none"/>
        </w:rPr>
      </w:pPr>
    </w:p>
    <w:p w14:paraId="5C0FCC48" w14:textId="77777777" w:rsidR="00A7362D" w:rsidRPr="00611CB9" w:rsidRDefault="00000000" w:rsidP="00A7362D">
      <w:pPr>
        <w:pStyle w:val="ListParagraph"/>
        <w:numPr>
          <w:ilvl w:val="0"/>
          <w:numId w:val="6"/>
        </w:numPr>
        <w:spacing w:line="360" w:lineRule="auto"/>
        <w:rPr>
          <w:rFonts w:ascii="Arial" w:eastAsiaTheme="minorEastAsia" w:hAnsi="Arial" w:cs="Arial"/>
        </w:rPr>
      </w:pPr>
      <m:oMath>
        <m:sSub>
          <m:sSubPr>
            <m:ctrlPr>
              <w:rPr>
                <w:rFonts w:ascii="Cambria Math" w:eastAsiaTheme="minorEastAsia" w:hAnsi="Cambria Math" w:cs="Arial"/>
              </w:rPr>
            </m:ctrlPr>
          </m:sSubPr>
          <m:e>
            <m:r>
              <m:rPr>
                <m:nor/>
              </m:rPr>
              <w:rPr>
                <w:rFonts w:ascii="Arial" w:eastAsiaTheme="minorEastAsia" w:hAnsi="Arial" w:cs="Arial"/>
              </w:rPr>
              <m:t>ARR</m:t>
            </m:r>
          </m:e>
          <m:sub>
            <m:r>
              <w:rPr>
                <w:rFonts w:ascii="Cambria Math" w:eastAsiaTheme="minorEastAsia" w:hAnsi="Cambria Math" w:cs="Arial"/>
              </w:rPr>
              <m:t>A</m:t>
            </m:r>
          </m:sub>
        </m:sSub>
        <m:r>
          <w:rPr>
            <w:rFonts w:ascii="Cambria Math" w:eastAsiaTheme="minorEastAsia" w:hAnsi="Cambria Math" w:cs="Arial"/>
          </w:rPr>
          <m:t>=</m:t>
        </m:r>
        <m:d>
          <m:dPr>
            <m:ctrlPr>
              <w:rPr>
                <w:rFonts w:ascii="Cambria Math" w:eastAsiaTheme="minorEastAsia" w:hAnsi="Cambria Math" w:cs="Arial"/>
              </w:rPr>
            </m:ctrlPr>
          </m:dPr>
          <m:e>
            <m:f>
              <m:fPr>
                <m:ctrlPr>
                  <w:rPr>
                    <w:rFonts w:ascii="Cambria Math" w:eastAsiaTheme="minorEastAsia" w:hAnsi="Cambria Math" w:cs="Arial"/>
                    <w:kern w:val="0"/>
                    <w:lang w:val="en-US"/>
                    <w14:ligatures w14:val="none"/>
                  </w:rPr>
                </m:ctrlPr>
              </m:fPr>
              <m:num>
                <m:r>
                  <m:rPr>
                    <m:nor/>
                  </m:rPr>
                  <w:rPr>
                    <w:rFonts w:ascii="Arial" w:eastAsiaTheme="minorEastAsia" w:hAnsi="Arial" w:cs="Arial"/>
                    <w:kern w:val="0"/>
                    <w:lang w:val="en-US"/>
                    <w14:ligatures w14:val="none"/>
                  </w:rPr>
                  <m:t>Average Annual Net Profit</m:t>
                </m:r>
              </m:num>
              <m:den>
                <m:r>
                  <m:rPr>
                    <m:nor/>
                  </m:rPr>
                  <w:rPr>
                    <w:rFonts w:ascii="Arial" w:eastAsiaTheme="minorEastAsia" w:hAnsi="Arial" w:cs="Arial"/>
                    <w:kern w:val="0"/>
                    <w:lang w:val="en-US"/>
                    <w14:ligatures w14:val="none"/>
                  </w:rPr>
                  <m:t>Average Investment</m:t>
                </m:r>
                <m:r>
                  <w:rPr>
                    <w:rFonts w:ascii="Cambria Math" w:eastAsiaTheme="minorEastAsia" w:hAnsi="Cambria Math" w:cs="Arial"/>
                    <w:kern w:val="0"/>
                    <w:lang w:val="en-US"/>
                    <w14:ligatures w14:val="none"/>
                  </w:rPr>
                  <m:t xml:space="preserve"> </m:t>
                </m:r>
              </m:den>
            </m:f>
          </m:e>
        </m:d>
        <m:r>
          <w:rPr>
            <w:rFonts w:ascii="Cambria Math" w:eastAsiaTheme="minorEastAsia" w:hAnsi="Cambria Math" w:cs="Arial"/>
          </w:rPr>
          <m:t>=</m:t>
        </m:r>
        <m:d>
          <m:dPr>
            <m:ctrlPr>
              <w:rPr>
                <w:rFonts w:ascii="Cambria Math" w:eastAsiaTheme="minorEastAsia" w:hAnsi="Cambria Math" w:cs="Arial"/>
              </w:rPr>
            </m:ctrlPr>
          </m:dPr>
          <m:e>
            <m:f>
              <m:fPr>
                <m:ctrlPr>
                  <w:rPr>
                    <w:rFonts w:ascii="Cambria Math" w:eastAsiaTheme="minorEastAsia" w:hAnsi="Cambria Math" w:cs="Arial"/>
                  </w:rPr>
                </m:ctrlPr>
              </m:fPr>
              <m:num>
                <m:r>
                  <w:rPr>
                    <w:rFonts w:ascii="Cambria Math" w:eastAsiaTheme="minorEastAsia" w:hAnsi="Cambria Math" w:cs="Arial"/>
                  </w:rPr>
                  <m:t>£8,000,000</m:t>
                </m:r>
              </m:num>
              <m:den>
                <m:r>
                  <w:rPr>
                    <w:rFonts w:ascii="Cambria Math" w:eastAsiaTheme="minorEastAsia" w:hAnsi="Cambria Math" w:cs="Arial"/>
                  </w:rPr>
                  <m:t>£25,000,000</m:t>
                </m:r>
              </m:den>
            </m:f>
          </m:e>
        </m:d>
        <m:r>
          <w:rPr>
            <w:rFonts w:ascii="Cambria Math" w:eastAsiaTheme="minorEastAsia" w:hAnsi="Cambria Math" w:cs="Arial"/>
          </w:rPr>
          <m:t>×100=</m:t>
        </m:r>
        <m:r>
          <m:rPr>
            <m:sty m:val="b"/>
          </m:rPr>
          <w:rPr>
            <w:rFonts w:ascii="Cambria Math" w:eastAsiaTheme="minorEastAsia" w:hAnsi="Cambria Math" w:cs="Arial"/>
          </w:rPr>
          <m:t>3.20%</m:t>
        </m:r>
      </m:oMath>
    </w:p>
    <w:p w14:paraId="651CD62C" w14:textId="77777777" w:rsidR="00A7362D" w:rsidRPr="00611CB9" w:rsidRDefault="00A7362D" w:rsidP="00A7362D">
      <w:pPr>
        <w:pStyle w:val="ListParagraph"/>
        <w:spacing w:line="360" w:lineRule="auto"/>
        <w:ind w:left="0"/>
        <w:rPr>
          <w:rFonts w:ascii="Arial" w:eastAsiaTheme="minorEastAsia" w:hAnsi="Arial" w:cs="Arial"/>
        </w:rPr>
      </w:pPr>
    </w:p>
    <w:p w14:paraId="1E514508" w14:textId="77777777" w:rsidR="00A7362D" w:rsidRPr="00611CB9" w:rsidRDefault="00A7362D" w:rsidP="00A7362D">
      <w:pPr>
        <w:pStyle w:val="ListParagraph"/>
        <w:spacing w:line="360" w:lineRule="auto"/>
        <w:ind w:left="0"/>
        <w:rPr>
          <w:rFonts w:ascii="Arial" w:eastAsiaTheme="minorEastAsia" w:hAnsi="Arial" w:cs="Arial"/>
        </w:rPr>
      </w:pPr>
      <w:r w:rsidRPr="00611CB9">
        <w:rPr>
          <w:rFonts w:ascii="Arial" w:eastAsiaTheme="minorEastAsia" w:hAnsi="Arial" w:cs="Arial"/>
          <w:b/>
        </w:rPr>
        <w:t>Net Present Value (NPV):</w:t>
      </w:r>
      <w:r w:rsidRPr="00611CB9">
        <w:rPr>
          <w:rFonts w:ascii="Arial" w:eastAsiaTheme="minorEastAsia" w:hAnsi="Arial" w:cs="Arial"/>
        </w:rPr>
        <w:t xml:space="preserve"> NPV calculates the</w:t>
      </w:r>
      <w:r w:rsidRPr="00611CB9">
        <w:rPr>
          <w:rFonts w:ascii="Arial" w:eastAsiaTheme="minorEastAsia" w:hAnsi="Arial" w:cs="Arial"/>
          <w:u w:val="single"/>
        </w:rPr>
        <w:t xml:space="preserve"> </w:t>
      </w:r>
      <w:r w:rsidRPr="00611CB9">
        <w:rPr>
          <w:rFonts w:ascii="Arial" w:eastAsiaTheme="minorEastAsia" w:hAnsi="Arial" w:cs="Arial"/>
        </w:rPr>
        <w:t>creation of business value by using the 8% hurdle rate to discount projected future net cash inflows to present value terms by removing the initial investment.</w:t>
      </w:r>
    </w:p>
    <w:p w14:paraId="2ED1FEBA" w14:textId="77777777" w:rsidR="00A7362D" w:rsidRPr="00611CB9" w:rsidRDefault="00A7362D" w:rsidP="00A7362D">
      <w:pPr>
        <w:pStyle w:val="ListParagraph"/>
        <w:numPr>
          <w:ilvl w:val="0"/>
          <w:numId w:val="3"/>
        </w:numPr>
        <w:tabs>
          <w:tab w:val="num" w:pos="720"/>
        </w:tabs>
        <w:spacing w:line="360" w:lineRule="auto"/>
        <w:rPr>
          <w:rFonts w:ascii="Arial" w:eastAsiaTheme="minorEastAsia" w:hAnsi="Arial" w:cs="Arial"/>
        </w:rPr>
      </w:pPr>
      <w:r w:rsidRPr="00611CB9">
        <w:rPr>
          <w:rFonts w:ascii="Arial" w:eastAsiaTheme="minorEastAsia" w:hAnsi="Arial" w:cs="Arial"/>
        </w:rPr>
        <w:t xml:space="preserve">Year 1 PV: </w:t>
      </w:r>
      <m:oMath>
        <m:r>
          <m:rPr>
            <m:sty m:val="p"/>
          </m:rPr>
          <w:rPr>
            <w:rFonts w:ascii="Cambria Math" w:eastAsiaTheme="minorEastAsia" w:hAnsi="Cambria Math" w:cs="Arial"/>
          </w:rPr>
          <m:t>£10.00</m:t>
        </m:r>
        <m:r>
          <m:rPr>
            <m:nor/>
          </m:rPr>
          <w:rPr>
            <w:rFonts w:ascii="Arial" w:eastAsiaTheme="minorEastAsia" w:hAnsi="Arial" w:cs="Arial"/>
          </w:rPr>
          <m:t>m</m:t>
        </m:r>
        <m:r>
          <m:rPr>
            <m:sty m:val="p"/>
          </m:rPr>
          <w:rPr>
            <w:rFonts w:ascii="Cambria Math" w:eastAsiaTheme="minorEastAsia" w:hAnsi="Cambria Math" w:cs="Arial"/>
          </w:rPr>
          <m:t>×0.9259=£9.259</m:t>
        </m:r>
        <m:r>
          <m:rPr>
            <m:nor/>
          </m:rPr>
          <w:rPr>
            <w:rFonts w:ascii="Arial" w:eastAsiaTheme="minorEastAsia" w:hAnsi="Arial" w:cs="Arial"/>
          </w:rPr>
          <m:t>m</m:t>
        </m:r>
      </m:oMath>
    </w:p>
    <w:p w14:paraId="4925EF99" w14:textId="77777777" w:rsidR="00A7362D" w:rsidRPr="00611CB9" w:rsidRDefault="00A7362D" w:rsidP="00A7362D">
      <w:pPr>
        <w:pStyle w:val="ListParagraph"/>
        <w:numPr>
          <w:ilvl w:val="0"/>
          <w:numId w:val="3"/>
        </w:numPr>
        <w:tabs>
          <w:tab w:val="num" w:pos="720"/>
        </w:tabs>
        <w:spacing w:line="360" w:lineRule="auto"/>
        <w:rPr>
          <w:rFonts w:ascii="Arial" w:eastAsiaTheme="minorEastAsia" w:hAnsi="Arial" w:cs="Arial"/>
        </w:rPr>
      </w:pPr>
      <w:r w:rsidRPr="00611CB9">
        <w:rPr>
          <w:rFonts w:ascii="Arial" w:eastAsiaTheme="minorEastAsia" w:hAnsi="Arial" w:cs="Arial"/>
        </w:rPr>
        <w:t xml:space="preserve">Year 2 PV: </w:t>
      </w:r>
      <m:oMath>
        <m:r>
          <m:rPr>
            <m:sty m:val="p"/>
          </m:rPr>
          <w:rPr>
            <w:rFonts w:ascii="Cambria Math" w:eastAsiaTheme="minorEastAsia" w:hAnsi="Cambria Math" w:cs="Arial"/>
          </w:rPr>
          <m:t>£12.00</m:t>
        </m:r>
        <m:r>
          <m:rPr>
            <m:nor/>
          </m:rPr>
          <w:rPr>
            <w:rFonts w:ascii="Arial" w:eastAsiaTheme="minorEastAsia" w:hAnsi="Arial" w:cs="Arial"/>
          </w:rPr>
          <m:t>m</m:t>
        </m:r>
        <m:r>
          <m:rPr>
            <m:sty m:val="p"/>
          </m:rPr>
          <w:rPr>
            <w:rFonts w:ascii="Cambria Math" w:eastAsiaTheme="minorEastAsia" w:hAnsi="Cambria Math" w:cs="Arial"/>
          </w:rPr>
          <m:t>×0.8573=£10.288</m:t>
        </m:r>
        <m:r>
          <m:rPr>
            <m:nor/>
          </m:rPr>
          <w:rPr>
            <w:rFonts w:ascii="Arial" w:eastAsiaTheme="minorEastAsia" w:hAnsi="Arial" w:cs="Arial"/>
          </w:rPr>
          <m:t>m</m:t>
        </m:r>
      </m:oMath>
    </w:p>
    <w:p w14:paraId="4F65AC1A" w14:textId="77777777" w:rsidR="00A7362D" w:rsidRPr="00611CB9" w:rsidRDefault="00A7362D" w:rsidP="00A7362D">
      <w:pPr>
        <w:pStyle w:val="ListParagraph"/>
        <w:numPr>
          <w:ilvl w:val="0"/>
          <w:numId w:val="3"/>
        </w:numPr>
        <w:tabs>
          <w:tab w:val="num" w:pos="720"/>
        </w:tabs>
        <w:spacing w:line="360" w:lineRule="auto"/>
        <w:rPr>
          <w:rFonts w:ascii="Arial" w:eastAsiaTheme="minorEastAsia" w:hAnsi="Arial" w:cs="Arial"/>
        </w:rPr>
      </w:pPr>
      <w:r w:rsidRPr="00611CB9">
        <w:rPr>
          <w:rFonts w:ascii="Arial" w:eastAsiaTheme="minorEastAsia" w:hAnsi="Arial" w:cs="Arial"/>
        </w:rPr>
        <w:t xml:space="preserve">Year 3 PV: </w:t>
      </w:r>
      <m:oMath>
        <m:r>
          <m:rPr>
            <m:sty m:val="p"/>
          </m:rPr>
          <w:rPr>
            <w:rFonts w:ascii="Cambria Math" w:eastAsiaTheme="minorEastAsia" w:hAnsi="Cambria Math" w:cs="Arial"/>
          </w:rPr>
          <m:t>£14.00</m:t>
        </m:r>
        <m:r>
          <m:rPr>
            <m:nor/>
          </m:rPr>
          <w:rPr>
            <w:rFonts w:ascii="Arial" w:eastAsiaTheme="minorEastAsia" w:hAnsi="Arial" w:cs="Arial"/>
          </w:rPr>
          <m:t>m</m:t>
        </m:r>
        <m:r>
          <m:rPr>
            <m:sty m:val="p"/>
          </m:rPr>
          <w:rPr>
            <w:rFonts w:ascii="Cambria Math" w:eastAsiaTheme="minorEastAsia" w:hAnsi="Cambria Math" w:cs="Arial"/>
          </w:rPr>
          <m:t>×0.7938=£11.113</m:t>
        </m:r>
        <m:r>
          <m:rPr>
            <m:nor/>
          </m:rPr>
          <w:rPr>
            <w:rFonts w:ascii="Arial" w:eastAsiaTheme="minorEastAsia" w:hAnsi="Arial" w:cs="Arial"/>
          </w:rPr>
          <m:t>m</m:t>
        </m:r>
      </m:oMath>
    </w:p>
    <w:p w14:paraId="0A885464" w14:textId="77777777" w:rsidR="00A7362D" w:rsidRPr="00611CB9" w:rsidRDefault="00A7362D" w:rsidP="00A7362D">
      <w:pPr>
        <w:pStyle w:val="ListParagraph"/>
        <w:numPr>
          <w:ilvl w:val="0"/>
          <w:numId w:val="3"/>
        </w:numPr>
        <w:tabs>
          <w:tab w:val="num" w:pos="720"/>
        </w:tabs>
        <w:spacing w:line="360" w:lineRule="auto"/>
        <w:rPr>
          <w:rFonts w:ascii="Arial" w:eastAsiaTheme="minorEastAsia" w:hAnsi="Arial" w:cs="Arial"/>
        </w:rPr>
      </w:pPr>
      <w:r w:rsidRPr="00611CB9">
        <w:rPr>
          <w:rFonts w:ascii="Arial" w:eastAsiaTheme="minorEastAsia" w:hAnsi="Arial" w:cs="Arial"/>
        </w:rPr>
        <w:t xml:space="preserve">Year 4 PV: </w:t>
      </w:r>
      <m:oMath>
        <m:r>
          <m:rPr>
            <m:sty m:val="p"/>
          </m:rPr>
          <w:rPr>
            <w:rFonts w:ascii="Cambria Math" w:eastAsiaTheme="minorEastAsia" w:hAnsi="Cambria Math" w:cs="Arial"/>
          </w:rPr>
          <m:t>£10.00</m:t>
        </m:r>
        <m:r>
          <m:rPr>
            <m:nor/>
          </m:rPr>
          <w:rPr>
            <w:rFonts w:ascii="Arial" w:eastAsiaTheme="minorEastAsia" w:hAnsi="Arial" w:cs="Arial"/>
          </w:rPr>
          <m:t>m</m:t>
        </m:r>
        <m:r>
          <m:rPr>
            <m:sty m:val="p"/>
          </m:rPr>
          <w:rPr>
            <w:rFonts w:ascii="Cambria Math" w:eastAsiaTheme="minorEastAsia" w:hAnsi="Cambria Math" w:cs="Arial"/>
          </w:rPr>
          <m:t>×0.7350=£7.350</m:t>
        </m:r>
        <m:r>
          <m:rPr>
            <m:nor/>
          </m:rPr>
          <w:rPr>
            <w:rFonts w:ascii="Arial" w:eastAsiaTheme="minorEastAsia" w:hAnsi="Arial" w:cs="Arial"/>
          </w:rPr>
          <m:t>m</m:t>
        </m:r>
      </m:oMath>
    </w:p>
    <w:p w14:paraId="2B1A25DE" w14:textId="77777777" w:rsidR="00A7362D" w:rsidRPr="00611CB9" w:rsidRDefault="00A7362D" w:rsidP="00A7362D">
      <w:pPr>
        <w:pStyle w:val="ListParagraph"/>
        <w:numPr>
          <w:ilvl w:val="0"/>
          <w:numId w:val="3"/>
        </w:numPr>
        <w:tabs>
          <w:tab w:val="num" w:pos="720"/>
        </w:tabs>
        <w:spacing w:line="360" w:lineRule="auto"/>
        <w:rPr>
          <w:rFonts w:ascii="Arial" w:eastAsiaTheme="minorEastAsia" w:hAnsi="Arial" w:cs="Arial"/>
        </w:rPr>
      </w:pPr>
      <w:r w:rsidRPr="00611CB9">
        <w:rPr>
          <w:rFonts w:ascii="Arial" w:eastAsiaTheme="minorEastAsia" w:hAnsi="Arial" w:cs="Arial"/>
        </w:rPr>
        <w:t xml:space="preserve">Year 5 PV: </w:t>
      </w:r>
      <m:oMath>
        <m:r>
          <m:rPr>
            <m:sty m:val="p"/>
          </m:rPr>
          <w:rPr>
            <w:rFonts w:ascii="Cambria Math" w:eastAsiaTheme="minorEastAsia" w:hAnsi="Cambria Math" w:cs="Arial"/>
          </w:rPr>
          <m:t>£8.00</m:t>
        </m:r>
        <m:r>
          <m:rPr>
            <m:nor/>
          </m:rPr>
          <w:rPr>
            <w:rFonts w:ascii="Arial" w:eastAsiaTheme="minorEastAsia" w:hAnsi="Arial" w:cs="Arial"/>
          </w:rPr>
          <m:t>m</m:t>
        </m:r>
        <m:r>
          <m:rPr>
            <m:sty m:val="p"/>
          </m:rPr>
          <w:rPr>
            <w:rFonts w:ascii="Cambria Math" w:eastAsiaTheme="minorEastAsia" w:hAnsi="Cambria Math" w:cs="Arial"/>
          </w:rPr>
          <m:t>×0.6806=£5.445</m:t>
        </m:r>
        <m:r>
          <m:rPr>
            <m:nor/>
          </m:rPr>
          <w:rPr>
            <w:rFonts w:ascii="Arial" w:eastAsiaTheme="minorEastAsia" w:hAnsi="Arial" w:cs="Arial"/>
          </w:rPr>
          <m:t>m</m:t>
        </m:r>
      </m:oMath>
    </w:p>
    <w:p w14:paraId="252B8F90" w14:textId="77777777" w:rsidR="00A7362D" w:rsidRPr="00611CB9" w:rsidRDefault="00A7362D" w:rsidP="00A7362D">
      <w:pPr>
        <w:pStyle w:val="ListParagraph"/>
        <w:numPr>
          <w:ilvl w:val="0"/>
          <w:numId w:val="3"/>
        </w:numPr>
        <w:tabs>
          <w:tab w:val="num" w:pos="720"/>
        </w:tabs>
        <w:spacing w:line="360" w:lineRule="auto"/>
        <w:rPr>
          <w:rFonts w:ascii="Arial" w:eastAsiaTheme="minorEastAsia" w:hAnsi="Arial" w:cs="Arial"/>
        </w:rPr>
      </w:pPr>
      <w:r w:rsidRPr="00611CB9">
        <w:rPr>
          <w:rFonts w:ascii="Arial" w:eastAsiaTheme="minorEastAsia" w:hAnsi="Arial" w:cs="Arial"/>
        </w:rPr>
        <w:t xml:space="preserve">Inflows = 9.259 + 10.288 + 11.113 + 7.350 + 5.445 = </w:t>
      </w:r>
      <w:r w:rsidRPr="00611CB9">
        <w:rPr>
          <w:rFonts w:ascii="Arial" w:eastAsiaTheme="minorEastAsia" w:hAnsi="Arial" w:cs="Arial"/>
          <w:kern w:val="0"/>
          <w:lang w:val="en-US"/>
          <w14:ligatures w14:val="none"/>
        </w:rPr>
        <w:t>£43,455,900</w:t>
      </w:r>
    </w:p>
    <w:p w14:paraId="132F5FF5" w14:textId="77777777" w:rsidR="00A7362D" w:rsidRPr="00611CB9" w:rsidRDefault="00000000" w:rsidP="00A7362D">
      <w:pPr>
        <w:pStyle w:val="ListParagraph"/>
        <w:numPr>
          <w:ilvl w:val="0"/>
          <w:numId w:val="3"/>
        </w:numPr>
        <w:tabs>
          <w:tab w:val="num" w:pos="720"/>
        </w:tabs>
        <w:spacing w:line="360" w:lineRule="auto"/>
        <w:rPr>
          <w:rFonts w:ascii="Arial" w:eastAsiaTheme="minorEastAsia" w:hAnsi="Arial" w:cs="Arial"/>
        </w:rPr>
      </w:pPr>
      <m:oMath>
        <m:sSub>
          <m:sSubPr>
            <m:ctrlPr>
              <w:rPr>
                <w:rFonts w:ascii="Cambria Math" w:eastAsiaTheme="minorEastAsia" w:hAnsi="Cambria Math" w:cs="Arial"/>
              </w:rPr>
            </m:ctrlPr>
          </m:sSubPr>
          <m:e>
            <m:r>
              <m:rPr>
                <m:nor/>
              </m:rPr>
              <w:rPr>
                <w:rFonts w:ascii="Arial" w:eastAsiaTheme="minorEastAsia" w:hAnsi="Arial" w:cs="Arial"/>
              </w:rPr>
              <m:t>NPV</m:t>
            </m:r>
          </m:e>
          <m:sub>
            <m:r>
              <w:rPr>
                <w:rFonts w:ascii="Cambria Math" w:eastAsiaTheme="minorEastAsia" w:hAnsi="Cambria Math" w:cs="Arial"/>
              </w:rPr>
              <m:t>A</m:t>
            </m:r>
          </m:sub>
        </m:sSub>
      </m:oMath>
      <w:r w:rsidR="00A7362D" w:rsidRPr="00611CB9">
        <w:rPr>
          <w:rFonts w:ascii="Arial" w:eastAsiaTheme="minorEastAsia" w:hAnsi="Arial" w:cs="Arial"/>
        </w:rPr>
        <w:t xml:space="preserve"> = Aggregate Present Value – Initial Investment = 43.4559 – 50 = </w:t>
      </w:r>
      <w:r w:rsidR="00A7362D" w:rsidRPr="00611CB9">
        <w:rPr>
          <w:rFonts w:ascii="Arial" w:eastAsiaTheme="minorEastAsia" w:hAnsi="Arial" w:cs="Arial"/>
          <w:b/>
        </w:rPr>
        <w:t>-</w:t>
      </w:r>
      <w:r w:rsidR="00A7362D" w:rsidRPr="00611CB9">
        <w:rPr>
          <w:rFonts w:ascii="Arial" w:eastAsiaTheme="minorEastAsia" w:hAnsi="Arial" w:cs="Arial"/>
          <w:b/>
          <w:kern w:val="0"/>
          <w:lang w:val="en-US"/>
          <w14:ligatures w14:val="none"/>
        </w:rPr>
        <w:t>£6,554,100</w:t>
      </w:r>
    </w:p>
    <w:p w14:paraId="1B80E8E9" w14:textId="77777777" w:rsidR="00A7362D" w:rsidRPr="00611CB9" w:rsidRDefault="00A7362D" w:rsidP="00A7362D">
      <w:pPr>
        <w:tabs>
          <w:tab w:val="num" w:pos="720"/>
        </w:tabs>
        <w:spacing w:line="360" w:lineRule="auto"/>
        <w:rPr>
          <w:rFonts w:ascii="Arial" w:eastAsiaTheme="minorEastAsia" w:hAnsi="Arial" w:cs="Arial"/>
        </w:rPr>
      </w:pPr>
      <w:r w:rsidRPr="00611CB9">
        <w:rPr>
          <w:rFonts w:ascii="Arial" w:eastAsiaTheme="minorEastAsia" w:hAnsi="Arial" w:cs="Arial"/>
          <w:b/>
        </w:rPr>
        <w:t>Profitability Index (PI):</w:t>
      </w:r>
      <w:r w:rsidRPr="00611CB9">
        <w:rPr>
          <w:rFonts w:ascii="Arial" w:eastAsiaTheme="minorEastAsia" w:hAnsi="Arial" w:cs="Arial"/>
        </w:rPr>
        <w:t xml:space="preserve"> PI measures capital efficiency concerning expenses by computing the ratio of discounted inflows to the initial capital investment.</w:t>
      </w:r>
    </w:p>
    <w:p w14:paraId="3B74013F" w14:textId="77777777" w:rsidR="00A7362D" w:rsidRPr="00611CB9" w:rsidRDefault="00000000" w:rsidP="00A7362D">
      <w:pPr>
        <w:pStyle w:val="ListParagraph"/>
        <w:numPr>
          <w:ilvl w:val="0"/>
          <w:numId w:val="7"/>
        </w:numPr>
        <w:tabs>
          <w:tab w:val="num" w:pos="720"/>
        </w:tabs>
        <w:spacing w:line="360" w:lineRule="auto"/>
        <w:rPr>
          <w:rFonts w:ascii="Arial" w:eastAsiaTheme="minorEastAsia" w:hAnsi="Arial" w:cs="Arial"/>
        </w:rPr>
      </w:pPr>
      <m:oMath>
        <m:sSub>
          <m:sSubPr>
            <m:ctrlPr>
              <w:rPr>
                <w:rFonts w:ascii="Cambria Math" w:eastAsiaTheme="minorEastAsia" w:hAnsi="Cambria Math" w:cs="Arial"/>
              </w:rPr>
            </m:ctrlPr>
          </m:sSubPr>
          <m:e>
            <m:r>
              <m:rPr>
                <m:nor/>
              </m:rPr>
              <w:rPr>
                <w:rFonts w:ascii="Arial" w:eastAsiaTheme="minorEastAsia" w:hAnsi="Arial" w:cs="Arial"/>
              </w:rPr>
              <m:t>PI</m:t>
            </m:r>
          </m:e>
          <m:sub>
            <m:r>
              <w:rPr>
                <w:rFonts w:ascii="Cambria Math" w:eastAsiaTheme="minorEastAsia" w:hAnsi="Cambria Math" w:cs="Arial"/>
              </w:rPr>
              <m:t>A</m:t>
            </m:r>
          </m:sub>
        </m:sSub>
        <m:r>
          <w:rPr>
            <w:rFonts w:ascii="Cambria Math" w:hAnsi="Cambria Math" w:cs="Arial"/>
          </w:rPr>
          <m:t>=</m:t>
        </m:r>
        <m:f>
          <m:fPr>
            <m:ctrlPr>
              <w:rPr>
                <w:rFonts w:ascii="Cambria Math" w:hAnsi="Cambria Math" w:cs="Arial"/>
              </w:rPr>
            </m:ctrlPr>
          </m:fPr>
          <m:num>
            <m:r>
              <m:rPr>
                <m:nor/>
              </m:rPr>
              <w:rPr>
                <w:rFonts w:ascii="Arial" w:hAnsi="Arial" w:cs="Arial"/>
              </w:rPr>
              <m:t>Aggregate Present Value</m:t>
            </m:r>
          </m:num>
          <m:den>
            <m:r>
              <m:rPr>
                <m:nor/>
              </m:rPr>
              <w:rPr>
                <w:rFonts w:ascii="Arial" w:hAnsi="Arial" w:cs="Arial"/>
              </w:rPr>
              <m:t>Initial Investment</m:t>
            </m:r>
          </m:den>
        </m:f>
        <m:r>
          <w:rPr>
            <w:rFonts w:ascii="Cambria Math" w:hAnsi="Cambria Math" w:cs="Arial"/>
          </w:rPr>
          <m:t>=</m:t>
        </m:r>
        <m:f>
          <m:fPr>
            <m:ctrlPr>
              <w:rPr>
                <w:rFonts w:ascii="Cambria Math" w:hAnsi="Cambria Math" w:cs="Arial"/>
              </w:rPr>
            </m:ctrlPr>
          </m:fPr>
          <m:num>
            <m:r>
              <w:rPr>
                <w:rFonts w:ascii="Cambria Math" w:hAnsi="Cambria Math" w:cs="Arial"/>
              </w:rPr>
              <m:t>£43.4559m</m:t>
            </m:r>
          </m:num>
          <m:den>
            <m:r>
              <w:rPr>
                <w:rFonts w:ascii="Cambria Math" w:hAnsi="Cambria Math" w:cs="Arial"/>
              </w:rPr>
              <m:t>£50.0000m</m:t>
            </m:r>
          </m:den>
        </m:f>
      </m:oMath>
      <w:r w:rsidR="00A7362D" w:rsidRPr="00611CB9">
        <w:rPr>
          <w:rFonts w:ascii="Arial" w:eastAsiaTheme="minorEastAsia" w:hAnsi="Arial" w:cs="Arial"/>
        </w:rPr>
        <w:t xml:space="preserve">= </w:t>
      </w:r>
      <w:r w:rsidR="00A7362D" w:rsidRPr="00611CB9">
        <w:rPr>
          <w:rFonts w:ascii="Arial" w:eastAsiaTheme="minorEastAsia" w:hAnsi="Arial" w:cs="Arial"/>
          <w:b/>
        </w:rPr>
        <w:t>0.869</w:t>
      </w:r>
    </w:p>
    <w:p w14:paraId="6C60961D" w14:textId="2DDF515F" w:rsidR="00A7362D" w:rsidRPr="00611CB9" w:rsidRDefault="00A7362D" w:rsidP="00A7362D">
      <w:pPr>
        <w:tabs>
          <w:tab w:val="num" w:pos="720"/>
        </w:tabs>
        <w:spacing w:line="360" w:lineRule="auto"/>
        <w:rPr>
          <w:rFonts w:ascii="Arial" w:eastAsiaTheme="minorEastAsia" w:hAnsi="Arial" w:cs="Arial"/>
        </w:rPr>
      </w:pPr>
      <w:r w:rsidRPr="00611CB9">
        <w:rPr>
          <w:rFonts w:ascii="Arial" w:eastAsiaTheme="minorEastAsia" w:hAnsi="Arial" w:cs="Arial"/>
          <w:b/>
        </w:rPr>
        <w:t>Internal Rate of Return (IRR):</w:t>
      </w:r>
      <w:r w:rsidRPr="00611CB9">
        <w:rPr>
          <w:rFonts w:ascii="Arial" w:eastAsiaTheme="minorEastAsia" w:hAnsi="Arial" w:cs="Arial"/>
          <w:u w:val="single"/>
        </w:rPr>
        <w:t xml:space="preserve"> </w:t>
      </w:r>
      <w:r w:rsidRPr="00611CB9">
        <w:rPr>
          <w:rFonts w:ascii="Arial" w:eastAsiaTheme="minorEastAsia" w:hAnsi="Arial" w:cs="Arial"/>
        </w:rPr>
        <w:t>IRR</w:t>
      </w:r>
      <w:r w:rsidRPr="00611CB9">
        <w:rPr>
          <w:rFonts w:ascii="Arial" w:eastAsiaTheme="minorEastAsia" w:hAnsi="Arial" w:cs="Arial"/>
          <w:u w:val="single"/>
        </w:rPr>
        <w:t xml:space="preserve"> </w:t>
      </w:r>
      <w:r w:rsidRPr="00611CB9">
        <w:rPr>
          <w:rFonts w:ascii="Arial" w:eastAsiaTheme="minorEastAsia" w:hAnsi="Arial" w:cs="Arial"/>
        </w:rPr>
        <w:t>represents the specific discount rate where the project’s NPV equals zero.</w:t>
      </w:r>
    </w:p>
    <w:p w14:paraId="506BDAA2" w14:textId="77777777" w:rsidR="00A7362D" w:rsidRPr="00611CB9" w:rsidRDefault="00A7362D" w:rsidP="00A7362D">
      <w:pPr>
        <w:pStyle w:val="ListParagraph"/>
        <w:numPr>
          <w:ilvl w:val="0"/>
          <w:numId w:val="7"/>
        </w:numPr>
        <w:tabs>
          <w:tab w:val="num" w:pos="720"/>
        </w:tabs>
        <w:spacing w:line="360" w:lineRule="auto"/>
        <w:rPr>
          <w:rFonts w:ascii="Arial" w:eastAsiaTheme="minorEastAsia" w:hAnsi="Arial" w:cs="Arial"/>
        </w:rPr>
      </w:pPr>
      <w:r w:rsidRPr="00611CB9">
        <w:rPr>
          <w:rFonts w:ascii="Arial" w:eastAsiaTheme="minorEastAsia" w:hAnsi="Arial" w:cs="Arial"/>
        </w:rPr>
        <w:t xml:space="preserve">The rate is measured using financial interpolation against a lower trial rate of 3%, which ends in a positive Net Present Value of + </w:t>
      </w:r>
      <w:r w:rsidRPr="00611CB9">
        <w:rPr>
          <w:rFonts w:ascii="Arial" w:eastAsiaTheme="minorEastAsia" w:hAnsi="Arial" w:cs="Arial"/>
          <w:kern w:val="0"/>
          <w:lang w:val="en-US"/>
          <w14:ligatures w14:val="none"/>
        </w:rPr>
        <w:t>£0.0046m.</w:t>
      </w:r>
    </w:p>
    <w:p w14:paraId="54AF5BAE" w14:textId="77777777" w:rsidR="00A7362D" w:rsidRPr="00611CB9" w:rsidRDefault="00000000" w:rsidP="00A7362D">
      <w:pPr>
        <w:pStyle w:val="ListParagraph"/>
        <w:numPr>
          <w:ilvl w:val="0"/>
          <w:numId w:val="7"/>
        </w:numPr>
        <w:spacing w:line="360" w:lineRule="auto"/>
        <w:rPr>
          <w:rFonts w:ascii="Arial" w:eastAsiaTheme="minorEastAsia" w:hAnsi="Arial" w:cs="Arial"/>
        </w:rPr>
      </w:pPr>
      <m:oMath>
        <m:sSub>
          <m:sSubPr>
            <m:ctrlPr>
              <w:rPr>
                <w:rFonts w:ascii="Cambria Math" w:eastAsiaTheme="minorEastAsia" w:hAnsi="Cambria Math" w:cs="Arial"/>
              </w:rPr>
            </m:ctrlPr>
          </m:sSubPr>
          <m:e>
            <m:r>
              <m:rPr>
                <m:nor/>
              </m:rPr>
              <w:rPr>
                <w:rFonts w:ascii="Arial" w:eastAsiaTheme="minorEastAsia" w:hAnsi="Arial" w:cs="Arial"/>
              </w:rPr>
              <m:t>IRR</m:t>
            </m:r>
          </m:e>
          <m:sub>
            <m:r>
              <w:rPr>
                <w:rFonts w:ascii="Cambria Math" w:eastAsiaTheme="minorEastAsia" w:hAnsi="Cambria Math" w:cs="Arial"/>
              </w:rPr>
              <m:t>A</m:t>
            </m:r>
          </m:sub>
        </m:sSub>
        <m:r>
          <w:rPr>
            <w:rFonts w:ascii="Cambria Math" w:eastAsiaTheme="minorEastAsia" w:hAnsi="Cambria Math" w:cs="Arial"/>
          </w:rPr>
          <m:t>=</m:t>
        </m:r>
        <m:r>
          <m:rPr>
            <m:sty m:val="b"/>
          </m:rPr>
          <w:rPr>
            <w:rFonts w:ascii="Cambria Math" w:eastAsiaTheme="minorEastAsia" w:hAnsi="Cambria Math" w:cs="Arial"/>
          </w:rPr>
          <m:t>3.03%</m:t>
        </m:r>
      </m:oMath>
    </w:p>
    <w:p w14:paraId="665D1274" w14:textId="77777777" w:rsidR="00A7362D" w:rsidRPr="00611CB9" w:rsidRDefault="00A7362D" w:rsidP="00A7362D">
      <w:pPr>
        <w:pStyle w:val="ListParagraph"/>
        <w:tabs>
          <w:tab w:val="num" w:pos="720"/>
        </w:tabs>
        <w:spacing w:line="360" w:lineRule="auto"/>
        <w:rPr>
          <w:rFonts w:ascii="Arial" w:eastAsiaTheme="minorEastAsia" w:hAnsi="Arial" w:cs="Arial"/>
        </w:rPr>
      </w:pPr>
    </w:p>
    <w:p w14:paraId="1B99C9BB" w14:textId="77777777" w:rsidR="00A7362D" w:rsidRPr="00611CB9" w:rsidRDefault="00A7362D" w:rsidP="00A7362D">
      <w:pPr>
        <w:pStyle w:val="ListParagraph"/>
        <w:spacing w:line="360" w:lineRule="auto"/>
        <w:ind w:left="0"/>
        <w:rPr>
          <w:rFonts w:ascii="Arial" w:eastAsiaTheme="minorEastAsia" w:hAnsi="Arial" w:cs="Arial"/>
          <w:b/>
        </w:rPr>
      </w:pPr>
      <w:r w:rsidRPr="00611CB9">
        <w:rPr>
          <w:rFonts w:ascii="Arial" w:eastAsiaTheme="minorEastAsia" w:hAnsi="Arial" w:cs="Arial"/>
        </w:rPr>
        <w:t xml:space="preserve">2. </w:t>
      </w:r>
      <w:r w:rsidRPr="00611CB9">
        <w:rPr>
          <w:rFonts w:ascii="Arial" w:eastAsiaTheme="minorEastAsia" w:hAnsi="Arial" w:cs="Arial"/>
          <w:b/>
        </w:rPr>
        <w:t>Project B</w:t>
      </w:r>
    </w:p>
    <w:p w14:paraId="75DCB963" w14:textId="77777777" w:rsidR="00A7362D" w:rsidRPr="00611CB9" w:rsidRDefault="00A7362D" w:rsidP="00A7362D">
      <w:pPr>
        <w:pStyle w:val="ListParagraph"/>
        <w:spacing w:line="360" w:lineRule="auto"/>
        <w:ind w:left="0"/>
        <w:rPr>
          <w:rFonts w:ascii="Arial" w:eastAsiaTheme="minorEastAsia" w:hAnsi="Arial" w:cs="Arial"/>
        </w:rPr>
      </w:pPr>
      <w:r w:rsidRPr="00611CB9">
        <w:rPr>
          <w:rFonts w:ascii="Arial" w:eastAsiaTheme="minorEastAsia" w:hAnsi="Arial" w:cs="Arial"/>
        </w:rPr>
        <w:t xml:space="preserve">Over the duration of a five-year investment period, Project B works as a normal annuity, generating a regular annual cash inflow of </w:t>
      </w:r>
      <m:oMath>
        <m:r>
          <m:rPr>
            <m:sty m:val="p"/>
          </m:rPr>
          <w:rPr>
            <w:rFonts w:ascii="Cambria Math" w:eastAsiaTheme="minorEastAsia" w:hAnsi="Cambria Math" w:cs="Arial"/>
          </w:rPr>
          <m:t>£</m:t>
        </m:r>
      </m:oMath>
      <w:r w:rsidRPr="00611CB9">
        <w:rPr>
          <w:rFonts w:ascii="Arial" w:eastAsiaTheme="minorEastAsia" w:hAnsi="Arial" w:cs="Arial"/>
        </w:rPr>
        <w:t xml:space="preserve"> 11 million.</w:t>
      </w:r>
    </w:p>
    <w:p w14:paraId="2FC0FC7C" w14:textId="77777777" w:rsidR="00A7362D" w:rsidRPr="00611CB9" w:rsidRDefault="00A7362D" w:rsidP="00A7362D">
      <w:pPr>
        <w:pStyle w:val="ListParagraph"/>
        <w:spacing w:line="360" w:lineRule="auto"/>
        <w:ind w:left="0"/>
        <w:rPr>
          <w:rFonts w:ascii="Arial" w:eastAsiaTheme="minorEastAsia" w:hAnsi="Arial" w:cs="Arial"/>
          <w:u w:val="single"/>
        </w:rPr>
      </w:pPr>
      <w:r w:rsidRPr="00611CB9">
        <w:rPr>
          <w:rFonts w:ascii="Arial" w:eastAsiaTheme="minorEastAsia" w:hAnsi="Arial" w:cs="Arial"/>
          <w:b/>
        </w:rPr>
        <w:t>Payback Period (PBP)</w:t>
      </w:r>
      <w:r w:rsidRPr="00611CB9">
        <w:rPr>
          <w:rFonts w:ascii="Arial" w:eastAsiaTheme="minorEastAsia" w:hAnsi="Arial" w:cs="Arial"/>
          <w:u w:val="single"/>
        </w:rPr>
        <w:t xml:space="preserve"> :</w:t>
      </w:r>
    </w:p>
    <w:p w14:paraId="19A2DBB8" w14:textId="77777777" w:rsidR="00A7362D" w:rsidRPr="00611CB9" w:rsidRDefault="00000000" w:rsidP="00A7362D">
      <w:pPr>
        <w:pStyle w:val="ListParagraph"/>
        <w:numPr>
          <w:ilvl w:val="0"/>
          <w:numId w:val="8"/>
        </w:numPr>
        <w:spacing w:line="360" w:lineRule="auto"/>
        <w:rPr>
          <w:rFonts w:ascii="Arial" w:eastAsiaTheme="minorEastAsia" w:hAnsi="Arial" w:cs="Arial"/>
        </w:rPr>
      </w:pPr>
      <m:oMath>
        <m:sSub>
          <m:sSubPr>
            <m:ctrlPr>
              <w:rPr>
                <w:rFonts w:ascii="Cambria Math" w:eastAsiaTheme="minorEastAsia" w:hAnsi="Cambria Math" w:cs="Arial"/>
              </w:rPr>
            </m:ctrlPr>
          </m:sSubPr>
          <m:e>
            <m:r>
              <m:rPr>
                <m:nor/>
              </m:rPr>
              <w:rPr>
                <w:rFonts w:ascii="Arial" w:eastAsiaTheme="minorEastAsia" w:hAnsi="Arial" w:cs="Arial"/>
              </w:rPr>
              <m:t>PBP</m:t>
            </m:r>
          </m:e>
          <m:sub>
            <m:r>
              <w:rPr>
                <w:rFonts w:ascii="Cambria Math" w:eastAsiaTheme="minorEastAsia" w:hAnsi="Cambria Math" w:cs="Arial"/>
              </w:rPr>
              <m:t>B</m:t>
            </m:r>
          </m:sub>
        </m:sSub>
        <m:r>
          <w:rPr>
            <w:rFonts w:ascii="Cambria Math" w:hAnsi="Cambria Math" w:cs="Arial"/>
          </w:rPr>
          <m:t>=</m:t>
        </m:r>
        <m:f>
          <m:fPr>
            <m:ctrlPr>
              <w:rPr>
                <w:rFonts w:ascii="Cambria Math" w:hAnsi="Cambria Math" w:cs="Arial"/>
              </w:rPr>
            </m:ctrlPr>
          </m:fPr>
          <m:num>
            <m:r>
              <m:rPr>
                <m:nor/>
              </m:rPr>
              <w:rPr>
                <w:rFonts w:ascii="Arial" w:hAnsi="Arial" w:cs="Arial"/>
              </w:rPr>
              <m:t>Initial Capital Investment</m:t>
            </m:r>
          </m:num>
          <m:den>
            <m:r>
              <m:rPr>
                <m:nor/>
              </m:rPr>
              <w:rPr>
                <w:rFonts w:ascii="Arial" w:hAnsi="Arial" w:cs="Arial"/>
              </w:rPr>
              <m:t>Annual Annuity Cash Inflow</m:t>
            </m:r>
          </m:den>
        </m:f>
        <m:r>
          <w:rPr>
            <w:rFonts w:ascii="Cambria Math" w:hAnsi="Cambria Math" w:cs="Arial"/>
          </w:rPr>
          <m:t>=</m:t>
        </m:r>
        <m:f>
          <m:fPr>
            <m:ctrlPr>
              <w:rPr>
                <w:rFonts w:ascii="Cambria Math" w:hAnsi="Cambria Math" w:cs="Arial"/>
              </w:rPr>
            </m:ctrlPr>
          </m:fPr>
          <m:num>
            <m:r>
              <w:rPr>
                <w:rFonts w:ascii="Cambria Math" w:hAnsi="Cambria Math" w:cs="Arial"/>
              </w:rPr>
              <m:t>£50,000,000</m:t>
            </m:r>
          </m:num>
          <m:den>
            <m:r>
              <w:rPr>
                <w:rFonts w:ascii="Cambria Math" w:hAnsi="Cambria Math" w:cs="Arial"/>
              </w:rPr>
              <m:t>£11,000,000</m:t>
            </m:r>
          </m:den>
        </m:f>
        <m:r>
          <w:rPr>
            <w:rFonts w:ascii="Cambria Math" w:hAnsi="Cambria Math" w:cs="Arial"/>
          </w:rPr>
          <m:t xml:space="preserve"> </m:t>
        </m:r>
      </m:oMath>
      <w:r w:rsidR="00A7362D" w:rsidRPr="00611CB9">
        <w:rPr>
          <w:rFonts w:ascii="Arial" w:eastAsiaTheme="minorEastAsia" w:hAnsi="Arial" w:cs="Arial"/>
        </w:rPr>
        <w:t xml:space="preserve">= </w:t>
      </w:r>
      <w:r w:rsidR="00A7362D" w:rsidRPr="00611CB9">
        <w:rPr>
          <w:rFonts w:ascii="Arial" w:eastAsiaTheme="minorEastAsia" w:hAnsi="Arial" w:cs="Arial"/>
          <w:b/>
        </w:rPr>
        <w:t xml:space="preserve">4.55 </w:t>
      </w:r>
      <w:r w:rsidR="00A7362D" w:rsidRPr="00611CB9">
        <w:rPr>
          <w:rFonts w:ascii="Arial" w:eastAsiaTheme="minorEastAsia" w:hAnsi="Arial" w:cs="Arial"/>
        </w:rPr>
        <w:t>Years</w:t>
      </w:r>
    </w:p>
    <w:p w14:paraId="17D3DDF0" w14:textId="77777777" w:rsidR="00A7362D" w:rsidRPr="00611CB9" w:rsidRDefault="00A7362D" w:rsidP="00A7362D">
      <w:pPr>
        <w:spacing w:line="360" w:lineRule="auto"/>
        <w:rPr>
          <w:rFonts w:ascii="Arial" w:eastAsiaTheme="minorEastAsia" w:hAnsi="Arial" w:cs="Arial"/>
          <w:u w:val="single"/>
        </w:rPr>
      </w:pPr>
      <w:r w:rsidRPr="00611CB9">
        <w:rPr>
          <w:rFonts w:ascii="Arial" w:eastAsiaTheme="minorEastAsia" w:hAnsi="Arial" w:cs="Arial"/>
          <w:b/>
        </w:rPr>
        <w:t>Accounting Rate of Return</w:t>
      </w:r>
      <w:r w:rsidRPr="00611CB9">
        <w:rPr>
          <w:rFonts w:ascii="Arial" w:eastAsiaTheme="minorEastAsia" w:hAnsi="Arial" w:cs="Arial"/>
          <w:u w:val="single"/>
        </w:rPr>
        <w:t>:</w:t>
      </w:r>
    </w:p>
    <w:p w14:paraId="35F60D97" w14:textId="77777777" w:rsidR="00A7362D" w:rsidRPr="00611CB9" w:rsidRDefault="00A7362D" w:rsidP="00A7362D">
      <w:pPr>
        <w:pStyle w:val="ListParagraph"/>
        <w:numPr>
          <w:ilvl w:val="0"/>
          <w:numId w:val="6"/>
        </w:num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Total 5-year Cash Inflow = 11 * 5  = £55,000,000</w:t>
      </w:r>
    </w:p>
    <w:p w14:paraId="3B7425AF" w14:textId="77777777" w:rsidR="00A7362D" w:rsidRPr="00611CB9" w:rsidRDefault="00A7362D" w:rsidP="00A7362D">
      <w:pPr>
        <w:pStyle w:val="ListParagraph"/>
        <w:rPr>
          <w:rFonts w:ascii="Arial" w:eastAsiaTheme="minorEastAsia" w:hAnsi="Arial" w:cs="Arial"/>
          <w:kern w:val="0"/>
          <w:lang w:val="en-US"/>
          <w14:ligatures w14:val="none"/>
        </w:rPr>
      </w:pPr>
    </w:p>
    <w:p w14:paraId="71D67D84" w14:textId="77777777" w:rsidR="00A7362D" w:rsidRPr="00611CB9" w:rsidRDefault="00A7362D" w:rsidP="00A7362D">
      <w:pPr>
        <w:pStyle w:val="ListParagraph"/>
        <w:numPr>
          <w:ilvl w:val="0"/>
          <w:numId w:val="6"/>
        </w:num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lastRenderedPageBreak/>
        <w:t>Total 5-year Net Profit = Total Cash Inflow  -  Total Depreciation = 55 – 50 = £5,000,000</w:t>
      </w:r>
    </w:p>
    <w:p w14:paraId="4C9A3414" w14:textId="77777777" w:rsidR="00A7362D" w:rsidRPr="00611CB9" w:rsidRDefault="00A7362D" w:rsidP="00A7362D">
      <w:pPr>
        <w:rPr>
          <w:rFonts w:ascii="Arial" w:eastAsiaTheme="minorEastAsia" w:hAnsi="Arial" w:cs="Arial"/>
          <w:kern w:val="0"/>
          <w:lang w:val="en-US"/>
          <w14:ligatures w14:val="none"/>
        </w:rPr>
      </w:pPr>
    </w:p>
    <w:p w14:paraId="52CCB84F" w14:textId="3CE485FF" w:rsidR="00A7362D" w:rsidRPr="00611CB9" w:rsidRDefault="00A7362D" w:rsidP="00A7362D">
      <w:pPr>
        <w:pStyle w:val="ListParagraph"/>
        <w:numPr>
          <w:ilvl w:val="0"/>
          <w:numId w:val="6"/>
        </w:num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 xml:space="preserve">Average Annual Net Profit = </w:t>
      </w:r>
      <m:oMath>
        <m:f>
          <m:fPr>
            <m:ctrlPr>
              <w:rPr>
                <w:rFonts w:ascii="Cambria Math" w:eastAsiaTheme="minorEastAsia" w:hAnsi="Cambria Math" w:cs="Arial"/>
                <w:kern w:val="0"/>
                <w:lang w:val="en-US"/>
                <w14:ligatures w14:val="none"/>
              </w:rPr>
            </m:ctrlPr>
          </m:fPr>
          <m:num>
            <m:r>
              <m:rPr>
                <m:sty m:val="p"/>
              </m:rPr>
              <w:rPr>
                <w:rFonts w:ascii="Cambria Math" w:eastAsiaTheme="minorEastAsia" w:hAnsi="Cambria Math" w:cs="Arial"/>
                <w:kern w:val="0"/>
                <w:lang w:val="en-US"/>
                <w14:ligatures w14:val="none"/>
              </w:rPr>
              <m:t>£5,000,000</m:t>
            </m:r>
          </m:num>
          <m:den>
            <m:r>
              <m:rPr>
                <m:sty m:val="p"/>
              </m:rPr>
              <w:rPr>
                <w:rFonts w:ascii="Cambria Math" w:eastAsiaTheme="minorEastAsia" w:hAnsi="Cambria Math" w:cs="Arial"/>
                <w:kern w:val="0"/>
                <w:lang w:val="en-US"/>
                <w14:ligatures w14:val="none"/>
              </w:rPr>
              <m:t>5</m:t>
            </m:r>
          </m:den>
        </m:f>
        <m:r>
          <m:rPr>
            <m:sty m:val="p"/>
          </m:rPr>
          <w:rPr>
            <w:rFonts w:ascii="Cambria Math" w:eastAsiaTheme="minorEastAsia" w:hAnsi="Cambria Math" w:cs="Arial"/>
            <w:kern w:val="0"/>
            <w:lang w:val="en-US"/>
            <w14:ligatures w14:val="none"/>
          </w:rPr>
          <m:t>=£1,00,000</m:t>
        </m:r>
      </m:oMath>
    </w:p>
    <w:p w14:paraId="12C78EC3" w14:textId="77777777" w:rsidR="00A7362D" w:rsidRPr="00611CB9" w:rsidRDefault="00A7362D" w:rsidP="00A7362D">
      <w:pPr>
        <w:pStyle w:val="ListParagraph"/>
        <w:ind w:right="-694"/>
        <w:rPr>
          <w:rFonts w:ascii="Arial" w:eastAsiaTheme="minorEastAsia" w:hAnsi="Arial" w:cs="Arial"/>
          <w:kern w:val="0"/>
          <w:lang w:val="en-US"/>
          <w14:ligatures w14:val="none"/>
        </w:rPr>
      </w:pPr>
    </w:p>
    <w:p w14:paraId="0CBC7D13" w14:textId="77777777" w:rsidR="00A7362D" w:rsidRPr="00611CB9" w:rsidRDefault="00000000" w:rsidP="00A7362D">
      <w:pPr>
        <w:pStyle w:val="ListParagraph"/>
        <w:numPr>
          <w:ilvl w:val="0"/>
          <w:numId w:val="6"/>
        </w:numPr>
        <w:spacing w:line="360" w:lineRule="auto"/>
        <w:rPr>
          <w:rFonts w:ascii="Arial" w:eastAsiaTheme="minorEastAsia" w:hAnsi="Arial" w:cs="Arial"/>
        </w:rPr>
      </w:pPr>
      <m:oMath>
        <m:sSub>
          <m:sSubPr>
            <m:ctrlPr>
              <w:rPr>
                <w:rFonts w:ascii="Cambria Math" w:eastAsiaTheme="minorEastAsia" w:hAnsi="Cambria Math" w:cs="Arial"/>
              </w:rPr>
            </m:ctrlPr>
          </m:sSubPr>
          <m:e>
            <m:r>
              <m:rPr>
                <m:nor/>
              </m:rPr>
              <w:rPr>
                <w:rFonts w:ascii="Arial" w:eastAsiaTheme="minorEastAsia" w:hAnsi="Arial" w:cs="Arial"/>
              </w:rPr>
              <m:t>ARR</m:t>
            </m:r>
          </m:e>
          <m:sub>
            <m:r>
              <w:rPr>
                <w:rFonts w:ascii="Cambria Math" w:eastAsiaTheme="minorEastAsia" w:hAnsi="Cambria Math" w:cs="Arial"/>
              </w:rPr>
              <m:t>B</m:t>
            </m:r>
          </m:sub>
        </m:sSub>
        <m:r>
          <w:rPr>
            <w:rFonts w:ascii="Cambria Math" w:eastAsiaTheme="minorEastAsia" w:hAnsi="Cambria Math" w:cs="Arial"/>
          </w:rPr>
          <m:t>=</m:t>
        </m:r>
        <m:d>
          <m:dPr>
            <m:ctrlPr>
              <w:rPr>
                <w:rFonts w:ascii="Cambria Math" w:eastAsiaTheme="minorEastAsia" w:hAnsi="Cambria Math" w:cs="Arial"/>
              </w:rPr>
            </m:ctrlPr>
          </m:dPr>
          <m:e>
            <m:f>
              <m:fPr>
                <m:ctrlPr>
                  <w:rPr>
                    <w:rFonts w:ascii="Cambria Math" w:eastAsiaTheme="minorEastAsia" w:hAnsi="Cambria Math" w:cs="Arial"/>
                    <w:kern w:val="0"/>
                    <w:lang w:val="en-US"/>
                    <w14:ligatures w14:val="none"/>
                  </w:rPr>
                </m:ctrlPr>
              </m:fPr>
              <m:num>
                <m:r>
                  <m:rPr>
                    <m:nor/>
                  </m:rPr>
                  <w:rPr>
                    <w:rFonts w:ascii="Arial" w:eastAsiaTheme="minorEastAsia" w:hAnsi="Arial" w:cs="Arial"/>
                    <w:kern w:val="0"/>
                    <w:lang w:val="en-US"/>
                    <w14:ligatures w14:val="none"/>
                  </w:rPr>
                  <m:t>Average Annual Net Profit</m:t>
                </m:r>
              </m:num>
              <m:den>
                <m:r>
                  <m:rPr>
                    <m:nor/>
                  </m:rPr>
                  <w:rPr>
                    <w:rFonts w:ascii="Arial" w:eastAsiaTheme="minorEastAsia" w:hAnsi="Arial" w:cs="Arial"/>
                    <w:kern w:val="0"/>
                    <w:lang w:val="en-US"/>
                    <w14:ligatures w14:val="none"/>
                  </w:rPr>
                  <m:t>Average Investment</m:t>
                </m:r>
                <m:r>
                  <w:rPr>
                    <w:rFonts w:ascii="Cambria Math" w:eastAsiaTheme="minorEastAsia" w:hAnsi="Cambria Math" w:cs="Arial"/>
                    <w:kern w:val="0"/>
                    <w:lang w:val="en-US"/>
                    <w14:ligatures w14:val="none"/>
                  </w:rPr>
                  <m:t xml:space="preserve"> </m:t>
                </m:r>
              </m:den>
            </m:f>
          </m:e>
        </m:d>
        <m:r>
          <w:rPr>
            <w:rFonts w:ascii="Cambria Math" w:eastAsiaTheme="minorEastAsia" w:hAnsi="Cambria Math" w:cs="Arial"/>
          </w:rPr>
          <m:t>=</m:t>
        </m:r>
        <m:d>
          <m:dPr>
            <m:ctrlPr>
              <w:rPr>
                <w:rFonts w:ascii="Cambria Math" w:eastAsiaTheme="minorEastAsia" w:hAnsi="Cambria Math" w:cs="Arial"/>
              </w:rPr>
            </m:ctrlPr>
          </m:dPr>
          <m:e>
            <m:f>
              <m:fPr>
                <m:ctrlPr>
                  <w:rPr>
                    <w:rFonts w:ascii="Cambria Math" w:eastAsiaTheme="minorEastAsia" w:hAnsi="Cambria Math" w:cs="Arial"/>
                  </w:rPr>
                </m:ctrlPr>
              </m:fPr>
              <m:num>
                <m:r>
                  <w:rPr>
                    <w:rFonts w:ascii="Cambria Math" w:eastAsiaTheme="minorEastAsia" w:hAnsi="Cambria Math" w:cs="Arial"/>
                  </w:rPr>
                  <m:t>£1,000,000</m:t>
                </m:r>
              </m:num>
              <m:den>
                <m:r>
                  <w:rPr>
                    <w:rFonts w:ascii="Cambria Math" w:eastAsiaTheme="minorEastAsia" w:hAnsi="Cambria Math" w:cs="Arial"/>
                  </w:rPr>
                  <m:t>£25,000,000</m:t>
                </m:r>
              </m:den>
            </m:f>
          </m:e>
        </m:d>
        <m:r>
          <w:rPr>
            <w:rFonts w:ascii="Cambria Math" w:eastAsiaTheme="minorEastAsia" w:hAnsi="Cambria Math" w:cs="Arial"/>
          </w:rPr>
          <m:t>×100=</m:t>
        </m:r>
        <m:r>
          <m:rPr>
            <m:sty m:val="b"/>
          </m:rPr>
          <w:rPr>
            <w:rFonts w:ascii="Cambria Math" w:eastAsiaTheme="minorEastAsia" w:hAnsi="Cambria Math" w:cs="Arial"/>
          </w:rPr>
          <m:t>4.00%</m:t>
        </m:r>
      </m:oMath>
    </w:p>
    <w:p w14:paraId="3616F827" w14:textId="77777777" w:rsidR="00A7362D" w:rsidRPr="00611CB9" w:rsidRDefault="00A7362D" w:rsidP="00A7362D">
      <w:pPr>
        <w:pStyle w:val="ListParagraph"/>
        <w:rPr>
          <w:rFonts w:ascii="Arial" w:eastAsiaTheme="minorEastAsia" w:hAnsi="Arial" w:cs="Arial"/>
        </w:rPr>
      </w:pPr>
    </w:p>
    <w:p w14:paraId="2A3AB720"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b/>
        </w:rPr>
        <w:t>Net Present Value (NPV):</w:t>
      </w:r>
      <w:r w:rsidRPr="00611CB9">
        <w:rPr>
          <w:rFonts w:ascii="Arial" w:eastAsiaTheme="minorEastAsia" w:hAnsi="Arial" w:cs="Arial"/>
        </w:rPr>
        <w:t xml:space="preserve"> Project B's discounted capital present value could be determined using the normal cumulative present value interest factor for an Annuity </w:t>
      </w:r>
      <m:oMath>
        <m:r>
          <w:rPr>
            <w:rFonts w:ascii="Cambria Math" w:eastAsiaTheme="minorEastAsia" w:hAnsi="Cambria Math" w:cs="Arial"/>
          </w:rPr>
          <m:t>(</m:t>
        </m:r>
        <m:sSub>
          <m:sSubPr>
            <m:ctrlPr>
              <w:rPr>
                <w:rFonts w:ascii="Cambria Math" w:eastAsiaTheme="minorEastAsia" w:hAnsi="Cambria Math" w:cs="Arial"/>
              </w:rPr>
            </m:ctrlPr>
          </m:sSubPr>
          <m:e>
            <m:r>
              <m:rPr>
                <m:nor/>
              </m:rPr>
              <w:rPr>
                <w:rFonts w:ascii="Arial" w:eastAsiaTheme="minorEastAsia" w:hAnsi="Arial" w:cs="Arial"/>
              </w:rPr>
              <m:t>PVIFA</m:t>
            </m:r>
          </m:e>
          <m:sub>
            <m:r>
              <w:rPr>
                <w:rFonts w:ascii="Cambria Math" w:eastAsiaTheme="minorEastAsia" w:hAnsi="Cambria Math" w:cs="Arial"/>
              </w:rPr>
              <m:t>8%,5y</m:t>
            </m:r>
          </m:sub>
        </m:sSub>
      </m:oMath>
      <w:r w:rsidRPr="00611CB9">
        <w:rPr>
          <w:rFonts w:ascii="Arial" w:eastAsiaTheme="minorEastAsia" w:hAnsi="Arial" w:cs="Arial"/>
        </w:rPr>
        <w:t xml:space="preserve"> = 3.9927) as it in ordinary annuity.</w:t>
      </w:r>
    </w:p>
    <w:p w14:paraId="299020FD" w14:textId="77777777" w:rsidR="00A7362D" w:rsidRPr="00611CB9" w:rsidRDefault="00A7362D" w:rsidP="00A7362D">
      <w:pPr>
        <w:pStyle w:val="ListParagraph"/>
        <w:numPr>
          <w:ilvl w:val="0"/>
          <w:numId w:val="9"/>
        </w:numPr>
        <w:spacing w:line="360" w:lineRule="auto"/>
        <w:rPr>
          <w:rFonts w:ascii="Arial" w:eastAsiaTheme="minorEastAsia" w:hAnsi="Arial" w:cs="Arial"/>
        </w:rPr>
      </w:pPr>
      <w:r w:rsidRPr="00611CB9">
        <w:rPr>
          <w:rFonts w:ascii="Arial" w:eastAsiaTheme="minorEastAsia" w:hAnsi="Arial" w:cs="Arial"/>
        </w:rPr>
        <w:t xml:space="preserve">Aggregate Present Value = Annual Cash Flow * </w:t>
      </w:r>
      <m:oMath>
        <m:sSub>
          <m:sSubPr>
            <m:ctrlPr>
              <w:rPr>
                <w:rFonts w:ascii="Cambria Math" w:eastAsiaTheme="minorEastAsia" w:hAnsi="Cambria Math" w:cs="Arial"/>
              </w:rPr>
            </m:ctrlPr>
          </m:sSubPr>
          <m:e>
            <m:r>
              <m:rPr>
                <m:nor/>
              </m:rPr>
              <w:rPr>
                <w:rFonts w:ascii="Arial" w:eastAsiaTheme="minorEastAsia" w:hAnsi="Arial" w:cs="Arial"/>
              </w:rPr>
              <m:t>PVIFA</m:t>
            </m:r>
          </m:e>
          <m:sub>
            <m:r>
              <w:rPr>
                <w:rFonts w:ascii="Cambria Math" w:eastAsiaTheme="minorEastAsia" w:hAnsi="Cambria Math" w:cs="Arial"/>
              </w:rPr>
              <m:t>8%,5y</m:t>
            </m:r>
          </m:sub>
        </m:sSub>
      </m:oMath>
    </w:p>
    <w:p w14:paraId="194E6600" w14:textId="77777777" w:rsidR="00A7362D" w:rsidRPr="00611CB9" w:rsidRDefault="00A7362D" w:rsidP="00A7362D">
      <w:pPr>
        <w:pStyle w:val="ListParagraph"/>
        <w:numPr>
          <w:ilvl w:val="0"/>
          <w:numId w:val="9"/>
        </w:numPr>
        <w:spacing w:line="360" w:lineRule="auto"/>
        <w:rPr>
          <w:rFonts w:ascii="Arial" w:eastAsiaTheme="minorEastAsia" w:hAnsi="Arial" w:cs="Arial"/>
        </w:rPr>
      </w:pPr>
      <w:r w:rsidRPr="00611CB9">
        <w:rPr>
          <w:rFonts w:ascii="Arial" w:eastAsiaTheme="minorEastAsia" w:hAnsi="Arial" w:cs="Arial"/>
        </w:rPr>
        <w:t xml:space="preserve">Aggregate Present Value = </w:t>
      </w:r>
      <m:oMath>
        <m:r>
          <m:rPr>
            <m:sty m:val="p"/>
          </m:rPr>
          <w:rPr>
            <w:rFonts w:ascii="Cambria Math" w:eastAsiaTheme="minorEastAsia" w:hAnsi="Cambria Math" w:cs="Arial"/>
            <w:kern w:val="0"/>
            <w:lang w:val="en-US"/>
            <w14:ligatures w14:val="none"/>
          </w:rPr>
          <m:t>£</m:t>
        </m:r>
      </m:oMath>
      <w:r w:rsidRPr="00611CB9">
        <w:rPr>
          <w:rFonts w:ascii="Arial" w:eastAsiaTheme="minorEastAsia" w:hAnsi="Arial" w:cs="Arial"/>
          <w:kern w:val="0"/>
          <w:lang w:val="en-US"/>
          <w14:ligatures w14:val="none"/>
        </w:rPr>
        <w:t xml:space="preserve">11,000,000 * 3.9927 = </w:t>
      </w:r>
      <m:oMath>
        <m:r>
          <m:rPr>
            <m:sty m:val="p"/>
          </m:rPr>
          <w:rPr>
            <w:rFonts w:ascii="Cambria Math" w:eastAsiaTheme="minorEastAsia" w:hAnsi="Cambria Math" w:cs="Arial"/>
            <w:kern w:val="0"/>
            <w:lang w:val="en-US"/>
            <w14:ligatures w14:val="none"/>
          </w:rPr>
          <m:t>£</m:t>
        </m:r>
      </m:oMath>
      <w:r w:rsidRPr="00611CB9">
        <w:rPr>
          <w:rFonts w:ascii="Arial" w:eastAsiaTheme="minorEastAsia" w:hAnsi="Arial" w:cs="Arial"/>
          <w:kern w:val="0"/>
          <w:lang w:val="en-US"/>
          <w14:ligatures w14:val="none"/>
        </w:rPr>
        <w:t>43,919,700</w:t>
      </w:r>
    </w:p>
    <w:p w14:paraId="6FABCA8A" w14:textId="77777777" w:rsidR="00A7362D" w:rsidRPr="00611CB9" w:rsidRDefault="00000000" w:rsidP="00A7362D">
      <w:pPr>
        <w:pStyle w:val="ListParagraph"/>
        <w:numPr>
          <w:ilvl w:val="0"/>
          <w:numId w:val="9"/>
        </w:numPr>
        <w:spacing w:line="360" w:lineRule="auto"/>
        <w:rPr>
          <w:rFonts w:ascii="Arial" w:eastAsiaTheme="minorEastAsia" w:hAnsi="Arial" w:cs="Arial"/>
        </w:rPr>
      </w:pPr>
      <m:oMath>
        <m:sSub>
          <m:sSubPr>
            <m:ctrlPr>
              <w:rPr>
                <w:rFonts w:ascii="Cambria Math" w:eastAsiaTheme="minorEastAsia" w:hAnsi="Cambria Math" w:cs="Arial"/>
              </w:rPr>
            </m:ctrlPr>
          </m:sSubPr>
          <m:e>
            <m:r>
              <m:rPr>
                <m:nor/>
              </m:rPr>
              <w:rPr>
                <w:rFonts w:ascii="Arial" w:eastAsiaTheme="minorEastAsia" w:hAnsi="Arial" w:cs="Arial"/>
              </w:rPr>
              <m:t>NPV</m:t>
            </m:r>
          </m:e>
          <m:sub>
            <m:r>
              <w:rPr>
                <w:rFonts w:ascii="Cambria Math" w:eastAsiaTheme="minorEastAsia" w:hAnsi="Cambria Math" w:cs="Arial"/>
              </w:rPr>
              <m:t>B</m:t>
            </m:r>
          </m:sub>
        </m:sSub>
      </m:oMath>
      <w:r w:rsidR="00A7362D" w:rsidRPr="00611CB9">
        <w:rPr>
          <w:rFonts w:ascii="Arial" w:eastAsiaTheme="minorEastAsia" w:hAnsi="Arial" w:cs="Arial"/>
        </w:rPr>
        <w:t xml:space="preserve"> = 43.9197 – 50 = </w:t>
      </w:r>
      <m:oMath>
        <m:r>
          <m:rPr>
            <m:sty m:val="bi"/>
          </m:rPr>
          <w:rPr>
            <w:rFonts w:ascii="Cambria Math" w:eastAsiaTheme="minorEastAsia" w:hAnsi="Cambria Math" w:cs="Arial"/>
          </w:rPr>
          <m:t>-</m:t>
        </m:r>
        <m:r>
          <m:rPr>
            <m:sty m:val="b"/>
          </m:rPr>
          <w:rPr>
            <w:rFonts w:ascii="Cambria Math" w:eastAsiaTheme="minorEastAsia" w:hAnsi="Cambria Math" w:cs="Arial"/>
            <w:kern w:val="0"/>
            <w:lang w:val="en-US"/>
            <w14:ligatures w14:val="none"/>
          </w:rPr>
          <m:t>£</m:t>
        </m:r>
      </m:oMath>
      <w:r w:rsidR="00A7362D" w:rsidRPr="00611CB9">
        <w:rPr>
          <w:rFonts w:ascii="Arial" w:eastAsiaTheme="minorEastAsia" w:hAnsi="Arial" w:cs="Arial"/>
          <w:b/>
          <w:kern w:val="0"/>
          <w:lang w:val="en-US"/>
          <w14:ligatures w14:val="none"/>
        </w:rPr>
        <w:t>6,080,300</w:t>
      </w:r>
    </w:p>
    <w:p w14:paraId="2C860758"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 xml:space="preserve">Profitability Index (PI): </w:t>
      </w:r>
    </w:p>
    <w:p w14:paraId="2CD49482" w14:textId="77777777" w:rsidR="00A7362D" w:rsidRPr="00611CB9" w:rsidRDefault="00000000" w:rsidP="00A7362D">
      <w:pPr>
        <w:pStyle w:val="ListParagraph"/>
        <w:numPr>
          <w:ilvl w:val="0"/>
          <w:numId w:val="10"/>
        </w:numPr>
        <w:spacing w:line="360" w:lineRule="auto"/>
        <w:rPr>
          <w:rFonts w:ascii="Arial" w:eastAsiaTheme="minorEastAsia" w:hAnsi="Arial" w:cs="Arial"/>
        </w:rPr>
      </w:pPr>
      <m:oMath>
        <m:sSub>
          <m:sSubPr>
            <m:ctrlPr>
              <w:rPr>
                <w:rFonts w:ascii="Cambria Math" w:eastAsiaTheme="minorEastAsia" w:hAnsi="Cambria Math" w:cs="Arial"/>
              </w:rPr>
            </m:ctrlPr>
          </m:sSubPr>
          <m:e>
            <m:r>
              <m:rPr>
                <m:nor/>
              </m:rPr>
              <w:rPr>
                <w:rFonts w:ascii="Arial" w:eastAsiaTheme="minorEastAsia" w:hAnsi="Arial" w:cs="Arial"/>
              </w:rPr>
              <m:t>PI</m:t>
            </m:r>
          </m:e>
          <m:sub>
            <m:r>
              <w:rPr>
                <w:rFonts w:ascii="Cambria Math" w:eastAsiaTheme="minorEastAsia" w:hAnsi="Cambria Math" w:cs="Arial"/>
              </w:rPr>
              <m:t>B</m:t>
            </m:r>
          </m:sub>
        </m:sSub>
        <m:r>
          <w:rPr>
            <w:rFonts w:ascii="Cambria Math" w:hAnsi="Cambria Math" w:cs="Arial"/>
          </w:rPr>
          <m:t>=</m:t>
        </m:r>
        <m:f>
          <m:fPr>
            <m:ctrlPr>
              <w:rPr>
                <w:rFonts w:ascii="Cambria Math" w:hAnsi="Cambria Math" w:cs="Arial"/>
              </w:rPr>
            </m:ctrlPr>
          </m:fPr>
          <m:num>
            <m:r>
              <m:rPr>
                <m:nor/>
              </m:rPr>
              <w:rPr>
                <w:rFonts w:ascii="Arial" w:hAnsi="Arial" w:cs="Arial"/>
              </w:rPr>
              <m:t>Aggregate Present Value</m:t>
            </m:r>
          </m:num>
          <m:den>
            <m:r>
              <m:rPr>
                <m:nor/>
              </m:rPr>
              <w:rPr>
                <w:rFonts w:ascii="Arial" w:hAnsi="Arial" w:cs="Arial"/>
              </w:rPr>
              <m:t>Initial Investment</m:t>
            </m:r>
          </m:den>
        </m:f>
        <m:r>
          <w:rPr>
            <w:rFonts w:ascii="Cambria Math" w:hAnsi="Cambria Math" w:cs="Arial"/>
          </w:rPr>
          <m:t>=</m:t>
        </m:r>
        <m:f>
          <m:fPr>
            <m:ctrlPr>
              <w:rPr>
                <w:rFonts w:ascii="Cambria Math" w:hAnsi="Cambria Math" w:cs="Arial"/>
              </w:rPr>
            </m:ctrlPr>
          </m:fPr>
          <m:num>
            <m:r>
              <w:rPr>
                <w:rFonts w:ascii="Cambria Math" w:hAnsi="Cambria Math" w:cs="Arial"/>
              </w:rPr>
              <m:t>£43.9197m</m:t>
            </m:r>
          </m:num>
          <m:den>
            <m:r>
              <w:rPr>
                <w:rFonts w:ascii="Cambria Math" w:hAnsi="Cambria Math" w:cs="Arial"/>
              </w:rPr>
              <m:t>£50.0000m</m:t>
            </m:r>
          </m:den>
        </m:f>
      </m:oMath>
      <w:r w:rsidR="00A7362D" w:rsidRPr="00611CB9">
        <w:rPr>
          <w:rFonts w:ascii="Arial" w:eastAsiaTheme="minorEastAsia" w:hAnsi="Arial" w:cs="Arial"/>
        </w:rPr>
        <w:t xml:space="preserve">= </w:t>
      </w:r>
      <w:r w:rsidR="00A7362D" w:rsidRPr="00611CB9">
        <w:rPr>
          <w:rFonts w:ascii="Arial" w:eastAsiaTheme="minorEastAsia" w:hAnsi="Arial" w:cs="Arial"/>
          <w:b/>
        </w:rPr>
        <w:t>0.878</w:t>
      </w:r>
    </w:p>
    <w:p w14:paraId="72521B63" w14:textId="77777777" w:rsidR="00A7362D" w:rsidRPr="00611CB9" w:rsidRDefault="00A7362D" w:rsidP="00A7362D">
      <w:pPr>
        <w:pStyle w:val="ListParagraph"/>
        <w:spacing w:line="360" w:lineRule="auto"/>
        <w:ind w:left="0"/>
        <w:rPr>
          <w:rFonts w:ascii="Arial" w:eastAsiaTheme="minorEastAsia" w:hAnsi="Arial" w:cs="Arial"/>
          <w:u w:val="single"/>
        </w:rPr>
      </w:pPr>
    </w:p>
    <w:p w14:paraId="52F18ED6" w14:textId="77777777" w:rsidR="00A7362D" w:rsidRPr="00611CB9" w:rsidRDefault="00A7362D" w:rsidP="00A7362D">
      <w:pPr>
        <w:pStyle w:val="ListParagraph"/>
        <w:spacing w:line="360" w:lineRule="auto"/>
        <w:ind w:left="0"/>
        <w:rPr>
          <w:rFonts w:ascii="Arial" w:eastAsiaTheme="minorEastAsia" w:hAnsi="Arial" w:cs="Arial"/>
          <w:b/>
        </w:rPr>
      </w:pPr>
      <w:r w:rsidRPr="00611CB9">
        <w:rPr>
          <w:rFonts w:ascii="Arial" w:eastAsiaTheme="minorEastAsia" w:hAnsi="Arial" w:cs="Arial"/>
          <w:b/>
        </w:rPr>
        <w:t>Internal Rate of Return (IRR):</w:t>
      </w:r>
    </w:p>
    <w:p w14:paraId="18019AE9" w14:textId="77777777" w:rsidR="00A7362D" w:rsidRPr="00611CB9" w:rsidRDefault="00A7362D" w:rsidP="00A7362D">
      <w:pPr>
        <w:pStyle w:val="ListParagraph"/>
        <w:numPr>
          <w:ilvl w:val="0"/>
          <w:numId w:val="10"/>
        </w:numPr>
        <w:spacing w:line="360" w:lineRule="auto"/>
        <w:rPr>
          <w:rFonts w:ascii="Arial" w:eastAsiaTheme="minorEastAsia" w:hAnsi="Arial" w:cs="Arial"/>
        </w:rPr>
      </w:pPr>
      <w:r w:rsidRPr="00611CB9">
        <w:rPr>
          <w:rFonts w:ascii="Arial" w:eastAsiaTheme="minorEastAsia" w:hAnsi="Arial" w:cs="Arial"/>
        </w:rPr>
        <w:t>The true internal return can be determined by isolating the annuity factor (PVIFA = 50/11 = 4.5455) and finding financial data for the comparable rate.</w:t>
      </w:r>
    </w:p>
    <w:p w14:paraId="10A09718" w14:textId="77777777" w:rsidR="00A7362D" w:rsidRPr="00611CB9" w:rsidRDefault="00000000" w:rsidP="00A7362D">
      <w:pPr>
        <w:pStyle w:val="ListParagraph"/>
        <w:numPr>
          <w:ilvl w:val="0"/>
          <w:numId w:val="10"/>
        </w:numPr>
        <w:spacing w:line="360" w:lineRule="auto"/>
        <w:rPr>
          <w:rFonts w:ascii="Arial" w:eastAsiaTheme="minorEastAsia" w:hAnsi="Arial" w:cs="Arial"/>
        </w:rPr>
      </w:pPr>
      <m:oMath>
        <m:sSub>
          <m:sSubPr>
            <m:ctrlPr>
              <w:rPr>
                <w:rFonts w:ascii="Cambria Math" w:eastAsiaTheme="minorEastAsia" w:hAnsi="Cambria Math" w:cs="Arial"/>
              </w:rPr>
            </m:ctrlPr>
          </m:sSubPr>
          <m:e>
            <m:r>
              <m:rPr>
                <m:nor/>
              </m:rPr>
              <w:rPr>
                <w:rFonts w:ascii="Arial" w:eastAsiaTheme="minorEastAsia" w:hAnsi="Arial" w:cs="Arial"/>
              </w:rPr>
              <m:t>IRR</m:t>
            </m:r>
          </m:e>
          <m:sub>
            <m:r>
              <w:rPr>
                <w:rFonts w:ascii="Cambria Math" w:eastAsiaTheme="minorEastAsia" w:hAnsi="Cambria Math" w:cs="Arial"/>
              </w:rPr>
              <m:t>B</m:t>
            </m:r>
          </m:sub>
        </m:sSub>
        <m:r>
          <w:rPr>
            <w:rFonts w:ascii="Cambria Math" w:eastAsiaTheme="minorEastAsia" w:hAnsi="Cambria Math" w:cs="Arial"/>
          </w:rPr>
          <m:t>=</m:t>
        </m:r>
        <m:r>
          <m:rPr>
            <m:sty m:val="b"/>
          </m:rPr>
          <w:rPr>
            <w:rFonts w:ascii="Cambria Math" w:eastAsiaTheme="minorEastAsia" w:hAnsi="Cambria Math" w:cs="Arial"/>
          </w:rPr>
          <m:t>3.61%</m:t>
        </m:r>
      </m:oMath>
    </w:p>
    <w:p w14:paraId="7BD11AE7" w14:textId="77777777" w:rsidR="00A7362D" w:rsidRPr="00611CB9" w:rsidRDefault="00A7362D" w:rsidP="00A7362D">
      <w:pPr>
        <w:spacing w:line="360" w:lineRule="auto"/>
        <w:ind w:left="360" w:hanging="360"/>
        <w:rPr>
          <w:rFonts w:ascii="Arial" w:eastAsiaTheme="minorEastAsia" w:hAnsi="Arial" w:cs="Arial"/>
          <w:b/>
        </w:rPr>
      </w:pPr>
      <w:r w:rsidRPr="00611CB9">
        <w:rPr>
          <w:rFonts w:ascii="Arial" w:eastAsiaTheme="minorEastAsia" w:hAnsi="Arial" w:cs="Arial"/>
          <w:b/>
        </w:rPr>
        <w:t>3. Project C</w:t>
      </w:r>
    </w:p>
    <w:p w14:paraId="2002100C" w14:textId="02F30DA2" w:rsidR="00A7362D" w:rsidRPr="00611CB9" w:rsidRDefault="00A7362D" w:rsidP="00A7362D">
      <w:pPr>
        <w:spacing w:line="360" w:lineRule="auto"/>
        <w:rPr>
          <w:rFonts w:ascii="Arial" w:eastAsiaTheme="minorEastAsia" w:hAnsi="Arial" w:cs="Arial"/>
          <w:kern w:val="0"/>
          <w:lang w:val="en-US"/>
          <w14:ligatures w14:val="none"/>
        </w:rPr>
      </w:pPr>
      <w:r w:rsidRPr="00611CB9">
        <w:rPr>
          <w:rFonts w:ascii="Arial" w:eastAsiaTheme="minorEastAsia" w:hAnsi="Arial" w:cs="Arial"/>
        </w:rPr>
        <w:t>Project C divides its financial returns into Year 3 (</w:t>
      </w:r>
      <w:r w:rsidRPr="00611CB9">
        <w:rPr>
          <w:rFonts w:ascii="Arial" w:eastAsiaTheme="minorEastAsia" w:hAnsi="Arial" w:cs="Arial"/>
          <w:kern w:val="0"/>
          <w:lang w:val="en-US"/>
          <w14:ligatures w14:val="none"/>
        </w:rPr>
        <w:t>£20m) and Year 4 (£25m), showing a J-curve distribution model.</w:t>
      </w:r>
    </w:p>
    <w:p w14:paraId="0A2E6737" w14:textId="77777777" w:rsidR="00A7362D" w:rsidRPr="00611CB9" w:rsidRDefault="00A7362D" w:rsidP="00A7362D">
      <w:pPr>
        <w:spacing w:line="360" w:lineRule="auto"/>
        <w:rPr>
          <w:rFonts w:ascii="Arial" w:eastAsiaTheme="minorEastAsia" w:hAnsi="Arial" w:cs="Arial"/>
          <w:b/>
          <w:kern w:val="0"/>
          <w:lang w:val="en-US"/>
          <w14:ligatures w14:val="none"/>
        </w:rPr>
      </w:pPr>
      <w:r w:rsidRPr="00611CB9">
        <w:rPr>
          <w:rFonts w:ascii="Arial" w:eastAsiaTheme="minorEastAsia" w:hAnsi="Arial" w:cs="Arial"/>
          <w:b/>
          <w:kern w:val="0"/>
          <w:lang w:val="en-US"/>
          <w14:ligatures w14:val="none"/>
        </w:rPr>
        <w:t>Payback period (PBP):</w:t>
      </w:r>
    </w:p>
    <w:p w14:paraId="313A6E11" w14:textId="77777777" w:rsidR="00A7362D" w:rsidRPr="00611CB9" w:rsidRDefault="00A7362D" w:rsidP="00A7362D">
      <w:pPr>
        <w:pStyle w:val="ListParagraph"/>
        <w:numPr>
          <w:ilvl w:val="0"/>
          <w:numId w:val="5"/>
        </w:num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Year 1 Inflow: £5,000,000 (Cumulative: £5m)</w:t>
      </w:r>
    </w:p>
    <w:p w14:paraId="299D47C9" w14:textId="77777777" w:rsidR="00A7362D" w:rsidRPr="00611CB9" w:rsidRDefault="00A7362D" w:rsidP="00A7362D">
      <w:pPr>
        <w:pStyle w:val="ListParagraph"/>
        <w:numPr>
          <w:ilvl w:val="0"/>
          <w:numId w:val="5"/>
        </w:num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Year 2 Inflow: £10,000,000 (Cumulative: £15m)</w:t>
      </w:r>
    </w:p>
    <w:p w14:paraId="11D7BA0C" w14:textId="77777777" w:rsidR="00A7362D" w:rsidRPr="00611CB9" w:rsidRDefault="00A7362D" w:rsidP="00A7362D">
      <w:pPr>
        <w:pStyle w:val="ListParagraph"/>
        <w:numPr>
          <w:ilvl w:val="0"/>
          <w:numId w:val="5"/>
        </w:num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Year 3 Inflow: £20,000,000 (Cumulative: £35m)</w:t>
      </w:r>
    </w:p>
    <w:p w14:paraId="1C09118A" w14:textId="77777777" w:rsidR="00A7362D" w:rsidRPr="00611CB9" w:rsidRDefault="00A7362D" w:rsidP="00A7362D">
      <w:pPr>
        <w:pStyle w:val="ListParagraph"/>
        <w:numPr>
          <w:ilvl w:val="0"/>
          <w:numId w:val="5"/>
        </w:num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Remaining cash needed at the end of Year 3: £50,000,000 - £35,000,000 = £15,000,000</w:t>
      </w:r>
    </w:p>
    <w:p w14:paraId="22F290EF" w14:textId="77777777" w:rsidR="00A7362D" w:rsidRPr="00611CB9" w:rsidRDefault="00A7362D" w:rsidP="00A7362D">
      <w:pPr>
        <w:pStyle w:val="ListParagraph"/>
        <w:numPr>
          <w:ilvl w:val="0"/>
          <w:numId w:val="5"/>
        </w:num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 xml:space="preserve">Year 4 cash inflow: £25,000,000 </w:t>
      </w:r>
    </w:p>
    <w:p w14:paraId="4EAEE456" w14:textId="77777777" w:rsidR="00A7362D" w:rsidRPr="00611CB9" w:rsidRDefault="00000000" w:rsidP="00A7362D">
      <w:pPr>
        <w:pStyle w:val="ListParagraph"/>
        <w:spacing w:line="360" w:lineRule="auto"/>
        <w:rPr>
          <w:rFonts w:ascii="Arial" w:eastAsiaTheme="minorEastAsia" w:hAnsi="Arial" w:cs="Arial"/>
        </w:rPr>
      </w:pPr>
      <m:oMathPara>
        <m:oMath>
          <m:sSub>
            <m:sSubPr>
              <m:ctrlPr>
                <w:rPr>
                  <w:rFonts w:ascii="Cambria Math" w:hAnsi="Cambria Math" w:cs="Arial"/>
                </w:rPr>
              </m:ctrlPr>
            </m:sSubPr>
            <m:e>
              <m:r>
                <m:rPr>
                  <m:nor/>
                </m:rPr>
                <w:rPr>
                  <w:rFonts w:ascii="Arial" w:hAnsi="Arial" w:cs="Arial"/>
                </w:rPr>
                <m:t>PBP</m:t>
              </m:r>
            </m:e>
            <m:sub>
              <m:r>
                <w:rPr>
                  <w:rFonts w:ascii="Cambria Math" w:hAnsi="Cambria Math" w:cs="Arial"/>
                </w:rPr>
                <m:t>C</m:t>
              </m:r>
            </m:sub>
          </m:sSub>
          <m:r>
            <w:rPr>
              <w:rFonts w:ascii="Cambria Math" w:hAnsi="Cambria Math" w:cs="Arial"/>
            </w:rPr>
            <m:t>=3</m:t>
          </m:r>
          <m:r>
            <m:rPr>
              <m:nor/>
            </m:rPr>
            <w:rPr>
              <w:rFonts w:ascii="Arial" w:hAnsi="Arial" w:cs="Arial"/>
            </w:rPr>
            <m:t> Years</m:t>
          </m:r>
          <m:r>
            <w:rPr>
              <w:rFonts w:ascii="Cambria Math" w:hAnsi="Cambria Math" w:cs="Arial"/>
            </w:rPr>
            <m:t>+</m:t>
          </m:r>
          <m:d>
            <m:dPr>
              <m:ctrlPr>
                <w:rPr>
                  <w:rFonts w:ascii="Cambria Math" w:hAnsi="Cambria Math" w:cs="Arial"/>
                </w:rPr>
              </m:ctrlPr>
            </m:dPr>
            <m:e>
              <m:f>
                <m:fPr>
                  <m:ctrlPr>
                    <w:rPr>
                      <w:rFonts w:ascii="Cambria Math" w:hAnsi="Cambria Math" w:cs="Arial"/>
                    </w:rPr>
                  </m:ctrlPr>
                </m:fPr>
                <m:num>
                  <m:r>
                    <w:rPr>
                      <w:rFonts w:ascii="Cambria Math" w:hAnsi="Cambria Math" w:cs="Arial"/>
                    </w:rPr>
                    <m:t>£15</m:t>
                  </m:r>
                  <m:r>
                    <m:rPr>
                      <m:nor/>
                    </m:rPr>
                    <w:rPr>
                      <w:rFonts w:ascii="Arial" w:hAnsi="Arial" w:cs="Arial"/>
                    </w:rPr>
                    <m:t>m</m:t>
                  </m:r>
                </m:num>
                <m:den>
                  <m:r>
                    <w:rPr>
                      <w:rFonts w:ascii="Cambria Math" w:hAnsi="Cambria Math" w:cs="Arial"/>
                    </w:rPr>
                    <m:t>£25</m:t>
                  </m:r>
                  <m:r>
                    <m:rPr>
                      <m:nor/>
                    </m:rPr>
                    <w:rPr>
                      <w:rFonts w:ascii="Arial" w:hAnsi="Arial" w:cs="Arial"/>
                    </w:rPr>
                    <m:t>m</m:t>
                  </m:r>
                </m:den>
              </m:f>
            </m:e>
          </m:d>
          <m:r>
            <w:rPr>
              <w:rFonts w:ascii="Cambria Math" w:hAnsi="Cambria Math" w:cs="Arial"/>
            </w:rPr>
            <m:t>=</m:t>
          </m:r>
          <m:r>
            <m:rPr>
              <m:sty m:val="b"/>
            </m:rPr>
            <w:rPr>
              <w:rFonts w:ascii="Cambria Math" w:hAnsi="Cambria Math" w:cs="Arial"/>
            </w:rPr>
            <m:t>3.60</m:t>
          </m:r>
          <m:r>
            <m:rPr>
              <m:nor/>
            </m:rPr>
            <w:rPr>
              <w:rFonts w:ascii="Arial" w:hAnsi="Arial" w:cs="Arial"/>
            </w:rPr>
            <m:t> Years</m:t>
          </m:r>
        </m:oMath>
      </m:oMathPara>
    </w:p>
    <w:p w14:paraId="267A83F8" w14:textId="77777777" w:rsidR="00A7362D" w:rsidRPr="00611CB9" w:rsidRDefault="00A7362D" w:rsidP="00A7362D">
      <w:pPr>
        <w:pStyle w:val="ListParagraph"/>
        <w:spacing w:line="360" w:lineRule="auto"/>
        <w:rPr>
          <w:rFonts w:ascii="Arial" w:eastAsiaTheme="minorEastAsia" w:hAnsi="Arial" w:cs="Arial"/>
        </w:rPr>
      </w:pPr>
    </w:p>
    <w:p w14:paraId="45259AEF"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Accounting Rate of Return (ARR):</w:t>
      </w:r>
    </w:p>
    <w:p w14:paraId="4EB5947F" w14:textId="77777777" w:rsidR="00A7362D" w:rsidRPr="00611CB9" w:rsidRDefault="00A7362D" w:rsidP="00A7362D">
      <w:pPr>
        <w:pStyle w:val="ListParagraph"/>
        <w:numPr>
          <w:ilvl w:val="0"/>
          <w:numId w:val="6"/>
        </w:num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Total 5-year Cash Inflow = 5+10+20+25+5 = £65,000,000</w:t>
      </w:r>
    </w:p>
    <w:p w14:paraId="270EA587" w14:textId="77777777" w:rsidR="00A7362D" w:rsidRPr="00611CB9" w:rsidRDefault="00A7362D" w:rsidP="00A7362D">
      <w:pPr>
        <w:pStyle w:val="ListParagraph"/>
        <w:rPr>
          <w:rFonts w:ascii="Arial" w:eastAsiaTheme="minorEastAsia" w:hAnsi="Arial" w:cs="Arial"/>
          <w:kern w:val="0"/>
          <w:lang w:val="en-US"/>
          <w14:ligatures w14:val="none"/>
        </w:rPr>
      </w:pPr>
    </w:p>
    <w:p w14:paraId="77F0FA44" w14:textId="77777777" w:rsidR="00A7362D" w:rsidRPr="00611CB9" w:rsidRDefault="00A7362D" w:rsidP="00A7362D">
      <w:pPr>
        <w:pStyle w:val="ListParagraph"/>
        <w:numPr>
          <w:ilvl w:val="0"/>
          <w:numId w:val="6"/>
        </w:num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Total 5-year Net Profit = Total Cash Inflow  -  Total Depreciation = 65 – 50 = £15,000,000</w:t>
      </w:r>
    </w:p>
    <w:p w14:paraId="72BDF4D1" w14:textId="77777777" w:rsidR="00A7362D" w:rsidRPr="00611CB9" w:rsidRDefault="00A7362D" w:rsidP="00A7362D">
      <w:pPr>
        <w:rPr>
          <w:rFonts w:ascii="Arial" w:eastAsiaTheme="minorEastAsia" w:hAnsi="Arial" w:cs="Arial"/>
          <w:kern w:val="0"/>
          <w:lang w:val="en-US"/>
          <w14:ligatures w14:val="none"/>
        </w:rPr>
      </w:pPr>
    </w:p>
    <w:p w14:paraId="7C65E857" w14:textId="0F70BEC2" w:rsidR="00A7362D" w:rsidRPr="00611CB9" w:rsidRDefault="00A7362D" w:rsidP="00A7362D">
      <w:pPr>
        <w:pStyle w:val="ListParagraph"/>
        <w:numPr>
          <w:ilvl w:val="0"/>
          <w:numId w:val="6"/>
        </w:numPr>
        <w:rPr>
          <w:rFonts w:ascii="Arial" w:eastAsiaTheme="minorEastAsia" w:hAnsi="Arial" w:cs="Arial"/>
          <w:kern w:val="0"/>
          <w:lang w:val="en-US"/>
          <w14:ligatures w14:val="none"/>
        </w:rPr>
      </w:pPr>
      <w:r w:rsidRPr="00611CB9">
        <w:rPr>
          <w:rFonts w:ascii="Arial" w:eastAsiaTheme="minorEastAsia" w:hAnsi="Arial" w:cs="Arial"/>
          <w:kern w:val="0"/>
          <w:lang w:val="en-US"/>
          <w14:ligatures w14:val="none"/>
        </w:rPr>
        <w:t xml:space="preserve">Average Annual Net Profit = </w:t>
      </w:r>
      <m:oMath>
        <m:f>
          <m:fPr>
            <m:ctrlPr>
              <w:rPr>
                <w:rFonts w:ascii="Cambria Math" w:eastAsiaTheme="minorEastAsia" w:hAnsi="Cambria Math" w:cs="Arial"/>
                <w:kern w:val="0"/>
                <w:lang w:val="en-US"/>
                <w14:ligatures w14:val="none"/>
              </w:rPr>
            </m:ctrlPr>
          </m:fPr>
          <m:num>
            <m:r>
              <m:rPr>
                <m:sty m:val="p"/>
              </m:rPr>
              <w:rPr>
                <w:rFonts w:ascii="Cambria Math" w:eastAsiaTheme="minorEastAsia" w:hAnsi="Cambria Math" w:cs="Arial"/>
                <w:kern w:val="0"/>
                <w:lang w:val="en-US"/>
                <w14:ligatures w14:val="none"/>
              </w:rPr>
              <m:t>£15,000,000</m:t>
            </m:r>
          </m:num>
          <m:den>
            <m:r>
              <m:rPr>
                <m:sty m:val="p"/>
              </m:rPr>
              <w:rPr>
                <w:rFonts w:ascii="Cambria Math" w:eastAsiaTheme="minorEastAsia" w:hAnsi="Cambria Math" w:cs="Arial"/>
                <w:kern w:val="0"/>
                <w:lang w:val="en-US"/>
                <w14:ligatures w14:val="none"/>
              </w:rPr>
              <m:t>5</m:t>
            </m:r>
          </m:den>
        </m:f>
        <m:r>
          <m:rPr>
            <m:sty m:val="p"/>
          </m:rPr>
          <w:rPr>
            <w:rFonts w:ascii="Cambria Math" w:eastAsiaTheme="minorEastAsia" w:hAnsi="Cambria Math" w:cs="Arial"/>
            <w:kern w:val="0"/>
            <w:lang w:val="en-US"/>
            <w14:ligatures w14:val="none"/>
          </w:rPr>
          <m:t>=£3,000,000</m:t>
        </m:r>
      </m:oMath>
    </w:p>
    <w:p w14:paraId="6C8F3987" w14:textId="77777777" w:rsidR="00A7362D" w:rsidRPr="00611CB9" w:rsidRDefault="00A7362D" w:rsidP="00A7362D">
      <w:pPr>
        <w:pStyle w:val="ListParagraph"/>
        <w:ind w:right="-694"/>
        <w:rPr>
          <w:rFonts w:ascii="Arial" w:eastAsiaTheme="minorEastAsia" w:hAnsi="Arial" w:cs="Arial"/>
          <w:kern w:val="0"/>
          <w:lang w:val="en-US"/>
          <w14:ligatures w14:val="none"/>
        </w:rPr>
      </w:pPr>
    </w:p>
    <w:p w14:paraId="4D9EEDD9" w14:textId="77777777" w:rsidR="00A7362D" w:rsidRPr="00611CB9" w:rsidRDefault="00000000" w:rsidP="00A7362D">
      <w:pPr>
        <w:pStyle w:val="ListParagraph"/>
        <w:numPr>
          <w:ilvl w:val="0"/>
          <w:numId w:val="6"/>
        </w:numPr>
        <w:spacing w:line="360" w:lineRule="auto"/>
        <w:rPr>
          <w:rFonts w:ascii="Arial" w:eastAsiaTheme="minorEastAsia" w:hAnsi="Arial" w:cs="Arial"/>
        </w:rPr>
      </w:pPr>
      <m:oMath>
        <m:sSub>
          <m:sSubPr>
            <m:ctrlPr>
              <w:rPr>
                <w:rFonts w:ascii="Cambria Math" w:eastAsiaTheme="minorEastAsia" w:hAnsi="Cambria Math" w:cs="Arial"/>
              </w:rPr>
            </m:ctrlPr>
          </m:sSubPr>
          <m:e>
            <m:r>
              <m:rPr>
                <m:nor/>
              </m:rPr>
              <w:rPr>
                <w:rFonts w:ascii="Arial" w:eastAsiaTheme="minorEastAsia" w:hAnsi="Arial" w:cs="Arial"/>
              </w:rPr>
              <m:t>ARR</m:t>
            </m:r>
          </m:e>
          <m:sub>
            <m:r>
              <w:rPr>
                <w:rFonts w:ascii="Cambria Math" w:eastAsiaTheme="minorEastAsia" w:hAnsi="Cambria Math" w:cs="Arial"/>
              </w:rPr>
              <m:t>A</m:t>
            </m:r>
          </m:sub>
        </m:sSub>
        <m:r>
          <w:rPr>
            <w:rFonts w:ascii="Cambria Math" w:eastAsiaTheme="minorEastAsia" w:hAnsi="Cambria Math" w:cs="Arial"/>
          </w:rPr>
          <m:t>=</m:t>
        </m:r>
        <m:d>
          <m:dPr>
            <m:ctrlPr>
              <w:rPr>
                <w:rFonts w:ascii="Cambria Math" w:eastAsiaTheme="minorEastAsia" w:hAnsi="Cambria Math" w:cs="Arial"/>
              </w:rPr>
            </m:ctrlPr>
          </m:dPr>
          <m:e>
            <m:f>
              <m:fPr>
                <m:ctrlPr>
                  <w:rPr>
                    <w:rFonts w:ascii="Cambria Math" w:eastAsiaTheme="minorEastAsia" w:hAnsi="Cambria Math" w:cs="Arial"/>
                    <w:kern w:val="0"/>
                    <w:lang w:val="en-US"/>
                    <w14:ligatures w14:val="none"/>
                  </w:rPr>
                </m:ctrlPr>
              </m:fPr>
              <m:num>
                <m:r>
                  <m:rPr>
                    <m:nor/>
                  </m:rPr>
                  <w:rPr>
                    <w:rFonts w:ascii="Arial" w:eastAsiaTheme="minorEastAsia" w:hAnsi="Arial" w:cs="Arial"/>
                    <w:kern w:val="0"/>
                    <w:lang w:val="en-US"/>
                    <w14:ligatures w14:val="none"/>
                  </w:rPr>
                  <m:t>Average Annual Net Profit</m:t>
                </m:r>
              </m:num>
              <m:den>
                <m:r>
                  <m:rPr>
                    <m:nor/>
                  </m:rPr>
                  <w:rPr>
                    <w:rFonts w:ascii="Arial" w:eastAsiaTheme="minorEastAsia" w:hAnsi="Arial" w:cs="Arial"/>
                    <w:kern w:val="0"/>
                    <w:lang w:val="en-US"/>
                    <w14:ligatures w14:val="none"/>
                  </w:rPr>
                  <m:t>Average Investment</m:t>
                </m:r>
                <m:r>
                  <w:rPr>
                    <w:rFonts w:ascii="Cambria Math" w:eastAsiaTheme="minorEastAsia" w:hAnsi="Cambria Math" w:cs="Arial"/>
                    <w:kern w:val="0"/>
                    <w:lang w:val="en-US"/>
                    <w14:ligatures w14:val="none"/>
                  </w:rPr>
                  <m:t xml:space="preserve"> </m:t>
                </m:r>
              </m:den>
            </m:f>
          </m:e>
        </m:d>
        <m:r>
          <w:rPr>
            <w:rFonts w:ascii="Cambria Math" w:eastAsiaTheme="minorEastAsia" w:hAnsi="Cambria Math" w:cs="Arial"/>
          </w:rPr>
          <m:t>=</m:t>
        </m:r>
        <m:d>
          <m:dPr>
            <m:ctrlPr>
              <w:rPr>
                <w:rFonts w:ascii="Cambria Math" w:eastAsiaTheme="minorEastAsia" w:hAnsi="Cambria Math" w:cs="Arial"/>
              </w:rPr>
            </m:ctrlPr>
          </m:dPr>
          <m:e>
            <m:f>
              <m:fPr>
                <m:ctrlPr>
                  <w:rPr>
                    <w:rFonts w:ascii="Cambria Math" w:eastAsiaTheme="minorEastAsia" w:hAnsi="Cambria Math" w:cs="Arial"/>
                  </w:rPr>
                </m:ctrlPr>
              </m:fPr>
              <m:num>
                <m:r>
                  <w:rPr>
                    <w:rFonts w:ascii="Cambria Math" w:eastAsiaTheme="minorEastAsia" w:hAnsi="Cambria Math" w:cs="Arial"/>
                  </w:rPr>
                  <m:t>£3,000,000</m:t>
                </m:r>
              </m:num>
              <m:den>
                <m:r>
                  <w:rPr>
                    <w:rFonts w:ascii="Cambria Math" w:eastAsiaTheme="minorEastAsia" w:hAnsi="Cambria Math" w:cs="Arial"/>
                  </w:rPr>
                  <m:t>£25,000,000</m:t>
                </m:r>
              </m:den>
            </m:f>
          </m:e>
        </m:d>
        <m:r>
          <w:rPr>
            <w:rFonts w:ascii="Cambria Math" w:eastAsiaTheme="minorEastAsia" w:hAnsi="Cambria Math" w:cs="Arial"/>
          </w:rPr>
          <m:t>×100=</m:t>
        </m:r>
        <m:r>
          <m:rPr>
            <m:sty m:val="b"/>
          </m:rPr>
          <w:rPr>
            <w:rFonts w:ascii="Cambria Math" w:eastAsiaTheme="minorEastAsia" w:hAnsi="Cambria Math" w:cs="Arial"/>
          </w:rPr>
          <m:t>12.00%</m:t>
        </m:r>
      </m:oMath>
    </w:p>
    <w:p w14:paraId="651776C5" w14:textId="77777777" w:rsidR="00A7362D" w:rsidRPr="00611CB9" w:rsidRDefault="00A7362D" w:rsidP="00A7362D">
      <w:pPr>
        <w:pStyle w:val="ListParagraph"/>
        <w:rPr>
          <w:rFonts w:ascii="Arial" w:eastAsiaTheme="minorEastAsia" w:hAnsi="Arial" w:cs="Arial"/>
        </w:rPr>
      </w:pPr>
    </w:p>
    <w:p w14:paraId="503454B5"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Net Present Value (NPV):</w:t>
      </w:r>
    </w:p>
    <w:p w14:paraId="02A2883D" w14:textId="77777777" w:rsidR="00A7362D" w:rsidRPr="00611CB9" w:rsidRDefault="00A7362D" w:rsidP="00A7362D">
      <w:pPr>
        <w:pStyle w:val="ListParagraph"/>
        <w:numPr>
          <w:ilvl w:val="0"/>
          <w:numId w:val="3"/>
        </w:numPr>
        <w:tabs>
          <w:tab w:val="num" w:pos="720"/>
        </w:tabs>
        <w:spacing w:line="360" w:lineRule="auto"/>
        <w:rPr>
          <w:rFonts w:ascii="Arial" w:eastAsiaTheme="minorEastAsia" w:hAnsi="Arial" w:cs="Arial"/>
        </w:rPr>
      </w:pPr>
      <w:r w:rsidRPr="00611CB9">
        <w:rPr>
          <w:rFonts w:ascii="Arial" w:eastAsiaTheme="minorEastAsia" w:hAnsi="Arial" w:cs="Arial"/>
        </w:rPr>
        <w:t xml:space="preserve">Year 1 PV: </w:t>
      </w:r>
      <m:oMath>
        <m:r>
          <m:rPr>
            <m:sty m:val="p"/>
          </m:rPr>
          <w:rPr>
            <w:rFonts w:ascii="Cambria Math" w:eastAsiaTheme="minorEastAsia" w:hAnsi="Cambria Math" w:cs="Arial"/>
          </w:rPr>
          <m:t>£5.00</m:t>
        </m:r>
        <m:r>
          <m:rPr>
            <m:nor/>
          </m:rPr>
          <w:rPr>
            <w:rFonts w:ascii="Arial" w:eastAsiaTheme="minorEastAsia" w:hAnsi="Arial" w:cs="Arial"/>
          </w:rPr>
          <m:t>m</m:t>
        </m:r>
        <m:r>
          <m:rPr>
            <m:sty m:val="p"/>
          </m:rPr>
          <w:rPr>
            <w:rFonts w:ascii="Cambria Math" w:eastAsiaTheme="minorEastAsia" w:hAnsi="Cambria Math" w:cs="Arial"/>
          </w:rPr>
          <m:t>×0.9259=£4.629</m:t>
        </m:r>
        <m:r>
          <m:rPr>
            <m:nor/>
          </m:rPr>
          <w:rPr>
            <w:rFonts w:ascii="Arial" w:eastAsiaTheme="minorEastAsia" w:hAnsi="Arial" w:cs="Arial"/>
          </w:rPr>
          <m:t>m</m:t>
        </m:r>
      </m:oMath>
    </w:p>
    <w:p w14:paraId="30512F87" w14:textId="77777777" w:rsidR="00A7362D" w:rsidRPr="00611CB9" w:rsidRDefault="00A7362D" w:rsidP="00A7362D">
      <w:pPr>
        <w:pStyle w:val="ListParagraph"/>
        <w:numPr>
          <w:ilvl w:val="0"/>
          <w:numId w:val="3"/>
        </w:numPr>
        <w:tabs>
          <w:tab w:val="num" w:pos="720"/>
        </w:tabs>
        <w:spacing w:line="360" w:lineRule="auto"/>
        <w:rPr>
          <w:rFonts w:ascii="Arial" w:eastAsiaTheme="minorEastAsia" w:hAnsi="Arial" w:cs="Arial"/>
        </w:rPr>
      </w:pPr>
      <w:r w:rsidRPr="00611CB9">
        <w:rPr>
          <w:rFonts w:ascii="Arial" w:eastAsiaTheme="minorEastAsia" w:hAnsi="Arial" w:cs="Arial"/>
        </w:rPr>
        <w:t xml:space="preserve">Year 2 PV: </w:t>
      </w:r>
      <m:oMath>
        <m:r>
          <m:rPr>
            <m:sty m:val="p"/>
          </m:rPr>
          <w:rPr>
            <w:rFonts w:ascii="Cambria Math" w:eastAsiaTheme="minorEastAsia" w:hAnsi="Cambria Math" w:cs="Arial"/>
          </w:rPr>
          <m:t>£10.00</m:t>
        </m:r>
        <m:r>
          <m:rPr>
            <m:nor/>
          </m:rPr>
          <w:rPr>
            <w:rFonts w:ascii="Arial" w:eastAsiaTheme="minorEastAsia" w:hAnsi="Arial" w:cs="Arial"/>
          </w:rPr>
          <m:t>m</m:t>
        </m:r>
        <m:r>
          <m:rPr>
            <m:sty m:val="p"/>
          </m:rPr>
          <w:rPr>
            <w:rFonts w:ascii="Cambria Math" w:eastAsiaTheme="minorEastAsia" w:hAnsi="Cambria Math" w:cs="Arial"/>
          </w:rPr>
          <m:t>×0.8573=£8.573</m:t>
        </m:r>
        <m:r>
          <m:rPr>
            <m:nor/>
          </m:rPr>
          <w:rPr>
            <w:rFonts w:ascii="Arial" w:eastAsiaTheme="minorEastAsia" w:hAnsi="Arial" w:cs="Arial"/>
          </w:rPr>
          <m:t>m</m:t>
        </m:r>
      </m:oMath>
    </w:p>
    <w:p w14:paraId="35991DB2" w14:textId="77777777" w:rsidR="00A7362D" w:rsidRPr="00611CB9" w:rsidRDefault="00A7362D" w:rsidP="00A7362D">
      <w:pPr>
        <w:pStyle w:val="ListParagraph"/>
        <w:numPr>
          <w:ilvl w:val="0"/>
          <w:numId w:val="3"/>
        </w:numPr>
        <w:tabs>
          <w:tab w:val="num" w:pos="720"/>
        </w:tabs>
        <w:spacing w:line="360" w:lineRule="auto"/>
        <w:rPr>
          <w:rFonts w:ascii="Arial" w:eastAsiaTheme="minorEastAsia" w:hAnsi="Arial" w:cs="Arial"/>
        </w:rPr>
      </w:pPr>
      <w:r w:rsidRPr="00611CB9">
        <w:rPr>
          <w:rFonts w:ascii="Arial" w:eastAsiaTheme="minorEastAsia" w:hAnsi="Arial" w:cs="Arial"/>
        </w:rPr>
        <w:t xml:space="preserve">Year 3 PV: </w:t>
      </w:r>
      <m:oMath>
        <m:r>
          <m:rPr>
            <m:sty m:val="p"/>
          </m:rPr>
          <w:rPr>
            <w:rFonts w:ascii="Cambria Math" w:eastAsiaTheme="minorEastAsia" w:hAnsi="Cambria Math" w:cs="Arial"/>
          </w:rPr>
          <m:t>£20.00</m:t>
        </m:r>
        <m:r>
          <m:rPr>
            <m:nor/>
          </m:rPr>
          <w:rPr>
            <w:rFonts w:ascii="Arial" w:eastAsiaTheme="minorEastAsia" w:hAnsi="Arial" w:cs="Arial"/>
          </w:rPr>
          <m:t>m</m:t>
        </m:r>
        <m:r>
          <m:rPr>
            <m:sty m:val="p"/>
          </m:rPr>
          <w:rPr>
            <w:rFonts w:ascii="Cambria Math" w:eastAsiaTheme="minorEastAsia" w:hAnsi="Cambria Math" w:cs="Arial"/>
          </w:rPr>
          <m:t>×0.7938=£15.877</m:t>
        </m:r>
        <m:r>
          <m:rPr>
            <m:nor/>
          </m:rPr>
          <w:rPr>
            <w:rFonts w:ascii="Arial" w:eastAsiaTheme="minorEastAsia" w:hAnsi="Arial" w:cs="Arial"/>
          </w:rPr>
          <m:t>m</m:t>
        </m:r>
      </m:oMath>
    </w:p>
    <w:p w14:paraId="4E15035D" w14:textId="77777777" w:rsidR="00A7362D" w:rsidRPr="00611CB9" w:rsidRDefault="00A7362D" w:rsidP="00A7362D">
      <w:pPr>
        <w:pStyle w:val="ListParagraph"/>
        <w:numPr>
          <w:ilvl w:val="0"/>
          <w:numId w:val="3"/>
        </w:numPr>
        <w:tabs>
          <w:tab w:val="num" w:pos="720"/>
        </w:tabs>
        <w:spacing w:line="360" w:lineRule="auto"/>
        <w:rPr>
          <w:rFonts w:ascii="Arial" w:eastAsiaTheme="minorEastAsia" w:hAnsi="Arial" w:cs="Arial"/>
        </w:rPr>
      </w:pPr>
      <w:r w:rsidRPr="00611CB9">
        <w:rPr>
          <w:rFonts w:ascii="Arial" w:eastAsiaTheme="minorEastAsia" w:hAnsi="Arial" w:cs="Arial"/>
        </w:rPr>
        <w:t xml:space="preserve">Year 4 PV: </w:t>
      </w:r>
      <m:oMath>
        <m:r>
          <m:rPr>
            <m:sty m:val="p"/>
          </m:rPr>
          <w:rPr>
            <w:rFonts w:ascii="Cambria Math" w:eastAsiaTheme="minorEastAsia" w:hAnsi="Cambria Math" w:cs="Arial"/>
          </w:rPr>
          <m:t>£25.00</m:t>
        </m:r>
        <m:r>
          <m:rPr>
            <m:nor/>
          </m:rPr>
          <w:rPr>
            <w:rFonts w:ascii="Arial" w:eastAsiaTheme="minorEastAsia" w:hAnsi="Arial" w:cs="Arial"/>
          </w:rPr>
          <m:t>m</m:t>
        </m:r>
        <m:r>
          <m:rPr>
            <m:sty m:val="p"/>
          </m:rPr>
          <w:rPr>
            <w:rFonts w:ascii="Cambria Math" w:eastAsiaTheme="minorEastAsia" w:hAnsi="Cambria Math" w:cs="Arial"/>
          </w:rPr>
          <m:t>×0.7350=£18.376</m:t>
        </m:r>
        <m:r>
          <m:rPr>
            <m:nor/>
          </m:rPr>
          <w:rPr>
            <w:rFonts w:ascii="Arial" w:eastAsiaTheme="minorEastAsia" w:hAnsi="Arial" w:cs="Arial"/>
          </w:rPr>
          <m:t>m</m:t>
        </m:r>
      </m:oMath>
    </w:p>
    <w:p w14:paraId="172EEE7D" w14:textId="77777777" w:rsidR="00A7362D" w:rsidRPr="00611CB9" w:rsidRDefault="00A7362D" w:rsidP="00A7362D">
      <w:pPr>
        <w:pStyle w:val="ListParagraph"/>
        <w:numPr>
          <w:ilvl w:val="0"/>
          <w:numId w:val="3"/>
        </w:numPr>
        <w:tabs>
          <w:tab w:val="num" w:pos="720"/>
        </w:tabs>
        <w:spacing w:line="360" w:lineRule="auto"/>
        <w:rPr>
          <w:rFonts w:ascii="Arial" w:eastAsiaTheme="minorEastAsia" w:hAnsi="Arial" w:cs="Arial"/>
        </w:rPr>
      </w:pPr>
      <w:r w:rsidRPr="00611CB9">
        <w:rPr>
          <w:rFonts w:ascii="Arial" w:eastAsiaTheme="minorEastAsia" w:hAnsi="Arial" w:cs="Arial"/>
        </w:rPr>
        <w:t xml:space="preserve">Year 5 PV: </w:t>
      </w:r>
      <m:oMath>
        <m:r>
          <m:rPr>
            <m:sty m:val="p"/>
          </m:rPr>
          <w:rPr>
            <w:rFonts w:ascii="Cambria Math" w:eastAsiaTheme="minorEastAsia" w:hAnsi="Cambria Math" w:cs="Arial"/>
          </w:rPr>
          <m:t>£5.00</m:t>
        </m:r>
        <m:r>
          <m:rPr>
            <m:nor/>
          </m:rPr>
          <w:rPr>
            <w:rFonts w:ascii="Arial" w:eastAsiaTheme="minorEastAsia" w:hAnsi="Arial" w:cs="Arial"/>
          </w:rPr>
          <m:t>m</m:t>
        </m:r>
        <m:r>
          <m:rPr>
            <m:sty m:val="p"/>
          </m:rPr>
          <w:rPr>
            <w:rFonts w:ascii="Cambria Math" w:eastAsiaTheme="minorEastAsia" w:hAnsi="Cambria Math" w:cs="Arial"/>
          </w:rPr>
          <m:t>×0.6806=£3.403</m:t>
        </m:r>
        <m:r>
          <m:rPr>
            <m:nor/>
          </m:rPr>
          <w:rPr>
            <w:rFonts w:ascii="Arial" w:eastAsiaTheme="minorEastAsia" w:hAnsi="Arial" w:cs="Arial"/>
          </w:rPr>
          <m:t>m</m:t>
        </m:r>
      </m:oMath>
    </w:p>
    <w:p w14:paraId="7E7FF3DE" w14:textId="77777777" w:rsidR="00A7362D" w:rsidRPr="00611CB9" w:rsidRDefault="00A7362D" w:rsidP="00A7362D">
      <w:pPr>
        <w:pStyle w:val="ListParagraph"/>
        <w:numPr>
          <w:ilvl w:val="0"/>
          <w:numId w:val="3"/>
        </w:numPr>
        <w:tabs>
          <w:tab w:val="num" w:pos="720"/>
        </w:tabs>
        <w:spacing w:line="360" w:lineRule="auto"/>
        <w:rPr>
          <w:rFonts w:ascii="Arial" w:eastAsiaTheme="minorEastAsia" w:hAnsi="Arial" w:cs="Arial"/>
        </w:rPr>
      </w:pPr>
      <w:r w:rsidRPr="00611CB9">
        <w:rPr>
          <w:rFonts w:ascii="Arial" w:eastAsiaTheme="minorEastAsia" w:hAnsi="Arial" w:cs="Arial"/>
        </w:rPr>
        <w:t xml:space="preserve">Inflows = 4.629 + 8.573 + 15.877 + 18.376 + 3.403 = </w:t>
      </w:r>
      <w:r w:rsidRPr="00611CB9">
        <w:rPr>
          <w:rFonts w:ascii="Arial" w:eastAsiaTheme="minorEastAsia" w:hAnsi="Arial" w:cs="Arial"/>
          <w:kern w:val="0"/>
          <w:lang w:val="en-US"/>
          <w14:ligatures w14:val="none"/>
        </w:rPr>
        <w:t>£50,858,200</w:t>
      </w:r>
    </w:p>
    <w:p w14:paraId="0DBB9046" w14:textId="77777777" w:rsidR="00A7362D" w:rsidRPr="00611CB9" w:rsidRDefault="00000000" w:rsidP="00A7362D">
      <w:pPr>
        <w:pStyle w:val="ListParagraph"/>
        <w:numPr>
          <w:ilvl w:val="0"/>
          <w:numId w:val="3"/>
        </w:numPr>
        <w:tabs>
          <w:tab w:val="num" w:pos="720"/>
        </w:tabs>
        <w:spacing w:line="360" w:lineRule="auto"/>
        <w:rPr>
          <w:rFonts w:ascii="Arial" w:eastAsiaTheme="minorEastAsia" w:hAnsi="Arial" w:cs="Arial"/>
        </w:rPr>
      </w:pPr>
      <m:oMath>
        <m:sSub>
          <m:sSubPr>
            <m:ctrlPr>
              <w:rPr>
                <w:rFonts w:ascii="Cambria Math" w:eastAsiaTheme="minorEastAsia" w:hAnsi="Cambria Math" w:cs="Arial"/>
              </w:rPr>
            </m:ctrlPr>
          </m:sSubPr>
          <m:e>
            <m:r>
              <m:rPr>
                <m:nor/>
              </m:rPr>
              <w:rPr>
                <w:rFonts w:ascii="Arial" w:eastAsiaTheme="minorEastAsia" w:hAnsi="Arial" w:cs="Arial"/>
              </w:rPr>
              <m:t>NPV</m:t>
            </m:r>
          </m:e>
          <m:sub>
            <m:r>
              <w:rPr>
                <w:rFonts w:ascii="Cambria Math" w:eastAsiaTheme="minorEastAsia" w:hAnsi="Cambria Math" w:cs="Arial"/>
              </w:rPr>
              <m:t>C</m:t>
            </m:r>
          </m:sub>
        </m:sSub>
      </m:oMath>
      <w:r w:rsidR="00A7362D" w:rsidRPr="00611CB9">
        <w:rPr>
          <w:rFonts w:ascii="Arial" w:eastAsiaTheme="minorEastAsia" w:hAnsi="Arial" w:cs="Arial"/>
        </w:rPr>
        <w:t xml:space="preserve"> = Aggregate Present Value – Initial Investment = 50.858 – 50 = </w:t>
      </w:r>
      <w:r w:rsidR="00A7362D" w:rsidRPr="00611CB9">
        <w:rPr>
          <w:rFonts w:ascii="Arial" w:eastAsiaTheme="minorEastAsia" w:hAnsi="Arial" w:cs="Arial"/>
          <w:b/>
        </w:rPr>
        <w:t>-</w:t>
      </w:r>
      <w:r w:rsidR="00A7362D" w:rsidRPr="00611CB9">
        <w:rPr>
          <w:rFonts w:ascii="Arial" w:eastAsiaTheme="minorEastAsia" w:hAnsi="Arial" w:cs="Arial"/>
          <w:b/>
          <w:kern w:val="0"/>
          <w:lang w:val="en-US"/>
          <w14:ligatures w14:val="none"/>
        </w:rPr>
        <w:t>£858,200</w:t>
      </w:r>
    </w:p>
    <w:p w14:paraId="6F9A9462" w14:textId="77777777" w:rsidR="00A7362D" w:rsidRPr="00611CB9" w:rsidRDefault="00A7362D" w:rsidP="00A7362D">
      <w:pPr>
        <w:tabs>
          <w:tab w:val="num" w:pos="720"/>
        </w:tabs>
        <w:spacing w:line="360" w:lineRule="auto"/>
        <w:rPr>
          <w:rFonts w:ascii="Arial" w:eastAsiaTheme="minorEastAsia" w:hAnsi="Arial" w:cs="Arial"/>
          <w:b/>
        </w:rPr>
      </w:pPr>
      <w:r w:rsidRPr="00611CB9">
        <w:rPr>
          <w:rFonts w:ascii="Arial" w:eastAsiaTheme="minorEastAsia" w:hAnsi="Arial" w:cs="Arial"/>
          <w:b/>
        </w:rPr>
        <w:t>Profitability Index (PI):</w:t>
      </w:r>
    </w:p>
    <w:p w14:paraId="183B7455" w14:textId="77777777" w:rsidR="00A7362D" w:rsidRPr="00611CB9" w:rsidRDefault="00000000" w:rsidP="00A7362D">
      <w:pPr>
        <w:pStyle w:val="ListParagraph"/>
        <w:numPr>
          <w:ilvl w:val="0"/>
          <w:numId w:val="10"/>
        </w:numPr>
        <w:spacing w:line="360" w:lineRule="auto"/>
        <w:rPr>
          <w:rFonts w:ascii="Arial" w:eastAsiaTheme="minorEastAsia" w:hAnsi="Arial" w:cs="Arial"/>
        </w:rPr>
      </w:pPr>
      <m:oMath>
        <m:sSub>
          <m:sSubPr>
            <m:ctrlPr>
              <w:rPr>
                <w:rFonts w:ascii="Cambria Math" w:eastAsiaTheme="minorEastAsia" w:hAnsi="Cambria Math" w:cs="Arial"/>
              </w:rPr>
            </m:ctrlPr>
          </m:sSubPr>
          <m:e>
            <m:r>
              <m:rPr>
                <m:nor/>
              </m:rPr>
              <w:rPr>
                <w:rFonts w:ascii="Arial" w:eastAsiaTheme="minorEastAsia" w:hAnsi="Arial" w:cs="Arial"/>
              </w:rPr>
              <m:t>PI</m:t>
            </m:r>
          </m:e>
          <m:sub>
            <m:r>
              <w:rPr>
                <w:rFonts w:ascii="Cambria Math" w:eastAsiaTheme="minorEastAsia" w:hAnsi="Cambria Math" w:cs="Arial"/>
              </w:rPr>
              <m:t>C</m:t>
            </m:r>
          </m:sub>
        </m:sSub>
        <m:r>
          <w:rPr>
            <w:rFonts w:ascii="Cambria Math" w:hAnsi="Cambria Math" w:cs="Arial"/>
          </w:rPr>
          <m:t>=</m:t>
        </m:r>
        <m:f>
          <m:fPr>
            <m:ctrlPr>
              <w:rPr>
                <w:rFonts w:ascii="Cambria Math" w:hAnsi="Cambria Math" w:cs="Arial"/>
              </w:rPr>
            </m:ctrlPr>
          </m:fPr>
          <m:num>
            <m:r>
              <m:rPr>
                <m:nor/>
              </m:rPr>
              <w:rPr>
                <w:rFonts w:ascii="Arial" w:hAnsi="Arial" w:cs="Arial"/>
              </w:rPr>
              <m:t>Aggregate Present Value</m:t>
            </m:r>
          </m:num>
          <m:den>
            <m:r>
              <m:rPr>
                <m:nor/>
              </m:rPr>
              <w:rPr>
                <w:rFonts w:ascii="Arial" w:hAnsi="Arial" w:cs="Arial"/>
              </w:rPr>
              <m:t>Initial Investment</m:t>
            </m:r>
          </m:den>
        </m:f>
        <m:r>
          <w:rPr>
            <w:rFonts w:ascii="Cambria Math" w:hAnsi="Cambria Math" w:cs="Arial"/>
          </w:rPr>
          <m:t>=</m:t>
        </m:r>
        <m:f>
          <m:fPr>
            <m:ctrlPr>
              <w:rPr>
                <w:rFonts w:ascii="Cambria Math" w:hAnsi="Cambria Math" w:cs="Arial"/>
              </w:rPr>
            </m:ctrlPr>
          </m:fPr>
          <m:num>
            <m:r>
              <w:rPr>
                <w:rFonts w:ascii="Cambria Math" w:hAnsi="Cambria Math" w:cs="Arial"/>
              </w:rPr>
              <m:t>£50.858m</m:t>
            </m:r>
          </m:num>
          <m:den>
            <m:r>
              <w:rPr>
                <w:rFonts w:ascii="Cambria Math" w:hAnsi="Cambria Math" w:cs="Arial"/>
              </w:rPr>
              <m:t>£50.000m</m:t>
            </m:r>
          </m:den>
        </m:f>
      </m:oMath>
      <w:r w:rsidR="00A7362D" w:rsidRPr="00611CB9">
        <w:rPr>
          <w:rFonts w:ascii="Arial" w:eastAsiaTheme="minorEastAsia" w:hAnsi="Arial" w:cs="Arial"/>
        </w:rPr>
        <w:t xml:space="preserve">= </w:t>
      </w:r>
      <w:r w:rsidR="00A7362D" w:rsidRPr="00611CB9">
        <w:rPr>
          <w:rFonts w:ascii="Arial" w:eastAsiaTheme="minorEastAsia" w:hAnsi="Arial" w:cs="Arial"/>
          <w:b/>
        </w:rPr>
        <w:t>1.017</w:t>
      </w:r>
    </w:p>
    <w:p w14:paraId="3BEA96C1"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Internal Rate of Return (IRR):</w:t>
      </w:r>
    </w:p>
    <w:p w14:paraId="31A63498" w14:textId="45787AAA" w:rsidR="00A7362D" w:rsidRPr="00611CB9" w:rsidRDefault="00A7362D" w:rsidP="00A7362D">
      <w:pPr>
        <w:pStyle w:val="ListParagraph"/>
        <w:numPr>
          <w:ilvl w:val="0"/>
          <w:numId w:val="10"/>
        </w:numPr>
        <w:spacing w:line="360" w:lineRule="auto"/>
        <w:rPr>
          <w:rFonts w:ascii="Arial" w:eastAsiaTheme="minorEastAsia" w:hAnsi="Arial" w:cs="Arial"/>
        </w:rPr>
      </w:pPr>
      <w:r w:rsidRPr="00611CB9">
        <w:rPr>
          <w:rFonts w:ascii="Arial" w:eastAsiaTheme="minorEastAsia" w:hAnsi="Arial" w:cs="Arial"/>
        </w:rPr>
        <w:t>The project’s true break-even capital rate is measured by interpolating between the base cost rate of 8% (NPV = +</w:t>
      </w:r>
      <w:r w:rsidRPr="00611CB9">
        <w:rPr>
          <w:rFonts w:ascii="Arial" w:eastAsiaTheme="minorEastAsia" w:hAnsi="Arial" w:cs="Arial"/>
          <w:kern w:val="0"/>
          <w:lang w:val="en-US"/>
          <w14:ligatures w14:val="none"/>
        </w:rPr>
        <w:t xml:space="preserve">£0.8582m) and a 9% hurdle rate, which provides a negative NPV of -£0.591. </w:t>
      </w:r>
    </w:p>
    <w:p w14:paraId="503C73D3" w14:textId="77777777" w:rsidR="00A7362D" w:rsidRPr="00611CB9" w:rsidRDefault="00A7362D" w:rsidP="00A7362D">
      <w:pPr>
        <w:pStyle w:val="ListParagraph"/>
        <w:numPr>
          <w:ilvl w:val="0"/>
          <w:numId w:val="10"/>
        </w:numPr>
        <w:spacing w:line="360" w:lineRule="auto"/>
        <w:rPr>
          <w:rFonts w:ascii="Arial" w:eastAsiaTheme="minorEastAsia" w:hAnsi="Arial" w:cs="Arial"/>
        </w:rPr>
      </w:pPr>
      <w:r w:rsidRPr="00611CB9">
        <w:rPr>
          <w:rFonts w:ascii="Arial" w:eastAsiaTheme="minorEastAsia" w:hAnsi="Arial" w:cs="Arial"/>
        </w:rPr>
        <w:t xml:space="preserve">Year 1 PV: </w:t>
      </w:r>
      <m:oMath>
        <m:r>
          <m:rPr>
            <m:sty m:val="p"/>
          </m:rPr>
          <w:rPr>
            <w:rFonts w:ascii="Cambria Math" w:eastAsiaTheme="minorEastAsia" w:hAnsi="Cambria Math" w:cs="Arial"/>
          </w:rPr>
          <m:t>£5.00</m:t>
        </m:r>
        <m:r>
          <m:rPr>
            <m:nor/>
          </m:rPr>
          <w:rPr>
            <w:rFonts w:ascii="Arial" w:eastAsiaTheme="minorEastAsia" w:hAnsi="Arial" w:cs="Arial"/>
          </w:rPr>
          <m:t>m</m:t>
        </m:r>
        <m:r>
          <m:rPr>
            <m:sty m:val="p"/>
          </m:rPr>
          <w:rPr>
            <w:rFonts w:ascii="Cambria Math" w:eastAsiaTheme="minorEastAsia" w:hAnsi="Cambria Math" w:cs="Arial"/>
          </w:rPr>
          <m:t>×0.9174=£4.587</m:t>
        </m:r>
        <m:r>
          <m:rPr>
            <m:nor/>
          </m:rPr>
          <w:rPr>
            <w:rFonts w:ascii="Arial" w:eastAsiaTheme="minorEastAsia" w:hAnsi="Arial" w:cs="Arial"/>
          </w:rPr>
          <m:t>m</m:t>
        </m:r>
      </m:oMath>
    </w:p>
    <w:p w14:paraId="3A343FDE" w14:textId="77777777" w:rsidR="00A7362D" w:rsidRPr="00611CB9" w:rsidRDefault="00A7362D" w:rsidP="00A7362D">
      <w:pPr>
        <w:pStyle w:val="ListParagraph"/>
        <w:numPr>
          <w:ilvl w:val="0"/>
          <w:numId w:val="10"/>
        </w:numPr>
        <w:spacing w:line="360" w:lineRule="auto"/>
        <w:rPr>
          <w:rFonts w:ascii="Arial" w:eastAsiaTheme="minorEastAsia" w:hAnsi="Arial" w:cs="Arial"/>
        </w:rPr>
      </w:pPr>
      <w:r w:rsidRPr="00611CB9">
        <w:rPr>
          <w:rFonts w:ascii="Arial" w:eastAsiaTheme="minorEastAsia" w:hAnsi="Arial" w:cs="Arial"/>
        </w:rPr>
        <w:t xml:space="preserve">Year 2 PV: </w:t>
      </w:r>
      <m:oMath>
        <m:r>
          <m:rPr>
            <m:sty m:val="p"/>
          </m:rPr>
          <w:rPr>
            <w:rFonts w:ascii="Cambria Math" w:eastAsiaTheme="minorEastAsia" w:hAnsi="Cambria Math" w:cs="Arial"/>
          </w:rPr>
          <m:t>£10.00</m:t>
        </m:r>
        <m:r>
          <m:rPr>
            <m:nor/>
          </m:rPr>
          <w:rPr>
            <w:rFonts w:ascii="Arial" w:eastAsiaTheme="minorEastAsia" w:hAnsi="Arial" w:cs="Arial"/>
          </w:rPr>
          <m:t>m</m:t>
        </m:r>
        <m:r>
          <m:rPr>
            <m:sty m:val="p"/>
          </m:rPr>
          <w:rPr>
            <w:rFonts w:ascii="Cambria Math" w:eastAsiaTheme="minorEastAsia" w:hAnsi="Cambria Math" w:cs="Arial"/>
          </w:rPr>
          <m:t>×0.8417=£8.417</m:t>
        </m:r>
        <m:r>
          <m:rPr>
            <m:nor/>
          </m:rPr>
          <w:rPr>
            <w:rFonts w:ascii="Arial" w:eastAsiaTheme="minorEastAsia" w:hAnsi="Arial" w:cs="Arial"/>
          </w:rPr>
          <m:t>m</m:t>
        </m:r>
      </m:oMath>
    </w:p>
    <w:p w14:paraId="0182F5CE" w14:textId="77777777" w:rsidR="00A7362D" w:rsidRPr="00611CB9" w:rsidRDefault="00A7362D" w:rsidP="00A7362D">
      <w:pPr>
        <w:pStyle w:val="ListParagraph"/>
        <w:numPr>
          <w:ilvl w:val="0"/>
          <w:numId w:val="10"/>
        </w:numPr>
        <w:spacing w:line="360" w:lineRule="auto"/>
        <w:rPr>
          <w:rFonts w:ascii="Arial" w:eastAsiaTheme="minorEastAsia" w:hAnsi="Arial" w:cs="Arial"/>
        </w:rPr>
      </w:pPr>
      <w:r w:rsidRPr="00611CB9">
        <w:rPr>
          <w:rFonts w:ascii="Arial" w:eastAsiaTheme="minorEastAsia" w:hAnsi="Arial" w:cs="Arial"/>
        </w:rPr>
        <w:t xml:space="preserve">Year 3 PV: </w:t>
      </w:r>
      <m:oMath>
        <m:r>
          <m:rPr>
            <m:sty m:val="p"/>
          </m:rPr>
          <w:rPr>
            <w:rFonts w:ascii="Cambria Math" w:eastAsiaTheme="minorEastAsia" w:hAnsi="Cambria Math" w:cs="Arial"/>
          </w:rPr>
          <m:t>£20.00</m:t>
        </m:r>
        <m:r>
          <m:rPr>
            <m:nor/>
          </m:rPr>
          <w:rPr>
            <w:rFonts w:ascii="Arial" w:eastAsiaTheme="minorEastAsia" w:hAnsi="Arial" w:cs="Arial"/>
          </w:rPr>
          <m:t>m</m:t>
        </m:r>
        <m:r>
          <m:rPr>
            <m:sty m:val="p"/>
          </m:rPr>
          <w:rPr>
            <w:rFonts w:ascii="Cambria Math" w:eastAsiaTheme="minorEastAsia" w:hAnsi="Cambria Math" w:cs="Arial"/>
          </w:rPr>
          <m:t>×0.7722=£15.444</m:t>
        </m:r>
        <m:r>
          <m:rPr>
            <m:nor/>
          </m:rPr>
          <w:rPr>
            <w:rFonts w:ascii="Arial" w:eastAsiaTheme="minorEastAsia" w:hAnsi="Arial" w:cs="Arial"/>
          </w:rPr>
          <m:t>m</m:t>
        </m:r>
      </m:oMath>
    </w:p>
    <w:p w14:paraId="181C7E42" w14:textId="77777777" w:rsidR="00A7362D" w:rsidRPr="00611CB9" w:rsidRDefault="00A7362D" w:rsidP="00A7362D">
      <w:pPr>
        <w:pStyle w:val="ListParagraph"/>
        <w:numPr>
          <w:ilvl w:val="0"/>
          <w:numId w:val="10"/>
        </w:numPr>
        <w:spacing w:line="360" w:lineRule="auto"/>
        <w:rPr>
          <w:rFonts w:ascii="Arial" w:eastAsiaTheme="minorEastAsia" w:hAnsi="Arial" w:cs="Arial"/>
        </w:rPr>
      </w:pPr>
      <w:r w:rsidRPr="00611CB9">
        <w:rPr>
          <w:rFonts w:ascii="Arial" w:eastAsiaTheme="minorEastAsia" w:hAnsi="Arial" w:cs="Arial"/>
        </w:rPr>
        <w:lastRenderedPageBreak/>
        <w:t xml:space="preserve">Year 4 PV: </w:t>
      </w:r>
      <m:oMath>
        <m:r>
          <m:rPr>
            <m:sty m:val="p"/>
          </m:rPr>
          <w:rPr>
            <w:rFonts w:ascii="Cambria Math" w:eastAsiaTheme="minorEastAsia" w:hAnsi="Cambria Math" w:cs="Arial"/>
          </w:rPr>
          <m:t>£25.00</m:t>
        </m:r>
        <m:r>
          <m:rPr>
            <m:nor/>
          </m:rPr>
          <w:rPr>
            <w:rFonts w:ascii="Arial" w:eastAsiaTheme="minorEastAsia" w:hAnsi="Arial" w:cs="Arial"/>
          </w:rPr>
          <m:t>m</m:t>
        </m:r>
        <m:r>
          <m:rPr>
            <m:sty m:val="p"/>
          </m:rPr>
          <w:rPr>
            <w:rFonts w:ascii="Cambria Math" w:eastAsiaTheme="minorEastAsia" w:hAnsi="Cambria Math" w:cs="Arial"/>
          </w:rPr>
          <m:t>×0.7084=£17.710</m:t>
        </m:r>
        <m:r>
          <m:rPr>
            <m:nor/>
          </m:rPr>
          <w:rPr>
            <w:rFonts w:ascii="Arial" w:eastAsiaTheme="minorEastAsia" w:hAnsi="Arial" w:cs="Arial"/>
          </w:rPr>
          <m:t>m</m:t>
        </m:r>
      </m:oMath>
    </w:p>
    <w:p w14:paraId="18247A14" w14:textId="77777777" w:rsidR="00A7362D" w:rsidRPr="00611CB9" w:rsidRDefault="00A7362D" w:rsidP="00A7362D">
      <w:pPr>
        <w:pStyle w:val="ListParagraph"/>
        <w:numPr>
          <w:ilvl w:val="0"/>
          <w:numId w:val="10"/>
        </w:numPr>
        <w:spacing w:line="360" w:lineRule="auto"/>
        <w:rPr>
          <w:rFonts w:ascii="Arial" w:eastAsiaTheme="minorEastAsia" w:hAnsi="Arial" w:cs="Arial"/>
        </w:rPr>
      </w:pPr>
      <w:r w:rsidRPr="00611CB9">
        <w:rPr>
          <w:rFonts w:ascii="Arial" w:eastAsiaTheme="minorEastAsia" w:hAnsi="Arial" w:cs="Arial"/>
        </w:rPr>
        <w:t xml:space="preserve">Year 5 PV: </w:t>
      </w:r>
      <m:oMath>
        <m:r>
          <m:rPr>
            <m:sty m:val="p"/>
          </m:rPr>
          <w:rPr>
            <w:rFonts w:ascii="Cambria Math" w:eastAsiaTheme="minorEastAsia" w:hAnsi="Cambria Math" w:cs="Arial"/>
          </w:rPr>
          <m:t>£5.00</m:t>
        </m:r>
        <m:r>
          <m:rPr>
            <m:nor/>
          </m:rPr>
          <w:rPr>
            <w:rFonts w:ascii="Arial" w:eastAsiaTheme="minorEastAsia" w:hAnsi="Arial" w:cs="Arial"/>
          </w:rPr>
          <m:t>m</m:t>
        </m:r>
        <m:r>
          <m:rPr>
            <m:sty m:val="p"/>
          </m:rPr>
          <w:rPr>
            <w:rFonts w:ascii="Cambria Math" w:eastAsiaTheme="minorEastAsia" w:hAnsi="Cambria Math" w:cs="Arial"/>
          </w:rPr>
          <m:t>×0.6499=£3.250</m:t>
        </m:r>
        <m:r>
          <m:rPr>
            <m:nor/>
          </m:rPr>
          <w:rPr>
            <w:rFonts w:ascii="Arial" w:eastAsiaTheme="minorEastAsia" w:hAnsi="Arial" w:cs="Arial"/>
          </w:rPr>
          <m:t>m</m:t>
        </m:r>
      </m:oMath>
    </w:p>
    <w:p w14:paraId="4A6C16E9" w14:textId="77777777" w:rsidR="00A7362D" w:rsidRPr="00611CB9" w:rsidRDefault="00A7362D" w:rsidP="00A7362D">
      <w:pPr>
        <w:pStyle w:val="ListParagraph"/>
        <w:numPr>
          <w:ilvl w:val="0"/>
          <w:numId w:val="10"/>
        </w:numPr>
        <w:spacing w:line="360" w:lineRule="auto"/>
        <w:rPr>
          <w:rFonts w:ascii="Arial" w:eastAsiaTheme="minorEastAsia" w:hAnsi="Arial" w:cs="Arial"/>
        </w:rPr>
      </w:pPr>
      <w:r w:rsidRPr="00611CB9">
        <w:rPr>
          <w:rFonts w:ascii="Arial" w:eastAsiaTheme="minorEastAsia" w:hAnsi="Arial" w:cs="Arial"/>
        </w:rPr>
        <w:t>Total Present Value at 9%: £49.408m</w:t>
      </w:r>
    </w:p>
    <w:p w14:paraId="2FB7CF56" w14:textId="77777777" w:rsidR="00A7362D" w:rsidRPr="00611CB9" w:rsidRDefault="00A7362D" w:rsidP="00A7362D">
      <w:pPr>
        <w:pStyle w:val="ListParagraph"/>
        <w:numPr>
          <w:ilvl w:val="0"/>
          <w:numId w:val="10"/>
        </w:numPr>
        <w:spacing w:line="360" w:lineRule="auto"/>
        <w:rPr>
          <w:rFonts w:ascii="Arial" w:eastAsiaTheme="minorEastAsia" w:hAnsi="Arial" w:cs="Arial"/>
        </w:rPr>
      </w:pPr>
      <w:r w:rsidRPr="00611CB9">
        <w:rPr>
          <w:rFonts w:ascii="Arial" w:eastAsiaTheme="minorEastAsia" w:hAnsi="Arial" w:cs="Arial"/>
        </w:rPr>
        <w:t xml:space="preserve">NPV at 9%: </w:t>
      </w:r>
      <m:oMath>
        <m:r>
          <m:rPr>
            <m:sty m:val="p"/>
          </m:rPr>
          <w:rPr>
            <w:rFonts w:ascii="Cambria Math" w:eastAsiaTheme="minorEastAsia" w:hAnsi="Cambria Math" w:cs="Arial"/>
          </w:rPr>
          <m:t>£49.408</m:t>
        </m:r>
        <m:r>
          <m:rPr>
            <m:nor/>
          </m:rPr>
          <w:rPr>
            <w:rFonts w:ascii="Arial" w:eastAsiaTheme="minorEastAsia" w:hAnsi="Arial" w:cs="Arial"/>
          </w:rPr>
          <m:t>m</m:t>
        </m:r>
        <m:r>
          <m:rPr>
            <m:sty m:val="p"/>
          </m:rPr>
          <w:rPr>
            <w:rFonts w:ascii="Cambria Math" w:eastAsiaTheme="minorEastAsia" w:hAnsi="Cambria Math" w:cs="Arial"/>
          </w:rPr>
          <m:t>-£50.00</m:t>
        </m:r>
        <m:r>
          <m:rPr>
            <m:nor/>
          </m:rPr>
          <w:rPr>
            <w:rFonts w:ascii="Arial" w:eastAsiaTheme="minorEastAsia" w:hAnsi="Arial" w:cs="Arial"/>
          </w:rPr>
          <m:t>m</m:t>
        </m:r>
        <m:r>
          <m:rPr>
            <m:sty m:val="p"/>
          </m:rPr>
          <w:rPr>
            <w:rFonts w:ascii="Cambria Math" w:eastAsiaTheme="minorEastAsia" w:hAnsi="Cambria Math" w:cs="Arial"/>
          </w:rPr>
          <m:t>=-£0.592</m:t>
        </m:r>
        <m:r>
          <m:rPr>
            <m:nor/>
          </m:rPr>
          <w:rPr>
            <w:rFonts w:ascii="Arial" w:eastAsiaTheme="minorEastAsia" w:hAnsi="Arial" w:cs="Arial"/>
          </w:rPr>
          <m:t>m</m:t>
        </m:r>
      </m:oMath>
    </w:p>
    <w:p w14:paraId="3999DA94"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 xml:space="preserve">Application of the linear interpolation formula: </w:t>
      </w:r>
    </w:p>
    <w:p w14:paraId="5E632C6A" w14:textId="77777777" w:rsidR="00A7362D" w:rsidRPr="00611CB9" w:rsidRDefault="00A7362D" w:rsidP="00A7362D">
      <w:pPr>
        <w:spacing w:line="360" w:lineRule="auto"/>
        <w:rPr>
          <w:rFonts w:ascii="Arial" w:eastAsiaTheme="minorEastAsia" w:hAnsi="Arial" w:cs="Arial"/>
        </w:rPr>
      </w:pPr>
      <m:oMathPara>
        <m:oMath>
          <m:r>
            <m:rPr>
              <m:nor/>
            </m:rPr>
            <w:rPr>
              <w:rFonts w:ascii="Arial" w:eastAsiaTheme="minorEastAsia" w:hAnsi="Arial" w:cs="Arial"/>
            </w:rPr>
            <m:t>IRR</m:t>
          </m:r>
          <m:r>
            <w:rPr>
              <w:rFonts w:ascii="Cambria Math" w:eastAsiaTheme="minorEastAsia" w:hAnsi="Cambria Math" w:cs="Arial"/>
            </w:rPr>
            <m:t>=</m:t>
          </m:r>
          <m:sSub>
            <m:sSubPr>
              <m:ctrlPr>
                <w:rPr>
                  <w:rFonts w:ascii="Cambria Math" w:eastAsiaTheme="minorEastAsia" w:hAnsi="Cambria Math" w:cs="Arial"/>
                </w:rPr>
              </m:ctrlPr>
            </m:sSubPr>
            <m:e>
              <m:r>
                <w:rPr>
                  <w:rFonts w:ascii="Cambria Math" w:eastAsiaTheme="minorEastAsia" w:hAnsi="Cambria Math" w:cs="Arial"/>
                </w:rPr>
                <m:t>r</m:t>
              </m:r>
            </m:e>
            <m:sub>
              <m:r>
                <m:rPr>
                  <m:nor/>
                </m:rPr>
                <w:rPr>
                  <w:rFonts w:ascii="Arial" w:eastAsiaTheme="minorEastAsia" w:hAnsi="Arial" w:cs="Arial"/>
                </w:rPr>
                <m:t>low</m:t>
              </m:r>
            </m:sub>
          </m:sSub>
          <m:r>
            <w:rPr>
              <w:rFonts w:ascii="Cambria Math" w:eastAsiaTheme="minorEastAsia" w:hAnsi="Cambria Math" w:cs="Arial"/>
            </w:rPr>
            <m:t>+</m:t>
          </m:r>
          <m:d>
            <m:dPr>
              <m:begChr m:val="["/>
              <m:endChr m:val="]"/>
              <m:ctrlPr>
                <w:rPr>
                  <w:rFonts w:ascii="Cambria Math" w:eastAsiaTheme="minorEastAsia" w:hAnsi="Cambria Math" w:cs="Arial"/>
                </w:rPr>
              </m:ctrlPr>
            </m:dPr>
            <m:e>
              <m:f>
                <m:fPr>
                  <m:ctrlPr>
                    <w:rPr>
                      <w:rFonts w:ascii="Cambria Math" w:eastAsiaTheme="minorEastAsia" w:hAnsi="Cambria Math" w:cs="Arial"/>
                    </w:rPr>
                  </m:ctrlPr>
                </m:fPr>
                <m:num>
                  <m:sSub>
                    <m:sSubPr>
                      <m:ctrlPr>
                        <w:rPr>
                          <w:rFonts w:ascii="Cambria Math" w:eastAsiaTheme="minorEastAsia" w:hAnsi="Cambria Math" w:cs="Arial"/>
                        </w:rPr>
                      </m:ctrlPr>
                    </m:sSubPr>
                    <m:e>
                      <m:r>
                        <m:rPr>
                          <m:nor/>
                        </m:rPr>
                        <w:rPr>
                          <w:rFonts w:ascii="Arial" w:eastAsiaTheme="minorEastAsia" w:hAnsi="Arial" w:cs="Arial"/>
                        </w:rPr>
                        <m:t>NPV</m:t>
                      </m:r>
                    </m:e>
                    <m:sub>
                      <m:r>
                        <m:rPr>
                          <m:nor/>
                        </m:rPr>
                        <w:rPr>
                          <w:rFonts w:ascii="Arial" w:eastAsiaTheme="minorEastAsia" w:hAnsi="Arial" w:cs="Arial"/>
                        </w:rPr>
                        <m:t>low</m:t>
                      </m:r>
                    </m:sub>
                  </m:sSub>
                </m:num>
                <m:den>
                  <m:sSub>
                    <m:sSubPr>
                      <m:ctrlPr>
                        <w:rPr>
                          <w:rFonts w:ascii="Cambria Math" w:eastAsiaTheme="minorEastAsia" w:hAnsi="Cambria Math" w:cs="Arial"/>
                        </w:rPr>
                      </m:ctrlPr>
                    </m:sSubPr>
                    <m:e>
                      <m:r>
                        <m:rPr>
                          <m:nor/>
                        </m:rPr>
                        <w:rPr>
                          <w:rFonts w:ascii="Arial" w:eastAsiaTheme="minorEastAsia" w:hAnsi="Arial" w:cs="Arial"/>
                        </w:rPr>
                        <m:t>NPV</m:t>
                      </m:r>
                    </m:e>
                    <m:sub>
                      <m:r>
                        <m:rPr>
                          <m:nor/>
                        </m:rPr>
                        <w:rPr>
                          <w:rFonts w:ascii="Arial" w:eastAsiaTheme="minorEastAsia" w:hAnsi="Arial" w:cs="Arial"/>
                        </w:rPr>
                        <m:t>low</m:t>
                      </m:r>
                    </m:sub>
                  </m:sSub>
                  <m:r>
                    <w:rPr>
                      <w:rFonts w:ascii="Cambria Math" w:eastAsiaTheme="minorEastAsia" w:hAnsi="Cambria Math" w:cs="Arial"/>
                    </w:rPr>
                    <m:t>-</m:t>
                  </m:r>
                  <m:sSub>
                    <m:sSubPr>
                      <m:ctrlPr>
                        <w:rPr>
                          <w:rFonts w:ascii="Cambria Math" w:eastAsiaTheme="minorEastAsia" w:hAnsi="Cambria Math" w:cs="Arial"/>
                        </w:rPr>
                      </m:ctrlPr>
                    </m:sSubPr>
                    <m:e>
                      <m:r>
                        <m:rPr>
                          <m:nor/>
                        </m:rPr>
                        <w:rPr>
                          <w:rFonts w:ascii="Arial" w:eastAsiaTheme="minorEastAsia" w:hAnsi="Arial" w:cs="Arial"/>
                        </w:rPr>
                        <m:t>NPV</m:t>
                      </m:r>
                    </m:e>
                    <m:sub>
                      <m:r>
                        <m:rPr>
                          <m:nor/>
                        </m:rPr>
                        <w:rPr>
                          <w:rFonts w:ascii="Arial" w:eastAsiaTheme="minorEastAsia" w:hAnsi="Arial" w:cs="Arial"/>
                        </w:rPr>
                        <m:t>high</m:t>
                      </m:r>
                    </m:sub>
                  </m:sSub>
                </m:den>
              </m:f>
            </m:e>
          </m:d>
          <m:r>
            <w:rPr>
              <w:rFonts w:ascii="Cambria Math" w:eastAsiaTheme="minorEastAsia" w:hAnsi="Cambria Math" w:cs="Arial"/>
            </w:rPr>
            <m:t>×</m:t>
          </m:r>
          <m:d>
            <m:dPr>
              <m:ctrlPr>
                <w:rPr>
                  <w:rFonts w:ascii="Cambria Math" w:eastAsiaTheme="minorEastAsia" w:hAnsi="Cambria Math" w:cs="Arial"/>
                </w:rPr>
              </m:ctrlPr>
            </m:dPr>
            <m:e>
              <m:sSub>
                <m:sSubPr>
                  <m:ctrlPr>
                    <w:rPr>
                      <w:rFonts w:ascii="Cambria Math" w:eastAsiaTheme="minorEastAsia" w:hAnsi="Cambria Math" w:cs="Arial"/>
                    </w:rPr>
                  </m:ctrlPr>
                </m:sSubPr>
                <m:e>
                  <m:r>
                    <w:rPr>
                      <w:rFonts w:ascii="Cambria Math" w:eastAsiaTheme="minorEastAsia" w:hAnsi="Cambria Math" w:cs="Arial"/>
                    </w:rPr>
                    <m:t>r</m:t>
                  </m:r>
                </m:e>
                <m:sub>
                  <m:r>
                    <m:rPr>
                      <m:nor/>
                    </m:rPr>
                    <w:rPr>
                      <w:rFonts w:ascii="Arial" w:eastAsiaTheme="minorEastAsia" w:hAnsi="Arial" w:cs="Arial"/>
                    </w:rPr>
                    <m:t>high</m:t>
                  </m:r>
                </m:sub>
              </m:sSub>
              <m:r>
                <w:rPr>
                  <w:rFonts w:ascii="Cambria Math" w:eastAsiaTheme="minorEastAsia" w:hAnsi="Cambria Math" w:cs="Arial"/>
                </w:rPr>
                <m:t>-</m:t>
              </m:r>
              <m:sSub>
                <m:sSubPr>
                  <m:ctrlPr>
                    <w:rPr>
                      <w:rFonts w:ascii="Cambria Math" w:eastAsiaTheme="minorEastAsia" w:hAnsi="Cambria Math" w:cs="Arial"/>
                    </w:rPr>
                  </m:ctrlPr>
                </m:sSubPr>
                <m:e>
                  <m:r>
                    <w:rPr>
                      <w:rFonts w:ascii="Cambria Math" w:eastAsiaTheme="minorEastAsia" w:hAnsi="Cambria Math" w:cs="Arial"/>
                    </w:rPr>
                    <m:t>r</m:t>
                  </m:r>
                </m:e>
                <m:sub>
                  <m:r>
                    <m:rPr>
                      <m:nor/>
                    </m:rPr>
                    <w:rPr>
                      <w:rFonts w:ascii="Arial" w:eastAsiaTheme="minorEastAsia" w:hAnsi="Arial" w:cs="Arial"/>
                    </w:rPr>
                    <m:t>low</m:t>
                  </m:r>
                </m:sub>
              </m:sSub>
            </m:e>
          </m:d>
        </m:oMath>
      </m:oMathPara>
    </w:p>
    <w:p w14:paraId="1DABD7BF" w14:textId="77777777" w:rsidR="00A7362D" w:rsidRPr="00611CB9" w:rsidRDefault="00000000" w:rsidP="00A7362D">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IRR</m:t>
              </m:r>
            </m:e>
            <m:sub>
              <m:r>
                <w:rPr>
                  <w:rFonts w:ascii="Cambria Math" w:eastAsiaTheme="minorEastAsia" w:hAnsi="Cambria Math" w:cs="Arial"/>
                </w:rPr>
                <m:t>C</m:t>
              </m:r>
            </m:sub>
          </m:sSub>
          <m:r>
            <w:rPr>
              <w:rFonts w:ascii="Cambria Math" w:eastAsiaTheme="minorEastAsia" w:hAnsi="Cambria Math" w:cs="Arial"/>
            </w:rPr>
            <m:t>=8%+</m:t>
          </m:r>
          <m:d>
            <m:dPr>
              <m:begChr m:val="["/>
              <m:endChr m:val="]"/>
              <m:ctrlPr>
                <w:rPr>
                  <w:rFonts w:ascii="Cambria Math" w:eastAsiaTheme="minorEastAsia" w:hAnsi="Cambria Math" w:cs="Arial"/>
                </w:rPr>
              </m:ctrlPr>
            </m:dPr>
            <m:e>
              <m:f>
                <m:fPr>
                  <m:ctrlPr>
                    <w:rPr>
                      <w:rFonts w:ascii="Cambria Math" w:eastAsiaTheme="minorEastAsia" w:hAnsi="Cambria Math" w:cs="Arial"/>
                    </w:rPr>
                  </m:ctrlPr>
                </m:fPr>
                <m:num>
                  <m:r>
                    <w:rPr>
                      <w:rFonts w:ascii="Cambria Math" w:eastAsiaTheme="minorEastAsia" w:hAnsi="Cambria Math" w:cs="Arial"/>
                    </w:rPr>
                    <m:t>£0.857</m:t>
                  </m:r>
                  <m:r>
                    <m:rPr>
                      <m:nor/>
                    </m:rPr>
                    <w:rPr>
                      <w:rFonts w:ascii="Arial" w:eastAsiaTheme="minorEastAsia" w:hAnsi="Arial" w:cs="Arial"/>
                    </w:rPr>
                    <m:t>m</m:t>
                  </m:r>
                </m:num>
                <m:den>
                  <m:r>
                    <w:rPr>
                      <w:rFonts w:ascii="Cambria Math" w:eastAsiaTheme="minorEastAsia" w:hAnsi="Cambria Math" w:cs="Arial"/>
                    </w:rPr>
                    <m:t>£0.857</m:t>
                  </m:r>
                  <m:r>
                    <m:rPr>
                      <m:nor/>
                    </m:rPr>
                    <w:rPr>
                      <w:rFonts w:ascii="Arial" w:eastAsiaTheme="minorEastAsia" w:hAnsi="Arial" w:cs="Arial"/>
                    </w:rPr>
                    <m:t>m</m:t>
                  </m:r>
                  <m:r>
                    <w:rPr>
                      <w:rFonts w:ascii="Cambria Math" w:eastAsiaTheme="minorEastAsia" w:hAnsi="Cambria Math" w:cs="Arial"/>
                    </w:rPr>
                    <m:t>-</m:t>
                  </m:r>
                  <m:d>
                    <m:dPr>
                      <m:ctrlPr>
                        <w:rPr>
                          <w:rFonts w:ascii="Cambria Math" w:eastAsiaTheme="minorEastAsia" w:hAnsi="Cambria Math" w:cs="Arial"/>
                        </w:rPr>
                      </m:ctrlPr>
                    </m:dPr>
                    <m:e>
                      <m:r>
                        <w:rPr>
                          <w:rFonts w:ascii="Cambria Math" w:eastAsiaTheme="minorEastAsia" w:hAnsi="Cambria Math" w:cs="Arial"/>
                        </w:rPr>
                        <m:t>-£0.592</m:t>
                      </m:r>
                      <m:r>
                        <m:rPr>
                          <m:nor/>
                        </m:rPr>
                        <w:rPr>
                          <w:rFonts w:ascii="Arial" w:eastAsiaTheme="minorEastAsia" w:hAnsi="Arial" w:cs="Arial"/>
                        </w:rPr>
                        <m:t>m</m:t>
                      </m:r>
                    </m:e>
                  </m:d>
                </m:den>
              </m:f>
            </m:e>
          </m:d>
          <m:r>
            <w:rPr>
              <w:rFonts w:ascii="Cambria Math" w:eastAsiaTheme="minorEastAsia" w:hAnsi="Cambria Math" w:cs="Arial"/>
            </w:rPr>
            <m:t>×</m:t>
          </m:r>
          <m:d>
            <m:dPr>
              <m:ctrlPr>
                <w:rPr>
                  <w:rFonts w:ascii="Cambria Math" w:eastAsiaTheme="minorEastAsia" w:hAnsi="Cambria Math" w:cs="Arial"/>
                </w:rPr>
              </m:ctrlPr>
            </m:dPr>
            <m:e>
              <m:r>
                <w:rPr>
                  <w:rFonts w:ascii="Cambria Math" w:eastAsiaTheme="minorEastAsia" w:hAnsi="Cambria Math" w:cs="Arial"/>
                </w:rPr>
                <m:t>9%-8%</m:t>
              </m:r>
            </m:e>
          </m:d>
        </m:oMath>
      </m:oMathPara>
    </w:p>
    <w:p w14:paraId="648069D0" w14:textId="77777777" w:rsidR="00A7362D" w:rsidRPr="00611CB9" w:rsidRDefault="00000000" w:rsidP="00A7362D">
      <w:pPr>
        <w:spacing w:line="360" w:lineRule="auto"/>
        <w:rPr>
          <w:rFonts w:ascii="Arial" w:eastAsiaTheme="minorEastAsia" w:hAnsi="Arial" w:cs="Arial"/>
          <w:b/>
        </w:rPr>
      </w:pPr>
      <m:oMathPara>
        <m:oMath>
          <m:sSub>
            <m:sSubPr>
              <m:ctrlPr>
                <w:rPr>
                  <w:rFonts w:ascii="Cambria Math" w:eastAsiaTheme="minorEastAsia" w:hAnsi="Cambria Math" w:cs="Arial"/>
                </w:rPr>
              </m:ctrlPr>
            </m:sSubPr>
            <m:e>
              <m:r>
                <m:rPr>
                  <m:nor/>
                </m:rPr>
                <w:rPr>
                  <w:rFonts w:ascii="Arial" w:eastAsiaTheme="minorEastAsia" w:hAnsi="Arial" w:cs="Arial"/>
                </w:rPr>
                <m:t>IRR</m:t>
              </m:r>
            </m:e>
            <m:sub>
              <m:r>
                <w:rPr>
                  <w:rFonts w:ascii="Cambria Math" w:eastAsiaTheme="minorEastAsia" w:hAnsi="Cambria Math" w:cs="Arial"/>
                </w:rPr>
                <m:t>C</m:t>
              </m:r>
            </m:sub>
          </m:sSub>
          <m:r>
            <w:rPr>
              <w:rFonts w:ascii="Cambria Math" w:eastAsiaTheme="minorEastAsia" w:hAnsi="Cambria Math" w:cs="Arial"/>
            </w:rPr>
            <m:t>=8%+</m:t>
          </m:r>
          <m:d>
            <m:dPr>
              <m:begChr m:val="["/>
              <m:endChr m:val="]"/>
              <m:ctrlPr>
                <w:rPr>
                  <w:rFonts w:ascii="Cambria Math" w:eastAsiaTheme="minorEastAsia" w:hAnsi="Cambria Math" w:cs="Arial"/>
                </w:rPr>
              </m:ctrlPr>
            </m:dPr>
            <m:e>
              <m:f>
                <m:fPr>
                  <m:ctrlPr>
                    <w:rPr>
                      <w:rFonts w:ascii="Cambria Math" w:eastAsiaTheme="minorEastAsia" w:hAnsi="Cambria Math" w:cs="Arial"/>
                    </w:rPr>
                  </m:ctrlPr>
                </m:fPr>
                <m:num>
                  <m:r>
                    <w:rPr>
                      <w:rFonts w:ascii="Cambria Math" w:eastAsiaTheme="minorEastAsia" w:hAnsi="Cambria Math" w:cs="Arial"/>
                    </w:rPr>
                    <m:t>0.857</m:t>
                  </m:r>
                </m:num>
                <m:den>
                  <m:r>
                    <w:rPr>
                      <w:rFonts w:ascii="Cambria Math" w:eastAsiaTheme="minorEastAsia" w:hAnsi="Cambria Math" w:cs="Arial"/>
                    </w:rPr>
                    <m:t>1.449</m:t>
                  </m:r>
                </m:den>
              </m:f>
            </m:e>
          </m:d>
          <m:r>
            <w:rPr>
              <w:rFonts w:ascii="Cambria Math" w:eastAsiaTheme="minorEastAsia" w:hAnsi="Cambria Math" w:cs="Arial"/>
            </w:rPr>
            <m:t>×1%=8%+0.591%=</m:t>
          </m:r>
          <m:r>
            <m:rPr>
              <m:sty m:val="b"/>
            </m:rPr>
            <w:rPr>
              <w:rFonts w:ascii="Cambria Math" w:eastAsiaTheme="minorEastAsia" w:hAnsi="Cambria Math" w:cs="Arial"/>
            </w:rPr>
            <m:t>8.59%</m:t>
          </m:r>
        </m:oMath>
      </m:oMathPara>
    </w:p>
    <w:p w14:paraId="2D684FF1" w14:textId="77777777" w:rsidR="00A7362D" w:rsidRPr="00611CB9" w:rsidRDefault="00A7362D" w:rsidP="00A7362D">
      <w:pPr>
        <w:spacing w:line="360" w:lineRule="auto"/>
        <w:rPr>
          <w:rFonts w:ascii="Arial" w:eastAsiaTheme="minorEastAsia" w:hAnsi="Arial" w:cs="Arial"/>
        </w:rPr>
      </w:pPr>
    </w:p>
    <w:p w14:paraId="15CFA24D" w14:textId="0F303A50" w:rsidR="00A7362D" w:rsidRPr="00611CB9" w:rsidRDefault="00A7362D" w:rsidP="00A7362D">
      <w:pPr>
        <w:pStyle w:val="Heading2"/>
        <w:rPr>
          <w:rFonts w:ascii="Arial" w:eastAsiaTheme="minorEastAsia" w:hAnsi="Arial" w:cs="Arial"/>
        </w:rPr>
      </w:pPr>
      <w:bookmarkStart w:id="23" w:name="_Toc235474587"/>
      <w:r w:rsidRPr="00611CB9">
        <w:rPr>
          <w:rFonts w:ascii="Arial" w:eastAsiaTheme="minorEastAsia" w:hAnsi="Arial" w:cs="Arial"/>
        </w:rPr>
        <w:t>4.4 Capital Budgeting Summary Matrix</w:t>
      </w:r>
      <w:bookmarkEnd w:id="23"/>
    </w:p>
    <w:p w14:paraId="59921DF7"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To give a clear basis of comparative analysis, the computed metrics for the 3 projects are provided below:</w:t>
      </w:r>
    </w:p>
    <w:p w14:paraId="1E7BA361" w14:textId="321528CC" w:rsidR="00A7362D" w:rsidRPr="00611CB9" w:rsidRDefault="00A7362D" w:rsidP="00A7362D">
      <w:pPr>
        <w:pStyle w:val="Caption"/>
        <w:keepNext/>
        <w:rPr>
          <w:rFonts w:ascii="Arial" w:hAnsi="Arial" w:cs="Arial"/>
        </w:rPr>
      </w:pPr>
      <w:r w:rsidRPr="00611CB9">
        <w:rPr>
          <w:rFonts w:ascii="Arial" w:hAnsi="Arial" w:cs="Arial"/>
        </w:rPr>
        <w:t xml:space="preserve">Table </w:t>
      </w:r>
      <w:r w:rsidR="007A1E5C">
        <w:rPr>
          <w:rFonts w:ascii="Arial" w:hAnsi="Arial" w:cs="Arial"/>
        </w:rPr>
        <w:t>4</w:t>
      </w:r>
      <w:r w:rsidRPr="00611CB9">
        <w:rPr>
          <w:rFonts w:ascii="Arial" w:hAnsi="Arial" w:cs="Arial"/>
        </w:rPr>
        <w:t>: Capital Budgeting consolidated analysis</w:t>
      </w:r>
    </w:p>
    <w:tbl>
      <w:tblPr>
        <w:tblStyle w:val="TableGrid"/>
        <w:tblW w:w="0" w:type="auto"/>
        <w:tblLook w:val="04A0" w:firstRow="1" w:lastRow="0" w:firstColumn="1" w:lastColumn="0" w:noHBand="0" w:noVBand="1"/>
      </w:tblPr>
      <w:tblGrid>
        <w:gridCol w:w="1803"/>
        <w:gridCol w:w="1803"/>
        <w:gridCol w:w="1803"/>
        <w:gridCol w:w="1803"/>
        <w:gridCol w:w="1804"/>
      </w:tblGrid>
      <w:tr w:rsidR="00A7362D" w:rsidRPr="00611CB9" w14:paraId="44F10FEA" w14:textId="77777777" w:rsidTr="00D4245F">
        <w:tc>
          <w:tcPr>
            <w:tcW w:w="1803" w:type="dxa"/>
          </w:tcPr>
          <w:p w14:paraId="55947D32"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Appraisal Method</w:t>
            </w:r>
          </w:p>
        </w:tc>
        <w:tc>
          <w:tcPr>
            <w:tcW w:w="1803" w:type="dxa"/>
          </w:tcPr>
          <w:p w14:paraId="3C93D9A8"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Project A</w:t>
            </w:r>
          </w:p>
        </w:tc>
        <w:tc>
          <w:tcPr>
            <w:tcW w:w="1803" w:type="dxa"/>
          </w:tcPr>
          <w:p w14:paraId="0F11CA7D"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Project B</w:t>
            </w:r>
          </w:p>
        </w:tc>
        <w:tc>
          <w:tcPr>
            <w:tcW w:w="1803" w:type="dxa"/>
          </w:tcPr>
          <w:p w14:paraId="3891E9B0"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Project C</w:t>
            </w:r>
          </w:p>
        </w:tc>
        <w:tc>
          <w:tcPr>
            <w:tcW w:w="1804" w:type="dxa"/>
          </w:tcPr>
          <w:p w14:paraId="50BEDB54"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Decision Benchmark</w:t>
            </w:r>
          </w:p>
        </w:tc>
      </w:tr>
      <w:tr w:rsidR="00A7362D" w:rsidRPr="00611CB9" w14:paraId="2C9F6AAD" w14:textId="77777777" w:rsidTr="00D4245F">
        <w:tc>
          <w:tcPr>
            <w:tcW w:w="1803" w:type="dxa"/>
          </w:tcPr>
          <w:p w14:paraId="6EFC5B26"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Initial Capital Investment</w:t>
            </w:r>
          </w:p>
        </w:tc>
        <w:tc>
          <w:tcPr>
            <w:tcW w:w="1803" w:type="dxa"/>
          </w:tcPr>
          <w:p w14:paraId="6241A428"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£50,000,000</w:t>
            </w:r>
          </w:p>
        </w:tc>
        <w:tc>
          <w:tcPr>
            <w:tcW w:w="1803" w:type="dxa"/>
          </w:tcPr>
          <w:p w14:paraId="0B438D58"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£50,000,000</w:t>
            </w:r>
          </w:p>
        </w:tc>
        <w:tc>
          <w:tcPr>
            <w:tcW w:w="1803" w:type="dxa"/>
          </w:tcPr>
          <w:p w14:paraId="39921148"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£50,000,000</w:t>
            </w:r>
          </w:p>
        </w:tc>
        <w:tc>
          <w:tcPr>
            <w:tcW w:w="1804" w:type="dxa"/>
          </w:tcPr>
          <w:p w14:paraId="33ADC65B"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Capital cost matched</w:t>
            </w:r>
          </w:p>
        </w:tc>
      </w:tr>
      <w:tr w:rsidR="00A7362D" w:rsidRPr="00611CB9" w14:paraId="7517B8B8" w14:textId="77777777" w:rsidTr="00D4245F">
        <w:tc>
          <w:tcPr>
            <w:tcW w:w="1803" w:type="dxa"/>
          </w:tcPr>
          <w:p w14:paraId="7ACC2B9C"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Payback Period (PBP)</w:t>
            </w:r>
          </w:p>
        </w:tc>
        <w:tc>
          <w:tcPr>
            <w:tcW w:w="1803" w:type="dxa"/>
          </w:tcPr>
          <w:p w14:paraId="05B20BCB"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4.50 years</w:t>
            </w:r>
          </w:p>
        </w:tc>
        <w:tc>
          <w:tcPr>
            <w:tcW w:w="1803" w:type="dxa"/>
          </w:tcPr>
          <w:p w14:paraId="1A7B11A3"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4.55 years</w:t>
            </w:r>
          </w:p>
        </w:tc>
        <w:tc>
          <w:tcPr>
            <w:tcW w:w="1803" w:type="dxa"/>
          </w:tcPr>
          <w:p w14:paraId="7E60581A"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3.60 years</w:t>
            </w:r>
          </w:p>
        </w:tc>
        <w:tc>
          <w:tcPr>
            <w:tcW w:w="1804" w:type="dxa"/>
          </w:tcPr>
          <w:p w14:paraId="5120DEFF" w14:textId="28B31F04"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Duration should be less.</w:t>
            </w:r>
          </w:p>
        </w:tc>
      </w:tr>
      <w:tr w:rsidR="00A7362D" w:rsidRPr="00611CB9" w14:paraId="51377ECB" w14:textId="77777777" w:rsidTr="00D4245F">
        <w:tc>
          <w:tcPr>
            <w:tcW w:w="1803" w:type="dxa"/>
          </w:tcPr>
          <w:p w14:paraId="2A16741D"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Accounting Rate of Return (ARR)</w:t>
            </w:r>
          </w:p>
        </w:tc>
        <w:tc>
          <w:tcPr>
            <w:tcW w:w="1803" w:type="dxa"/>
          </w:tcPr>
          <w:p w14:paraId="3A714D62"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3.20%</w:t>
            </w:r>
          </w:p>
        </w:tc>
        <w:tc>
          <w:tcPr>
            <w:tcW w:w="1803" w:type="dxa"/>
          </w:tcPr>
          <w:p w14:paraId="27B28211"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4.00%</w:t>
            </w:r>
          </w:p>
        </w:tc>
        <w:tc>
          <w:tcPr>
            <w:tcW w:w="1803" w:type="dxa"/>
          </w:tcPr>
          <w:p w14:paraId="06349B60"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12.00%</w:t>
            </w:r>
          </w:p>
        </w:tc>
        <w:tc>
          <w:tcPr>
            <w:tcW w:w="1804" w:type="dxa"/>
          </w:tcPr>
          <w:p w14:paraId="2B395325" w14:textId="27751154"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Target needs to be high.</w:t>
            </w:r>
          </w:p>
        </w:tc>
      </w:tr>
      <w:tr w:rsidR="00A7362D" w:rsidRPr="00611CB9" w14:paraId="730DFF58" w14:textId="77777777" w:rsidTr="00D4245F">
        <w:tc>
          <w:tcPr>
            <w:tcW w:w="1803" w:type="dxa"/>
          </w:tcPr>
          <w:p w14:paraId="59080F1B"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Net Present Value (NPV)</w:t>
            </w:r>
          </w:p>
        </w:tc>
        <w:tc>
          <w:tcPr>
            <w:tcW w:w="1803" w:type="dxa"/>
          </w:tcPr>
          <w:p w14:paraId="25386516"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-£6.5441m</w:t>
            </w:r>
          </w:p>
        </w:tc>
        <w:tc>
          <w:tcPr>
            <w:tcW w:w="1803" w:type="dxa"/>
          </w:tcPr>
          <w:p w14:paraId="7F8AD481"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-£6.0803m</w:t>
            </w:r>
          </w:p>
        </w:tc>
        <w:tc>
          <w:tcPr>
            <w:tcW w:w="1803" w:type="dxa"/>
          </w:tcPr>
          <w:p w14:paraId="0C075F10"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+£0.8582m</w:t>
            </w:r>
          </w:p>
        </w:tc>
        <w:tc>
          <w:tcPr>
            <w:tcW w:w="1804" w:type="dxa"/>
          </w:tcPr>
          <w:p w14:paraId="11D6A894"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Recognise if NPV&gt;0</w:t>
            </w:r>
          </w:p>
        </w:tc>
      </w:tr>
      <w:tr w:rsidR="00A7362D" w:rsidRPr="00611CB9" w14:paraId="29BDC470" w14:textId="77777777" w:rsidTr="00D4245F">
        <w:tc>
          <w:tcPr>
            <w:tcW w:w="1803" w:type="dxa"/>
          </w:tcPr>
          <w:p w14:paraId="7B09BB0A"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Profitability Index (PI)</w:t>
            </w:r>
          </w:p>
        </w:tc>
        <w:tc>
          <w:tcPr>
            <w:tcW w:w="1803" w:type="dxa"/>
          </w:tcPr>
          <w:p w14:paraId="3F597A60"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0.869</w:t>
            </w:r>
          </w:p>
        </w:tc>
        <w:tc>
          <w:tcPr>
            <w:tcW w:w="1803" w:type="dxa"/>
          </w:tcPr>
          <w:p w14:paraId="66B88592"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0.878</w:t>
            </w:r>
          </w:p>
        </w:tc>
        <w:tc>
          <w:tcPr>
            <w:tcW w:w="1803" w:type="dxa"/>
          </w:tcPr>
          <w:p w14:paraId="4FE923EE"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1.017</w:t>
            </w:r>
          </w:p>
        </w:tc>
        <w:tc>
          <w:tcPr>
            <w:tcW w:w="1804" w:type="dxa"/>
          </w:tcPr>
          <w:p w14:paraId="3E143EE6"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Accept if PI &gt;0</w:t>
            </w:r>
          </w:p>
        </w:tc>
      </w:tr>
      <w:tr w:rsidR="00A7362D" w:rsidRPr="00611CB9" w14:paraId="2C9F83CB" w14:textId="77777777" w:rsidTr="00D4245F">
        <w:tc>
          <w:tcPr>
            <w:tcW w:w="1803" w:type="dxa"/>
          </w:tcPr>
          <w:p w14:paraId="7025D014"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lastRenderedPageBreak/>
              <w:t>Internal rate of return (IRR)</w:t>
            </w:r>
          </w:p>
        </w:tc>
        <w:tc>
          <w:tcPr>
            <w:tcW w:w="1803" w:type="dxa"/>
          </w:tcPr>
          <w:p w14:paraId="75AC95D5"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3.03%</w:t>
            </w:r>
          </w:p>
        </w:tc>
        <w:tc>
          <w:tcPr>
            <w:tcW w:w="1803" w:type="dxa"/>
          </w:tcPr>
          <w:p w14:paraId="78FD1545"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3.61%</w:t>
            </w:r>
          </w:p>
        </w:tc>
        <w:tc>
          <w:tcPr>
            <w:tcW w:w="1803" w:type="dxa"/>
          </w:tcPr>
          <w:p w14:paraId="2025F2E0"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8.59%</w:t>
            </w:r>
          </w:p>
        </w:tc>
        <w:tc>
          <w:tcPr>
            <w:tcW w:w="1804" w:type="dxa"/>
          </w:tcPr>
          <w:p w14:paraId="6AE34A1F"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Recognise if IRR&gt;8%</w:t>
            </w:r>
          </w:p>
        </w:tc>
      </w:tr>
    </w:tbl>
    <w:p w14:paraId="424F0D5C" w14:textId="77777777" w:rsidR="00A7362D" w:rsidRPr="00611CB9" w:rsidRDefault="00A7362D" w:rsidP="00A7362D">
      <w:pPr>
        <w:tabs>
          <w:tab w:val="num" w:pos="720"/>
        </w:tabs>
        <w:spacing w:line="360" w:lineRule="auto"/>
        <w:rPr>
          <w:rFonts w:ascii="Arial" w:eastAsiaTheme="minorEastAsia" w:hAnsi="Arial" w:cs="Arial"/>
          <w:b/>
        </w:rPr>
      </w:pPr>
    </w:p>
    <w:p w14:paraId="4D2652EB" w14:textId="371A6485" w:rsidR="00A7362D" w:rsidRPr="00611CB9" w:rsidRDefault="00A7362D" w:rsidP="00A7362D">
      <w:pPr>
        <w:pStyle w:val="Heading2"/>
        <w:rPr>
          <w:rFonts w:ascii="Arial" w:eastAsiaTheme="minorEastAsia" w:hAnsi="Arial" w:cs="Arial"/>
        </w:rPr>
      </w:pPr>
      <w:bookmarkStart w:id="24" w:name="_Toc235474588"/>
      <w:r w:rsidRPr="00611CB9">
        <w:rPr>
          <w:rFonts w:ascii="Arial" w:eastAsiaTheme="minorEastAsia" w:hAnsi="Arial" w:cs="Arial"/>
        </w:rPr>
        <w:t>4.5 Strategic Recommendation and Justification</w:t>
      </w:r>
      <w:bookmarkEnd w:id="24"/>
    </w:p>
    <w:p w14:paraId="5247EEFE" w14:textId="77777777" w:rsidR="00A7362D" w:rsidRPr="00611CB9" w:rsidRDefault="00A7362D" w:rsidP="00A7362D">
      <w:pPr>
        <w:tabs>
          <w:tab w:val="num" w:pos="720"/>
        </w:tabs>
        <w:spacing w:line="360" w:lineRule="auto"/>
        <w:rPr>
          <w:rFonts w:ascii="Arial" w:eastAsiaTheme="minorEastAsia" w:hAnsi="Arial" w:cs="Arial"/>
          <w:b/>
          <w:i/>
          <w:iCs/>
        </w:rPr>
      </w:pPr>
      <w:r w:rsidRPr="00611CB9">
        <w:rPr>
          <w:rFonts w:ascii="Arial" w:eastAsiaTheme="minorEastAsia" w:hAnsi="Arial" w:cs="Arial"/>
          <w:b/>
          <w:i/>
          <w:iCs/>
        </w:rPr>
        <w:t>Financial Justification and alignment</w:t>
      </w:r>
    </w:p>
    <w:p w14:paraId="2CA85626" w14:textId="77777777" w:rsidR="00A7362D" w:rsidRPr="00611CB9" w:rsidRDefault="00A7362D" w:rsidP="00A7362D">
      <w:pPr>
        <w:tabs>
          <w:tab w:val="num" w:pos="720"/>
        </w:tabs>
        <w:spacing w:line="360" w:lineRule="auto"/>
        <w:rPr>
          <w:rFonts w:ascii="Arial" w:eastAsiaTheme="minorEastAsia" w:hAnsi="Arial" w:cs="Arial"/>
        </w:rPr>
      </w:pPr>
      <w:r w:rsidRPr="00611CB9">
        <w:rPr>
          <w:rFonts w:ascii="Arial" w:eastAsiaTheme="minorEastAsia" w:hAnsi="Arial" w:cs="Arial"/>
        </w:rPr>
        <w:t xml:space="preserve">A clear conclusion after financial judgment is that the </w:t>
      </w:r>
      <w:r w:rsidRPr="00611CB9">
        <w:rPr>
          <w:rFonts w:ascii="Arial" w:eastAsiaTheme="minorEastAsia" w:hAnsi="Arial" w:cs="Arial"/>
          <w:b/>
        </w:rPr>
        <w:t>only monetarily viable investment option is Project C</w:t>
      </w:r>
      <w:r w:rsidRPr="00611CB9">
        <w:rPr>
          <w:rFonts w:ascii="Arial" w:eastAsiaTheme="minorEastAsia" w:hAnsi="Arial" w:cs="Arial"/>
        </w:rPr>
        <w:t>, which should be picked. Increasing shareholder wealth is the primary goal of capital budgeting based on corporate finance principles (Brealey, Myers, and Allen, 2023). Net Present Value (NPV) is the ideal decision method as it considers the time value of money and ignores the traditional payback technique and timing issues of ARR.</w:t>
      </w:r>
    </w:p>
    <w:p w14:paraId="50FDBB68" w14:textId="38EE40F0" w:rsidR="00A7362D" w:rsidRPr="00611CB9" w:rsidRDefault="00A7362D" w:rsidP="00A7362D">
      <w:pPr>
        <w:tabs>
          <w:tab w:val="num" w:pos="720"/>
        </w:tabs>
        <w:spacing w:line="360" w:lineRule="auto"/>
        <w:rPr>
          <w:rFonts w:ascii="Arial" w:eastAsiaTheme="minorEastAsia" w:hAnsi="Arial" w:cs="Arial"/>
        </w:rPr>
      </w:pPr>
      <w:r w:rsidRPr="00611CB9">
        <w:rPr>
          <w:rFonts w:ascii="Arial" w:eastAsiaTheme="minorEastAsia" w:hAnsi="Arial" w:cs="Arial"/>
        </w:rPr>
        <w:t>Capital value would be devalued by Projects A and B, which have Net present values of -£6,544,100 and -£6,080,300. Their IRRs are also significantly less than the 8% corporate hurdle rate. Deploying resources to Project A or Project B would decrease the value of the company as an outcome, and credit rating agencies also keep an eye on the investment levels of the company.</w:t>
      </w:r>
    </w:p>
    <w:p w14:paraId="310B6930" w14:textId="77777777" w:rsidR="00A7362D" w:rsidRPr="00611CB9" w:rsidRDefault="00A7362D" w:rsidP="00A7362D">
      <w:pPr>
        <w:tabs>
          <w:tab w:val="num" w:pos="720"/>
        </w:tabs>
        <w:spacing w:line="360" w:lineRule="auto"/>
        <w:rPr>
          <w:rFonts w:ascii="Arial" w:eastAsiaTheme="minorEastAsia" w:hAnsi="Arial" w:cs="Arial"/>
        </w:rPr>
      </w:pPr>
      <w:r w:rsidRPr="00611CB9">
        <w:rPr>
          <w:rFonts w:ascii="Arial" w:eastAsiaTheme="minorEastAsia" w:hAnsi="Arial" w:cs="Arial"/>
        </w:rPr>
        <w:t>Project C is generating a positive valuation by contributing £858,200 in discounted present value to the company. Its Profitability Index of 1.017 provides that every pound invested returns £ 1.017 in present value terms. Its IRR also passes the 8% hurdle rate, and the payback period is only 3.60 years, which decreases the risk of capital exposure.</w:t>
      </w:r>
    </w:p>
    <w:p w14:paraId="1DCF1933" w14:textId="77777777" w:rsidR="00A7362D" w:rsidRPr="00611CB9" w:rsidRDefault="00A7362D" w:rsidP="00A7362D">
      <w:pPr>
        <w:tabs>
          <w:tab w:val="num" w:pos="720"/>
        </w:tabs>
        <w:spacing w:line="360" w:lineRule="auto"/>
        <w:rPr>
          <w:rFonts w:ascii="Arial" w:eastAsiaTheme="minorEastAsia" w:hAnsi="Arial" w:cs="Arial"/>
          <w:b/>
          <w:i/>
          <w:iCs/>
        </w:rPr>
      </w:pPr>
      <w:r w:rsidRPr="00611CB9">
        <w:rPr>
          <w:rFonts w:ascii="Arial" w:eastAsiaTheme="minorEastAsia" w:hAnsi="Arial" w:cs="Arial"/>
          <w:b/>
          <w:i/>
          <w:iCs/>
        </w:rPr>
        <w:t>Non-Financial Risk Integration</w:t>
      </w:r>
    </w:p>
    <w:p w14:paraId="2D068D4C" w14:textId="77777777" w:rsidR="00A7362D" w:rsidRPr="00611CB9" w:rsidRDefault="00A7362D" w:rsidP="00A7362D">
      <w:pPr>
        <w:tabs>
          <w:tab w:val="num" w:pos="720"/>
        </w:tabs>
        <w:spacing w:line="360" w:lineRule="auto"/>
        <w:rPr>
          <w:rFonts w:ascii="Arial" w:eastAsiaTheme="minorEastAsia" w:hAnsi="Arial" w:cs="Arial"/>
        </w:rPr>
      </w:pPr>
      <w:r w:rsidRPr="00611CB9">
        <w:rPr>
          <w:rFonts w:ascii="Arial" w:eastAsiaTheme="minorEastAsia" w:hAnsi="Arial" w:cs="Arial"/>
        </w:rPr>
        <w:t>As the CFO should take care of the non-financial risks associated with Project C, there are three major risks for Hyatt, along with strategies:</w:t>
      </w:r>
    </w:p>
    <w:p w14:paraId="6F67794B" w14:textId="4C4FC894" w:rsidR="00A7362D" w:rsidRPr="00611CB9" w:rsidRDefault="00A7362D" w:rsidP="00A7362D">
      <w:pPr>
        <w:tabs>
          <w:tab w:val="num" w:pos="720"/>
        </w:tabs>
        <w:spacing w:line="360" w:lineRule="auto"/>
        <w:rPr>
          <w:rFonts w:ascii="Arial" w:eastAsiaTheme="minorEastAsia" w:hAnsi="Arial" w:cs="Arial"/>
        </w:rPr>
      </w:pPr>
      <w:r w:rsidRPr="00611CB9">
        <w:rPr>
          <w:rFonts w:ascii="Arial" w:eastAsiaTheme="minorEastAsia" w:hAnsi="Arial" w:cs="Arial"/>
          <w:b/>
        </w:rPr>
        <w:t>Cash Flow Returns</w:t>
      </w:r>
      <w:r w:rsidRPr="00611CB9">
        <w:rPr>
          <w:rFonts w:ascii="Arial" w:eastAsiaTheme="minorEastAsia" w:hAnsi="Arial" w:cs="Arial"/>
        </w:rPr>
        <w:t>: The Project is very vulnerable to economic crisis, as 69% of inflows are delayed until Years 3 and 4, but Hyatt can deal with this by adopting asset-light structures and securing base rates by agreements with third parties.</w:t>
      </w:r>
    </w:p>
    <w:p w14:paraId="6FA52688" w14:textId="5193AF70" w:rsidR="00A7362D" w:rsidRPr="00611CB9" w:rsidRDefault="00A7362D" w:rsidP="00A7362D">
      <w:pPr>
        <w:tabs>
          <w:tab w:val="num" w:pos="720"/>
        </w:tabs>
        <w:spacing w:line="360" w:lineRule="auto"/>
        <w:rPr>
          <w:rFonts w:ascii="Arial" w:eastAsiaTheme="minorEastAsia" w:hAnsi="Arial" w:cs="Arial"/>
        </w:rPr>
      </w:pPr>
      <w:r w:rsidRPr="00611CB9">
        <w:rPr>
          <w:rFonts w:ascii="Arial" w:eastAsiaTheme="minorEastAsia" w:hAnsi="Arial" w:cs="Arial"/>
          <w:b/>
        </w:rPr>
        <w:t>Political risk</w:t>
      </w:r>
      <w:r w:rsidRPr="00611CB9">
        <w:rPr>
          <w:rFonts w:ascii="Arial" w:eastAsiaTheme="minorEastAsia" w:hAnsi="Arial" w:cs="Arial"/>
        </w:rPr>
        <w:t>: As a result of its emerging growth, Hyatt is at risk of regulatory changes. To deal with this, local joint ventures and political risk insurance can be used for mitigation.</w:t>
      </w:r>
    </w:p>
    <w:p w14:paraId="2DC42C03" w14:textId="77777777" w:rsidR="00A7362D" w:rsidRPr="00611CB9" w:rsidRDefault="00A7362D" w:rsidP="00A7362D">
      <w:pPr>
        <w:tabs>
          <w:tab w:val="num" w:pos="720"/>
        </w:tabs>
        <w:spacing w:line="360" w:lineRule="auto"/>
        <w:rPr>
          <w:rFonts w:ascii="Arial" w:eastAsiaTheme="minorEastAsia" w:hAnsi="Arial" w:cs="Arial"/>
        </w:rPr>
      </w:pPr>
      <w:r w:rsidRPr="00611CB9">
        <w:rPr>
          <w:rFonts w:ascii="Arial" w:eastAsiaTheme="minorEastAsia" w:hAnsi="Arial" w:cs="Arial"/>
          <w:b/>
        </w:rPr>
        <w:lastRenderedPageBreak/>
        <w:t>Brand Equity</w:t>
      </w:r>
      <w:r w:rsidRPr="00611CB9">
        <w:rPr>
          <w:rFonts w:ascii="Arial" w:eastAsiaTheme="minorEastAsia" w:hAnsi="Arial" w:cs="Arial"/>
        </w:rPr>
        <w:t>: As Hyatt is expanding fast, there is a risk of service inconsistency. Hyatt should perform quality checks and set up strong service-level contracts.</w:t>
      </w:r>
    </w:p>
    <w:p w14:paraId="59D94BA0" w14:textId="606C2C79" w:rsidR="00A7362D" w:rsidRPr="00611CB9" w:rsidRDefault="00A7362D" w:rsidP="00A7362D">
      <w:pPr>
        <w:pStyle w:val="Heading2"/>
        <w:rPr>
          <w:rFonts w:ascii="Arial" w:eastAsiaTheme="minorEastAsia" w:hAnsi="Arial" w:cs="Arial"/>
        </w:rPr>
      </w:pPr>
      <w:bookmarkStart w:id="25" w:name="_Toc235474589"/>
      <w:r w:rsidRPr="00611CB9">
        <w:rPr>
          <w:rFonts w:ascii="Arial" w:eastAsiaTheme="minorEastAsia" w:hAnsi="Arial" w:cs="Arial"/>
        </w:rPr>
        <w:t>4.6 Capital Rationing</w:t>
      </w:r>
      <w:bookmarkEnd w:id="25"/>
    </w:p>
    <w:p w14:paraId="00371F7B" w14:textId="17DC6F10" w:rsidR="00A7362D" w:rsidRPr="00611CB9" w:rsidRDefault="00A7362D" w:rsidP="00A7362D">
      <w:pPr>
        <w:tabs>
          <w:tab w:val="num" w:pos="720"/>
        </w:tabs>
        <w:spacing w:line="360" w:lineRule="auto"/>
        <w:rPr>
          <w:rFonts w:ascii="Arial" w:eastAsiaTheme="minorEastAsia" w:hAnsi="Arial" w:cs="Arial"/>
        </w:rPr>
      </w:pPr>
      <w:r w:rsidRPr="00611CB9">
        <w:rPr>
          <w:rFonts w:ascii="Arial" w:eastAsiaTheme="minorEastAsia" w:hAnsi="Arial" w:cs="Arial"/>
        </w:rPr>
        <w:t>Hyatt faces capital rationing under an intense £100 million capital budget limitation. The company can invest in only 2 options because each project needs an initial investment of £50 million. The best method is to choose the 2-project combination which maximises aggregate Net Present Value.</w:t>
      </w:r>
    </w:p>
    <w:p w14:paraId="5DBF69CE" w14:textId="77777777" w:rsidR="00A7362D" w:rsidRPr="00611CB9" w:rsidRDefault="00A7362D" w:rsidP="00A7362D">
      <w:pPr>
        <w:pStyle w:val="ListParagraph"/>
        <w:numPr>
          <w:ilvl w:val="0"/>
          <w:numId w:val="4"/>
        </w:numPr>
        <w:spacing w:line="360" w:lineRule="auto"/>
        <w:rPr>
          <w:rFonts w:ascii="Arial" w:eastAsiaTheme="majorEastAsia" w:hAnsi="Arial" w:cs="Arial"/>
          <w:kern w:val="0"/>
          <w:lang w:val="en-US"/>
          <w14:ligatures w14:val="none"/>
        </w:rPr>
      </w:pPr>
      <w:r w:rsidRPr="00611CB9">
        <w:rPr>
          <w:rFonts w:ascii="Arial" w:eastAsiaTheme="majorEastAsia" w:hAnsi="Arial" w:cs="Arial"/>
          <w:kern w:val="0"/>
          <w:lang w:val="en-US"/>
          <w14:ligatures w14:val="none"/>
        </w:rPr>
        <w:t>Combined NPV in combination 1: Project A + Project B</w:t>
      </w:r>
    </w:p>
    <w:p w14:paraId="134ADF8D" w14:textId="047FBCDF" w:rsidR="00A7362D" w:rsidRPr="00611CB9" w:rsidRDefault="00A7362D" w:rsidP="00A7362D">
      <w:pPr>
        <w:pStyle w:val="ListParagraph"/>
        <w:spacing w:line="360" w:lineRule="auto"/>
        <w:rPr>
          <w:rFonts w:ascii="Arial" w:eastAsiaTheme="minorEastAsia" w:hAnsi="Arial" w:cs="Arial"/>
        </w:rPr>
      </w:pPr>
      <w:r w:rsidRPr="00611CB9">
        <w:rPr>
          <w:rFonts w:ascii="Arial" w:eastAsiaTheme="majorEastAsia" w:hAnsi="Arial" w:cs="Arial"/>
          <w:kern w:val="0"/>
          <w:lang w:val="en-US"/>
          <w14:ligatures w14:val="none"/>
        </w:rPr>
        <w:t>-(</w:t>
      </w:r>
      <w:r w:rsidRPr="00611CB9">
        <w:rPr>
          <w:rFonts w:ascii="Arial" w:eastAsiaTheme="minorEastAsia" w:hAnsi="Arial" w:cs="Arial"/>
        </w:rPr>
        <w:t>£6,544</w:t>
      </w:r>
      <w:r w:rsidR="008C4233">
        <w:rPr>
          <w:rFonts w:ascii="Arial" w:eastAsiaTheme="minorEastAsia" w:hAnsi="Arial" w:cs="Arial"/>
        </w:rPr>
        <w:t>,</w:t>
      </w:r>
      <w:r w:rsidRPr="00611CB9">
        <w:rPr>
          <w:rFonts w:ascii="Arial" w:eastAsiaTheme="minorEastAsia" w:hAnsi="Arial" w:cs="Arial"/>
        </w:rPr>
        <w:t>100) + -(£6,080,300) = -£12,624,400</w:t>
      </w:r>
    </w:p>
    <w:p w14:paraId="3A6EF2AC" w14:textId="77777777" w:rsidR="00A7362D" w:rsidRPr="00611CB9" w:rsidRDefault="00A7362D" w:rsidP="00A7362D">
      <w:pPr>
        <w:pStyle w:val="ListParagraph"/>
        <w:spacing w:line="360" w:lineRule="auto"/>
        <w:rPr>
          <w:rFonts w:ascii="Arial" w:eastAsiaTheme="minorEastAsia" w:hAnsi="Arial" w:cs="Arial"/>
        </w:rPr>
      </w:pPr>
    </w:p>
    <w:p w14:paraId="4D609124" w14:textId="77777777" w:rsidR="00A7362D" w:rsidRPr="00611CB9" w:rsidRDefault="00A7362D" w:rsidP="00A7362D">
      <w:pPr>
        <w:pStyle w:val="ListParagraph"/>
        <w:numPr>
          <w:ilvl w:val="0"/>
          <w:numId w:val="4"/>
        </w:numPr>
        <w:spacing w:line="360" w:lineRule="auto"/>
        <w:rPr>
          <w:rFonts w:ascii="Arial" w:eastAsiaTheme="majorEastAsia" w:hAnsi="Arial" w:cs="Arial"/>
          <w:kern w:val="0"/>
          <w:lang w:val="en-US"/>
          <w14:ligatures w14:val="none"/>
        </w:rPr>
      </w:pPr>
      <w:r w:rsidRPr="00611CB9">
        <w:rPr>
          <w:rFonts w:ascii="Arial" w:eastAsiaTheme="majorEastAsia" w:hAnsi="Arial" w:cs="Arial"/>
          <w:kern w:val="0"/>
          <w:lang w:val="en-US"/>
          <w14:ligatures w14:val="none"/>
        </w:rPr>
        <w:t>Combined NPV in combination 2: Project A + Project C</w:t>
      </w:r>
    </w:p>
    <w:p w14:paraId="0CACF80F" w14:textId="77777777" w:rsidR="00A7362D" w:rsidRPr="00611CB9" w:rsidRDefault="00A7362D" w:rsidP="00A7362D">
      <w:pPr>
        <w:pStyle w:val="ListParagraph"/>
        <w:spacing w:line="360" w:lineRule="auto"/>
        <w:rPr>
          <w:rFonts w:ascii="Arial" w:eastAsiaTheme="majorEastAsia" w:hAnsi="Arial" w:cs="Arial"/>
          <w:kern w:val="0"/>
          <w:lang w:val="en-US"/>
          <w14:ligatures w14:val="none"/>
        </w:rPr>
      </w:pPr>
      <w:r w:rsidRPr="00611CB9">
        <w:rPr>
          <w:rFonts w:ascii="Arial" w:eastAsiaTheme="majorEastAsia" w:hAnsi="Arial" w:cs="Arial"/>
          <w:kern w:val="0"/>
          <w:lang w:val="en-US"/>
          <w14:ligatures w14:val="none"/>
        </w:rPr>
        <w:t>-(</w:t>
      </w:r>
      <w:r w:rsidRPr="00611CB9">
        <w:rPr>
          <w:rFonts w:ascii="Arial" w:eastAsiaTheme="minorEastAsia" w:hAnsi="Arial" w:cs="Arial"/>
        </w:rPr>
        <w:t>£6,544,100) + +(£858,200) = -£5,685,900</w:t>
      </w:r>
    </w:p>
    <w:p w14:paraId="62B51317" w14:textId="77777777" w:rsidR="00A7362D" w:rsidRPr="00611CB9" w:rsidRDefault="00A7362D" w:rsidP="00A7362D">
      <w:pPr>
        <w:pStyle w:val="ListParagraph"/>
        <w:spacing w:line="360" w:lineRule="auto"/>
        <w:rPr>
          <w:rFonts w:ascii="Arial" w:eastAsiaTheme="minorEastAsia" w:hAnsi="Arial" w:cs="Arial"/>
        </w:rPr>
      </w:pPr>
      <w:r w:rsidRPr="00611CB9">
        <w:rPr>
          <w:rFonts w:ascii="Arial" w:eastAsiaTheme="majorEastAsia" w:hAnsi="Arial" w:cs="Arial"/>
          <w:b/>
          <w:kern w:val="0"/>
          <w:lang w:val="en-US"/>
          <w14:ligatures w14:val="none"/>
        </w:rPr>
        <w:t xml:space="preserve"> </w:t>
      </w:r>
    </w:p>
    <w:p w14:paraId="57AA49AC" w14:textId="77777777" w:rsidR="00A7362D" w:rsidRPr="00611CB9" w:rsidRDefault="00A7362D" w:rsidP="00A7362D">
      <w:pPr>
        <w:pStyle w:val="ListParagraph"/>
        <w:numPr>
          <w:ilvl w:val="0"/>
          <w:numId w:val="4"/>
        </w:numPr>
        <w:spacing w:line="360" w:lineRule="auto"/>
        <w:rPr>
          <w:rFonts w:ascii="Arial" w:eastAsiaTheme="majorEastAsia" w:hAnsi="Arial" w:cs="Arial"/>
          <w:kern w:val="0"/>
          <w:lang w:val="en-US"/>
          <w14:ligatures w14:val="none"/>
        </w:rPr>
      </w:pPr>
      <w:r w:rsidRPr="00611CB9">
        <w:rPr>
          <w:rFonts w:ascii="Arial" w:eastAsiaTheme="majorEastAsia" w:hAnsi="Arial" w:cs="Arial"/>
          <w:kern w:val="0"/>
          <w:lang w:val="en-US"/>
          <w14:ligatures w14:val="none"/>
        </w:rPr>
        <w:t>Combined NPV in combination 3: Project B + Project C</w:t>
      </w:r>
    </w:p>
    <w:p w14:paraId="3AD9300A" w14:textId="77777777" w:rsidR="00A7362D" w:rsidRPr="00611CB9" w:rsidRDefault="00A7362D" w:rsidP="00A7362D">
      <w:pPr>
        <w:pStyle w:val="ListParagraph"/>
        <w:spacing w:line="360" w:lineRule="auto"/>
        <w:rPr>
          <w:rFonts w:ascii="Arial" w:eastAsiaTheme="minorEastAsia" w:hAnsi="Arial" w:cs="Arial"/>
        </w:rPr>
      </w:pPr>
      <w:r w:rsidRPr="00611CB9">
        <w:rPr>
          <w:rFonts w:ascii="Arial" w:eastAsiaTheme="majorEastAsia" w:hAnsi="Arial" w:cs="Arial"/>
          <w:kern w:val="0"/>
          <w:lang w:val="en-US"/>
          <w14:ligatures w14:val="none"/>
        </w:rPr>
        <w:t>-(</w:t>
      </w:r>
      <w:r w:rsidRPr="00611CB9">
        <w:rPr>
          <w:rFonts w:ascii="Arial" w:eastAsiaTheme="minorEastAsia" w:hAnsi="Arial" w:cs="Arial"/>
        </w:rPr>
        <w:t>£6,080,300) + +(£858,200) = -£5,222,100</w:t>
      </w:r>
    </w:p>
    <w:p w14:paraId="3914C055" w14:textId="77777777" w:rsidR="00A7362D" w:rsidRPr="00611CB9" w:rsidRDefault="00A7362D" w:rsidP="00A7362D">
      <w:pPr>
        <w:pStyle w:val="ListParagraph"/>
        <w:spacing w:line="360" w:lineRule="auto"/>
        <w:rPr>
          <w:rFonts w:ascii="Arial" w:eastAsiaTheme="minorEastAsia" w:hAnsi="Arial" w:cs="Arial"/>
        </w:rPr>
      </w:pPr>
    </w:p>
    <w:p w14:paraId="6C234867" w14:textId="77777777" w:rsidR="00A7362D" w:rsidRPr="00611CB9" w:rsidRDefault="00A7362D" w:rsidP="00A7362D">
      <w:pPr>
        <w:pStyle w:val="ListParagraph"/>
        <w:numPr>
          <w:ilvl w:val="0"/>
          <w:numId w:val="4"/>
        </w:numPr>
        <w:spacing w:line="360" w:lineRule="auto"/>
        <w:rPr>
          <w:rFonts w:ascii="Arial" w:eastAsiaTheme="minorEastAsia" w:hAnsi="Arial" w:cs="Arial"/>
        </w:rPr>
      </w:pPr>
      <w:r w:rsidRPr="00611CB9">
        <w:rPr>
          <w:rFonts w:ascii="Arial" w:eastAsiaTheme="minorEastAsia" w:hAnsi="Arial" w:cs="Arial"/>
        </w:rPr>
        <w:t xml:space="preserve">Project C Alone: Aggregate portfolio NPV = </w:t>
      </w:r>
      <w:r w:rsidRPr="00611CB9">
        <w:rPr>
          <w:rFonts w:ascii="Arial" w:eastAsiaTheme="minorEastAsia" w:hAnsi="Arial" w:cs="Arial"/>
          <w:b/>
        </w:rPr>
        <w:t>+£858,200</w:t>
      </w:r>
    </w:p>
    <w:p w14:paraId="209D9B38" w14:textId="77777777" w:rsidR="00A7362D" w:rsidRPr="00611CB9" w:rsidRDefault="00A7362D" w:rsidP="00A7362D">
      <w:pPr>
        <w:tabs>
          <w:tab w:val="num" w:pos="720"/>
        </w:tabs>
        <w:spacing w:line="360" w:lineRule="auto"/>
        <w:rPr>
          <w:rFonts w:ascii="Arial" w:eastAsiaTheme="minorEastAsia" w:hAnsi="Arial" w:cs="Arial"/>
        </w:rPr>
      </w:pPr>
      <w:r w:rsidRPr="00611CB9">
        <w:rPr>
          <w:rFonts w:ascii="Arial" w:eastAsiaTheme="minorEastAsia" w:hAnsi="Arial" w:cs="Arial"/>
          <w:b/>
        </w:rPr>
        <w:t>Hyatt</w:t>
      </w:r>
      <w:r w:rsidRPr="00611CB9">
        <w:rPr>
          <w:rFonts w:ascii="Arial" w:eastAsiaTheme="minorEastAsia" w:hAnsi="Arial" w:cs="Arial"/>
        </w:rPr>
        <w:t xml:space="preserve"> should reject Projects A and B and </w:t>
      </w:r>
      <w:r w:rsidRPr="00611CB9">
        <w:rPr>
          <w:rFonts w:ascii="Arial" w:eastAsiaTheme="minorEastAsia" w:hAnsi="Arial" w:cs="Arial"/>
          <w:b/>
        </w:rPr>
        <w:t>only invest in Project C</w:t>
      </w:r>
      <w:r w:rsidRPr="00611CB9">
        <w:rPr>
          <w:rFonts w:ascii="Arial" w:eastAsiaTheme="minorEastAsia" w:hAnsi="Arial" w:cs="Arial"/>
        </w:rPr>
        <w:t xml:space="preserve"> since multi-project combinations finish value. The remaining £50 million should be used for shareholder returns and to reduce debt to utilise corporate value.</w:t>
      </w:r>
    </w:p>
    <w:p w14:paraId="59587A4D" w14:textId="7FC9302D" w:rsidR="00A7362D" w:rsidRPr="00611CB9" w:rsidRDefault="00A7362D" w:rsidP="00A7362D">
      <w:pPr>
        <w:pStyle w:val="Heading1"/>
        <w:rPr>
          <w:rFonts w:ascii="Arial" w:eastAsiaTheme="minorEastAsia" w:hAnsi="Arial" w:cs="Arial"/>
        </w:rPr>
      </w:pPr>
      <w:bookmarkStart w:id="26" w:name="_Toc235474590"/>
      <w:r w:rsidRPr="00611CB9">
        <w:rPr>
          <w:rFonts w:ascii="Arial" w:eastAsiaTheme="minorEastAsia" w:hAnsi="Arial" w:cs="Arial"/>
        </w:rPr>
        <w:t>5 Critical evaluation on AI usage</w:t>
      </w:r>
      <w:bookmarkEnd w:id="26"/>
    </w:p>
    <w:p w14:paraId="3258B656" w14:textId="7C8A3017" w:rsidR="00A7362D" w:rsidRPr="00611CB9" w:rsidRDefault="00A7362D" w:rsidP="00A7362D">
      <w:pPr>
        <w:pStyle w:val="Heading2"/>
        <w:rPr>
          <w:rFonts w:ascii="Arial" w:eastAsiaTheme="minorEastAsia" w:hAnsi="Arial" w:cs="Arial"/>
        </w:rPr>
      </w:pPr>
      <w:bookmarkStart w:id="27" w:name="_Toc235474591"/>
      <w:r w:rsidRPr="00611CB9">
        <w:rPr>
          <w:rFonts w:ascii="Arial" w:eastAsiaTheme="minorEastAsia" w:hAnsi="Arial" w:cs="Arial"/>
        </w:rPr>
        <w:t>5.1 Tool Disclosure</w:t>
      </w:r>
      <w:bookmarkEnd w:id="27"/>
    </w:p>
    <w:p w14:paraId="1057DD55" w14:textId="77777777" w:rsidR="00A7362D" w:rsidRPr="00611CB9" w:rsidRDefault="00A7362D" w:rsidP="00A7362D">
      <w:pPr>
        <w:tabs>
          <w:tab w:val="num" w:pos="720"/>
        </w:tabs>
        <w:spacing w:line="360" w:lineRule="auto"/>
        <w:rPr>
          <w:rFonts w:ascii="Arial" w:eastAsiaTheme="minorEastAsia" w:hAnsi="Arial" w:cs="Arial"/>
        </w:rPr>
      </w:pPr>
      <w:r w:rsidRPr="00611CB9">
        <w:rPr>
          <w:rFonts w:ascii="Arial" w:eastAsiaTheme="minorEastAsia" w:hAnsi="Arial" w:cs="Arial"/>
        </w:rPr>
        <w:t xml:space="preserve">AI served as an analytical partner in the preparation of this financial report for better calculation confirmation. Large Language models are deployed in generating financial structural comparisons. </w:t>
      </w:r>
    </w:p>
    <w:p w14:paraId="15D2C26D" w14:textId="757956D3" w:rsidR="00A7362D" w:rsidRPr="00611CB9" w:rsidRDefault="00A7362D" w:rsidP="00A7362D">
      <w:pPr>
        <w:tabs>
          <w:tab w:val="num" w:pos="720"/>
        </w:tabs>
        <w:spacing w:line="360" w:lineRule="auto"/>
        <w:rPr>
          <w:rFonts w:ascii="Arial" w:eastAsiaTheme="minorEastAsia" w:hAnsi="Arial" w:cs="Arial"/>
        </w:rPr>
      </w:pPr>
      <w:r w:rsidRPr="00611CB9">
        <w:rPr>
          <w:rFonts w:ascii="Arial" w:eastAsiaTheme="minorEastAsia" w:hAnsi="Arial" w:cs="Arial"/>
        </w:rPr>
        <w:t>The AI can help with document typography and allow human cognitive abilities for strategic planning. Using the tools helped to make a detailed structural framework, and AI was also used in confirming the logical execution of the five different quantitative decision models and computing investment evaluation metrics (NPV, IRR, PBP, ARR, and PI).</w:t>
      </w:r>
    </w:p>
    <w:p w14:paraId="51797A15" w14:textId="77777777" w:rsidR="00A7362D" w:rsidRPr="00611CB9" w:rsidRDefault="00A7362D" w:rsidP="00A7362D">
      <w:pPr>
        <w:tabs>
          <w:tab w:val="num" w:pos="720"/>
        </w:tabs>
        <w:spacing w:line="360" w:lineRule="auto"/>
        <w:rPr>
          <w:rFonts w:ascii="Arial" w:eastAsiaTheme="minorEastAsia" w:hAnsi="Arial" w:cs="Arial"/>
        </w:rPr>
      </w:pPr>
      <w:r w:rsidRPr="00611CB9">
        <w:rPr>
          <w:rFonts w:ascii="Arial" w:eastAsiaTheme="minorEastAsia" w:hAnsi="Arial" w:cs="Arial"/>
        </w:rPr>
        <w:lastRenderedPageBreak/>
        <w:t>The tools additionally serve to make well-structured analytical features which planned the input criteria, which will result in a transformation of unorganised corporate cash flow into a flawless financial document.</w:t>
      </w:r>
    </w:p>
    <w:p w14:paraId="3C4D5118" w14:textId="3914260D" w:rsidR="00A7362D" w:rsidRPr="00611CB9" w:rsidRDefault="00A7362D" w:rsidP="00A7362D">
      <w:pPr>
        <w:pStyle w:val="Heading2"/>
        <w:rPr>
          <w:rFonts w:ascii="Arial" w:eastAsiaTheme="minorEastAsia" w:hAnsi="Arial" w:cs="Arial"/>
        </w:rPr>
      </w:pPr>
      <w:bookmarkStart w:id="28" w:name="_Toc235474592"/>
      <w:r w:rsidRPr="00611CB9">
        <w:rPr>
          <w:rFonts w:ascii="Arial" w:eastAsiaTheme="minorEastAsia" w:hAnsi="Arial" w:cs="Arial"/>
        </w:rPr>
        <w:t>5.2 Critical Evaluation of AI Output</w:t>
      </w:r>
      <w:bookmarkEnd w:id="28"/>
    </w:p>
    <w:p w14:paraId="7D2CDAE9"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Because of hallucinations – events in which models give mathematically wrong arguments, depending solely on AI-generated data results in a high operational risk. Verification should be performed to mitigate the risk and protect the report’s accuracy.</w:t>
      </w:r>
    </w:p>
    <w:p w14:paraId="3CD70AA4" w14:textId="4FC6E68E"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 xml:space="preserve">AI initially generated a wrong interpolation result (8.85%) during computation of Project C Internal rate of return (IRR), but the inaccuracy was found by matching the end result. </w:t>
      </w:r>
    </w:p>
    <w:p w14:paraId="20C001EF" w14:textId="77777777" w:rsidR="00A7362D" w:rsidRPr="00611CB9" w:rsidRDefault="00A7362D" w:rsidP="00A7362D">
      <w:pPr>
        <w:spacing w:line="360" w:lineRule="auto"/>
        <w:rPr>
          <w:rFonts w:ascii="Arial" w:eastAsiaTheme="minorEastAsia" w:hAnsi="Arial" w:cs="Arial"/>
        </w:rPr>
      </w:pPr>
      <m:oMathPara>
        <m:oMath>
          <m:r>
            <m:rPr>
              <m:nor/>
            </m:rPr>
            <w:rPr>
              <w:rFonts w:ascii="Arial" w:eastAsiaTheme="minorEastAsia" w:hAnsi="Arial" w:cs="Arial"/>
            </w:rPr>
            <m:t>IRR</m:t>
          </m:r>
          <m:r>
            <w:rPr>
              <w:rFonts w:ascii="Cambria Math" w:eastAsiaTheme="minorEastAsia" w:hAnsi="Cambria Math" w:cs="Arial"/>
            </w:rPr>
            <m:t>=</m:t>
          </m:r>
          <m:sSub>
            <m:sSubPr>
              <m:ctrlPr>
                <w:rPr>
                  <w:rFonts w:ascii="Cambria Math" w:eastAsiaTheme="minorEastAsia" w:hAnsi="Cambria Math" w:cs="Arial"/>
                </w:rPr>
              </m:ctrlPr>
            </m:sSubPr>
            <m:e>
              <m:r>
                <w:rPr>
                  <w:rFonts w:ascii="Cambria Math" w:eastAsiaTheme="minorEastAsia" w:hAnsi="Cambria Math" w:cs="Arial"/>
                </w:rPr>
                <m:t>r</m:t>
              </m:r>
            </m:e>
            <m:sub>
              <m:r>
                <m:rPr>
                  <m:nor/>
                </m:rPr>
                <w:rPr>
                  <w:rFonts w:ascii="Arial" w:eastAsiaTheme="minorEastAsia" w:hAnsi="Arial" w:cs="Arial"/>
                </w:rPr>
                <m:t>low</m:t>
              </m:r>
            </m:sub>
          </m:sSub>
          <m:r>
            <w:rPr>
              <w:rFonts w:ascii="Cambria Math" w:eastAsiaTheme="minorEastAsia" w:hAnsi="Cambria Math" w:cs="Arial"/>
            </w:rPr>
            <m:t>+</m:t>
          </m:r>
          <m:d>
            <m:dPr>
              <m:begChr m:val="["/>
              <m:endChr m:val="]"/>
              <m:ctrlPr>
                <w:rPr>
                  <w:rFonts w:ascii="Cambria Math" w:eastAsiaTheme="minorEastAsia" w:hAnsi="Cambria Math" w:cs="Arial"/>
                </w:rPr>
              </m:ctrlPr>
            </m:dPr>
            <m:e>
              <m:f>
                <m:fPr>
                  <m:ctrlPr>
                    <w:rPr>
                      <w:rFonts w:ascii="Cambria Math" w:eastAsiaTheme="minorEastAsia" w:hAnsi="Cambria Math" w:cs="Arial"/>
                    </w:rPr>
                  </m:ctrlPr>
                </m:fPr>
                <m:num>
                  <m:sSub>
                    <m:sSubPr>
                      <m:ctrlPr>
                        <w:rPr>
                          <w:rFonts w:ascii="Cambria Math" w:eastAsiaTheme="minorEastAsia" w:hAnsi="Cambria Math" w:cs="Arial"/>
                        </w:rPr>
                      </m:ctrlPr>
                    </m:sSubPr>
                    <m:e>
                      <m:r>
                        <m:rPr>
                          <m:nor/>
                        </m:rPr>
                        <w:rPr>
                          <w:rFonts w:ascii="Arial" w:eastAsiaTheme="minorEastAsia" w:hAnsi="Arial" w:cs="Arial"/>
                        </w:rPr>
                        <m:t>NPV</m:t>
                      </m:r>
                    </m:e>
                    <m:sub>
                      <m:r>
                        <m:rPr>
                          <m:nor/>
                        </m:rPr>
                        <w:rPr>
                          <w:rFonts w:ascii="Arial" w:eastAsiaTheme="minorEastAsia" w:hAnsi="Arial" w:cs="Arial"/>
                        </w:rPr>
                        <m:t>low</m:t>
                      </m:r>
                    </m:sub>
                  </m:sSub>
                </m:num>
                <m:den>
                  <m:sSub>
                    <m:sSubPr>
                      <m:ctrlPr>
                        <w:rPr>
                          <w:rFonts w:ascii="Cambria Math" w:eastAsiaTheme="minorEastAsia" w:hAnsi="Cambria Math" w:cs="Arial"/>
                        </w:rPr>
                      </m:ctrlPr>
                    </m:sSubPr>
                    <m:e>
                      <m:r>
                        <m:rPr>
                          <m:nor/>
                        </m:rPr>
                        <w:rPr>
                          <w:rFonts w:ascii="Arial" w:eastAsiaTheme="minorEastAsia" w:hAnsi="Arial" w:cs="Arial"/>
                        </w:rPr>
                        <m:t>NPV</m:t>
                      </m:r>
                    </m:e>
                    <m:sub>
                      <m:r>
                        <m:rPr>
                          <m:nor/>
                        </m:rPr>
                        <w:rPr>
                          <w:rFonts w:ascii="Arial" w:eastAsiaTheme="minorEastAsia" w:hAnsi="Arial" w:cs="Arial"/>
                        </w:rPr>
                        <m:t>low</m:t>
                      </m:r>
                    </m:sub>
                  </m:sSub>
                  <m:r>
                    <w:rPr>
                      <w:rFonts w:ascii="Cambria Math" w:eastAsiaTheme="minorEastAsia" w:hAnsi="Cambria Math" w:cs="Arial"/>
                    </w:rPr>
                    <m:t>-</m:t>
                  </m:r>
                  <m:sSub>
                    <m:sSubPr>
                      <m:ctrlPr>
                        <w:rPr>
                          <w:rFonts w:ascii="Cambria Math" w:eastAsiaTheme="minorEastAsia" w:hAnsi="Cambria Math" w:cs="Arial"/>
                        </w:rPr>
                      </m:ctrlPr>
                    </m:sSubPr>
                    <m:e>
                      <m:r>
                        <m:rPr>
                          <m:nor/>
                        </m:rPr>
                        <w:rPr>
                          <w:rFonts w:ascii="Arial" w:eastAsiaTheme="minorEastAsia" w:hAnsi="Arial" w:cs="Arial"/>
                        </w:rPr>
                        <m:t>NPV</m:t>
                      </m:r>
                    </m:e>
                    <m:sub>
                      <m:r>
                        <m:rPr>
                          <m:nor/>
                        </m:rPr>
                        <w:rPr>
                          <w:rFonts w:ascii="Arial" w:eastAsiaTheme="minorEastAsia" w:hAnsi="Arial" w:cs="Arial"/>
                        </w:rPr>
                        <m:t>high</m:t>
                      </m:r>
                    </m:sub>
                  </m:sSub>
                </m:den>
              </m:f>
            </m:e>
          </m:d>
          <m:r>
            <w:rPr>
              <w:rFonts w:ascii="Cambria Math" w:eastAsiaTheme="minorEastAsia" w:hAnsi="Cambria Math" w:cs="Arial"/>
            </w:rPr>
            <m:t>×</m:t>
          </m:r>
          <m:d>
            <m:dPr>
              <m:ctrlPr>
                <w:rPr>
                  <w:rFonts w:ascii="Cambria Math" w:eastAsiaTheme="minorEastAsia" w:hAnsi="Cambria Math" w:cs="Arial"/>
                </w:rPr>
              </m:ctrlPr>
            </m:dPr>
            <m:e>
              <m:sSub>
                <m:sSubPr>
                  <m:ctrlPr>
                    <w:rPr>
                      <w:rFonts w:ascii="Cambria Math" w:eastAsiaTheme="minorEastAsia" w:hAnsi="Cambria Math" w:cs="Arial"/>
                    </w:rPr>
                  </m:ctrlPr>
                </m:sSubPr>
                <m:e>
                  <m:r>
                    <w:rPr>
                      <w:rFonts w:ascii="Cambria Math" w:eastAsiaTheme="minorEastAsia" w:hAnsi="Cambria Math" w:cs="Arial"/>
                    </w:rPr>
                    <m:t>r</m:t>
                  </m:r>
                </m:e>
                <m:sub>
                  <m:r>
                    <m:rPr>
                      <m:nor/>
                    </m:rPr>
                    <w:rPr>
                      <w:rFonts w:ascii="Arial" w:eastAsiaTheme="minorEastAsia" w:hAnsi="Arial" w:cs="Arial"/>
                    </w:rPr>
                    <m:t>high</m:t>
                  </m:r>
                </m:sub>
              </m:sSub>
              <m:r>
                <w:rPr>
                  <w:rFonts w:ascii="Cambria Math" w:eastAsiaTheme="minorEastAsia" w:hAnsi="Cambria Math" w:cs="Arial"/>
                </w:rPr>
                <m:t>-</m:t>
              </m:r>
              <m:sSub>
                <m:sSubPr>
                  <m:ctrlPr>
                    <w:rPr>
                      <w:rFonts w:ascii="Cambria Math" w:eastAsiaTheme="minorEastAsia" w:hAnsi="Cambria Math" w:cs="Arial"/>
                    </w:rPr>
                  </m:ctrlPr>
                </m:sSubPr>
                <m:e>
                  <m:r>
                    <w:rPr>
                      <w:rFonts w:ascii="Cambria Math" w:eastAsiaTheme="minorEastAsia" w:hAnsi="Cambria Math" w:cs="Arial"/>
                    </w:rPr>
                    <m:t>r</m:t>
                  </m:r>
                </m:e>
                <m:sub>
                  <m:r>
                    <m:rPr>
                      <m:nor/>
                    </m:rPr>
                    <w:rPr>
                      <w:rFonts w:ascii="Arial" w:eastAsiaTheme="minorEastAsia" w:hAnsi="Arial" w:cs="Arial"/>
                    </w:rPr>
                    <m:t>low</m:t>
                  </m:r>
                </m:sub>
              </m:sSub>
            </m:e>
          </m:d>
        </m:oMath>
      </m:oMathPara>
    </w:p>
    <w:p w14:paraId="0116E4D3" w14:textId="77777777" w:rsidR="00A7362D" w:rsidRPr="00611CB9" w:rsidRDefault="00A7362D" w:rsidP="00A7362D">
      <w:pPr>
        <w:spacing w:line="360" w:lineRule="auto"/>
        <w:rPr>
          <w:rFonts w:ascii="Arial" w:eastAsiaTheme="minorEastAsia" w:hAnsi="Arial" w:cs="Arial"/>
        </w:rPr>
      </w:pPr>
    </w:p>
    <w:p w14:paraId="66553290"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The manual check revealed the actual IRR was 8.59%.</w:t>
      </w:r>
    </w:p>
    <w:p w14:paraId="6D81BC31" w14:textId="2B5B05F8"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In addition, AI tried to defend the combination (Project B + C) under capital rationing; it applied wrong corporate finance by giving priority to £100 million total spending above net value creation. As we know, if 2 projects result in a negative aggregate net present value (-£5,222,100), the company should discard loss-making projects to correct this logical error by equity maximisation.</w:t>
      </w:r>
    </w:p>
    <w:p w14:paraId="251D8F1A" w14:textId="4771BF0B" w:rsidR="00A7362D" w:rsidRPr="00611CB9" w:rsidRDefault="00A7362D" w:rsidP="00A7362D">
      <w:pPr>
        <w:pStyle w:val="Heading2"/>
        <w:rPr>
          <w:rFonts w:ascii="Arial" w:eastAsiaTheme="minorEastAsia" w:hAnsi="Arial" w:cs="Arial"/>
        </w:rPr>
      </w:pPr>
      <w:bookmarkStart w:id="29" w:name="_Toc235474593"/>
      <w:r w:rsidRPr="00611CB9">
        <w:rPr>
          <w:rFonts w:ascii="Arial" w:eastAsiaTheme="minorEastAsia" w:hAnsi="Arial" w:cs="Arial"/>
        </w:rPr>
        <w:t>5.3 Contribution Analysis</w:t>
      </w:r>
      <w:bookmarkEnd w:id="29"/>
    </w:p>
    <w:p w14:paraId="7A07901D"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The creation process was divided into structural execution and a unique combination to keep separate boundaries of ownership.</w:t>
      </w:r>
    </w:p>
    <w:p w14:paraId="0F30A72B" w14:textId="3053F4DC"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The basic computational framework of capital budgeting theory was given by the AI, but this report’s basic principle, which is a critical strategic one, is completely human. The appointed CFO determined the interest coverage ratios and debt-to-equity metrics, and Net Present Value (NPV) criteria and presented these numbers with respect to Hyatt’s goal to keep an investment-grade credit rating.</w:t>
      </w:r>
    </w:p>
    <w:p w14:paraId="5889CF32"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 xml:space="preserve">A unique strategic decision was made to do planning to not spent £50 million but to pay off high-interest debt and to maintain a high credit rating. It takes contextual </w:t>
      </w:r>
      <w:r w:rsidRPr="00611CB9">
        <w:rPr>
          <w:rFonts w:ascii="Arial" w:eastAsiaTheme="minorEastAsia" w:hAnsi="Arial" w:cs="Arial"/>
        </w:rPr>
        <w:lastRenderedPageBreak/>
        <w:t>thinking to see AI not duplicate to connect Hyatt Hotel Corporation asset-light change and analyse its risks to Project C’s delayed cash flows.</w:t>
      </w:r>
    </w:p>
    <w:p w14:paraId="39DEA24E" w14:textId="22F57204" w:rsidR="00A7362D" w:rsidRPr="00611CB9" w:rsidRDefault="00A7362D" w:rsidP="00A7362D">
      <w:pPr>
        <w:pStyle w:val="Heading2"/>
        <w:rPr>
          <w:rFonts w:ascii="Arial" w:eastAsiaTheme="minorEastAsia" w:hAnsi="Arial" w:cs="Arial"/>
        </w:rPr>
      </w:pPr>
      <w:bookmarkStart w:id="30" w:name="_Toc235474594"/>
      <w:r w:rsidRPr="00611CB9">
        <w:rPr>
          <w:rFonts w:ascii="Arial" w:eastAsiaTheme="minorEastAsia" w:hAnsi="Arial" w:cs="Arial"/>
        </w:rPr>
        <w:t>5.4 Ethical and Professional Reflection</w:t>
      </w:r>
      <w:bookmarkEnd w:id="30"/>
    </w:p>
    <w:p w14:paraId="2D056ED1" w14:textId="777777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Transparency, data protection, and the operational risks of dependence are the primary ethical and professional duties that are shown by the inclusion of AI into corporate financial duties.</w:t>
      </w:r>
    </w:p>
    <w:p w14:paraId="447911A8" w14:textId="7E6C913F" w:rsidR="00A7362D" w:rsidRPr="00611CB9" w:rsidRDefault="00A7362D" w:rsidP="00A7362D">
      <w:pPr>
        <w:pStyle w:val="ListParagraph"/>
        <w:numPr>
          <w:ilvl w:val="0"/>
          <w:numId w:val="11"/>
        </w:numPr>
        <w:spacing w:line="360" w:lineRule="auto"/>
        <w:rPr>
          <w:rFonts w:ascii="Arial" w:eastAsiaTheme="minorEastAsia" w:hAnsi="Arial" w:cs="Arial"/>
        </w:rPr>
      </w:pPr>
      <w:r w:rsidRPr="00611CB9">
        <w:rPr>
          <w:rFonts w:ascii="Arial" w:eastAsiaTheme="minorEastAsia" w:hAnsi="Arial" w:cs="Arial"/>
          <w:b/>
        </w:rPr>
        <w:t>Transparency and Professional Responsibility</w:t>
      </w:r>
      <w:r w:rsidRPr="00611CB9">
        <w:rPr>
          <w:rFonts w:ascii="Arial" w:eastAsiaTheme="minorEastAsia" w:hAnsi="Arial" w:cs="Arial"/>
        </w:rPr>
        <w:t>: The use of tools must be fully disclosed in order to complete fiduciary tasks. The fiduciary duty is assigned by an executive to an unreliable algorithm without checking the reasons why it is giving AI-driven investment advice.</w:t>
      </w:r>
    </w:p>
    <w:p w14:paraId="73A729AD" w14:textId="5B1B51AB" w:rsidR="00A7362D" w:rsidRPr="00611CB9" w:rsidRDefault="00A7362D" w:rsidP="00A7362D">
      <w:pPr>
        <w:pStyle w:val="ListParagraph"/>
        <w:numPr>
          <w:ilvl w:val="0"/>
          <w:numId w:val="11"/>
        </w:numPr>
        <w:spacing w:line="360" w:lineRule="auto"/>
        <w:rPr>
          <w:rFonts w:ascii="Arial" w:eastAsiaTheme="minorEastAsia" w:hAnsi="Arial" w:cs="Arial"/>
        </w:rPr>
      </w:pPr>
      <w:r w:rsidRPr="00611CB9">
        <w:rPr>
          <w:rFonts w:ascii="Arial" w:eastAsiaTheme="minorEastAsia" w:hAnsi="Arial" w:cs="Arial"/>
          <w:b/>
        </w:rPr>
        <w:t>Data Security and Privacy</w:t>
      </w:r>
      <w:r w:rsidRPr="00611CB9">
        <w:rPr>
          <w:rFonts w:ascii="Arial" w:eastAsiaTheme="minorEastAsia" w:hAnsi="Arial" w:cs="Arial"/>
        </w:rPr>
        <w:t>: There exist serious risks to data privacy when working with public AI models. Intellectual property might be leaked if business cash flows, strategic expansion plans, and balance sheet confidential data are posted into public tools. Experts in finance should use company-grade AI environments with strict policies.</w:t>
      </w:r>
    </w:p>
    <w:p w14:paraId="6EF6D545" w14:textId="77777777" w:rsidR="00A7362D" w:rsidRPr="00611CB9" w:rsidRDefault="00A7362D" w:rsidP="00A7362D">
      <w:pPr>
        <w:pStyle w:val="ListParagraph"/>
        <w:numPr>
          <w:ilvl w:val="0"/>
          <w:numId w:val="11"/>
        </w:numPr>
        <w:spacing w:line="360" w:lineRule="auto"/>
        <w:rPr>
          <w:rFonts w:ascii="Arial" w:eastAsiaTheme="minorEastAsia" w:hAnsi="Arial" w:cs="Arial"/>
        </w:rPr>
      </w:pPr>
      <w:r w:rsidRPr="00611CB9">
        <w:rPr>
          <w:rFonts w:ascii="Arial" w:eastAsiaTheme="minorEastAsia" w:hAnsi="Arial" w:cs="Arial"/>
          <w:b/>
        </w:rPr>
        <w:t>Risk of Over-reliance</w:t>
      </w:r>
      <w:r w:rsidRPr="00611CB9">
        <w:rPr>
          <w:rFonts w:ascii="Arial" w:eastAsiaTheme="minorEastAsia" w:hAnsi="Arial" w:cs="Arial"/>
        </w:rPr>
        <w:t>: There is a creation of automated bias when professionals have over-reliance on automated tools. Financial models usually overlook qualitative details like brand equity and geopolitical risks. Human judgement and leadership should be there for strategic decisions, and AI should only be chosen as an analytical tool to enhance performance.</w:t>
      </w:r>
    </w:p>
    <w:p w14:paraId="0E60A8FD" w14:textId="77777777" w:rsidR="00A7362D" w:rsidRPr="00611CB9" w:rsidRDefault="00A7362D" w:rsidP="00A7362D">
      <w:pPr>
        <w:spacing w:line="360" w:lineRule="auto"/>
        <w:rPr>
          <w:rFonts w:ascii="Arial" w:eastAsiaTheme="minorEastAsia" w:hAnsi="Arial" w:cs="Arial"/>
          <w:b/>
        </w:rPr>
      </w:pPr>
      <w:r w:rsidRPr="00611CB9">
        <w:rPr>
          <w:rFonts w:ascii="Arial" w:eastAsiaTheme="minorEastAsia" w:hAnsi="Arial" w:cs="Arial"/>
          <w:b/>
        </w:rPr>
        <w:t xml:space="preserve">Conclusion </w:t>
      </w:r>
    </w:p>
    <w:p w14:paraId="2D3F9B32" w14:textId="6E4C9A7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A complete roadmap for Hyatt Hotels Corporation’s asset-light transformation is given in this financial report. Considering the challenges from market changes, the financial health shows an impressive recovery in fees and operational cash flow. Negative cash operating cycle provides a solid basis for internal resources that can be improved by making adjustments in receivables management. Continuing with the asset-light transformation will increase market value, lower the debt ratio and improve interest coverage.</w:t>
      </w:r>
    </w:p>
    <w:p w14:paraId="7C31AA39" w14:textId="23746917" w:rsidR="00A7362D" w:rsidRPr="00611CB9" w:rsidRDefault="00A7362D" w:rsidP="00A7362D">
      <w:pPr>
        <w:spacing w:line="360" w:lineRule="auto"/>
        <w:rPr>
          <w:rFonts w:ascii="Arial" w:eastAsiaTheme="minorEastAsia" w:hAnsi="Arial" w:cs="Arial"/>
        </w:rPr>
      </w:pPr>
      <w:r w:rsidRPr="00611CB9">
        <w:rPr>
          <w:rFonts w:ascii="Arial" w:eastAsiaTheme="minorEastAsia" w:hAnsi="Arial" w:cs="Arial"/>
        </w:rPr>
        <w:t>Project C should be accepted when allocating capital; Projects A and B should be declined as they have negative net present values. Hyatt ensures long-term value for its shareholders by adopting these financial and operational measures.</w:t>
      </w:r>
    </w:p>
    <w:p w14:paraId="6BFD033C" w14:textId="130D9BCC" w:rsidR="00E24BA7" w:rsidRPr="00611CB9" w:rsidRDefault="00E24BA7" w:rsidP="00A7362D">
      <w:pPr>
        <w:pStyle w:val="Heading1"/>
        <w:rPr>
          <w:rFonts w:ascii="Arial" w:eastAsiaTheme="minorEastAsia" w:hAnsi="Arial" w:cs="Arial"/>
        </w:rPr>
      </w:pPr>
      <w:bookmarkStart w:id="31" w:name="_Toc235474595"/>
      <w:r w:rsidRPr="00611CB9">
        <w:rPr>
          <w:rFonts w:ascii="Arial" w:eastAsiaTheme="minorEastAsia" w:hAnsi="Arial" w:cs="Arial"/>
        </w:rPr>
        <w:lastRenderedPageBreak/>
        <w:t>References</w:t>
      </w:r>
      <w:bookmarkEnd w:id="31"/>
    </w:p>
    <w:p w14:paraId="27C17322" w14:textId="77777777" w:rsidR="00277003" w:rsidRPr="00611CB9" w:rsidRDefault="00277003" w:rsidP="00A7362D">
      <w:pPr>
        <w:spacing w:line="360" w:lineRule="auto"/>
        <w:rPr>
          <w:rFonts w:ascii="Arial" w:eastAsiaTheme="minorEastAsia" w:hAnsi="Arial" w:cs="Arial"/>
        </w:rPr>
      </w:pPr>
      <w:r w:rsidRPr="00611CB9">
        <w:rPr>
          <w:rFonts w:ascii="Arial" w:eastAsiaTheme="minorEastAsia" w:hAnsi="Arial" w:cs="Arial"/>
        </w:rPr>
        <w:t>Gomes, M.V.M., 2023. </w:t>
      </w:r>
      <w:r w:rsidRPr="00611CB9">
        <w:rPr>
          <w:rFonts w:ascii="Arial" w:eastAsiaTheme="minorEastAsia" w:hAnsi="Arial" w:cs="Arial"/>
          <w:i/>
          <w:iCs/>
        </w:rPr>
        <w:t>Hyatt Hotels Corporation Equity Research-Implications of the New Industry Outlook</w:t>
      </w:r>
      <w:r w:rsidRPr="00611CB9">
        <w:rPr>
          <w:rFonts w:ascii="Arial" w:eastAsiaTheme="minorEastAsia" w:hAnsi="Arial" w:cs="Arial"/>
        </w:rPr>
        <w:t xml:space="preserve"> (Master's thesis, Universidade NOVA de Lisboa (Portugal)). </w:t>
      </w:r>
      <w:hyperlink r:id="rId14" w:history="1">
        <w:r w:rsidRPr="00611CB9">
          <w:rPr>
            <w:rStyle w:val="Hyperlink"/>
            <w:rFonts w:ascii="Arial" w:hAnsi="Arial" w:cs="Arial"/>
            <w:color w:val="auto"/>
          </w:rPr>
          <w:t>https://run.unl.pt/bitstreams/5aadd2ea-cbd6-47da-9214-9c16bb716059/download</w:t>
        </w:r>
      </w:hyperlink>
    </w:p>
    <w:p w14:paraId="436AA556" w14:textId="77777777" w:rsidR="00277003" w:rsidRPr="00611CB9" w:rsidRDefault="00277003" w:rsidP="00A7362D">
      <w:pPr>
        <w:spacing w:line="360" w:lineRule="auto"/>
        <w:rPr>
          <w:rFonts w:ascii="Arial" w:eastAsiaTheme="minorEastAsia" w:hAnsi="Arial" w:cs="Arial"/>
        </w:rPr>
      </w:pPr>
      <w:r w:rsidRPr="00611CB9">
        <w:rPr>
          <w:rFonts w:ascii="Arial" w:eastAsiaTheme="minorEastAsia" w:hAnsi="Arial" w:cs="Arial"/>
        </w:rPr>
        <w:t xml:space="preserve">Qi, Y., 2023. Financial Analysis of Hyatt Hotels Corporation. </w:t>
      </w:r>
      <w:hyperlink r:id="rId15" w:history="1">
        <w:r w:rsidRPr="00611CB9">
          <w:rPr>
            <w:rStyle w:val="Hyperlink"/>
            <w:rFonts w:ascii="Arial" w:hAnsi="Arial" w:cs="Arial"/>
            <w:color w:val="auto"/>
          </w:rPr>
          <w:t>https://pdfs.semanticscholar.org/1808/c267644325428af94146160209706537c9bc.pdf</w:t>
        </w:r>
      </w:hyperlink>
    </w:p>
    <w:p w14:paraId="6D55A0BE" w14:textId="77777777" w:rsidR="00277003" w:rsidRPr="00611CB9" w:rsidRDefault="00277003" w:rsidP="00A7362D">
      <w:pPr>
        <w:spacing w:line="360" w:lineRule="auto"/>
        <w:rPr>
          <w:rFonts w:ascii="Arial" w:eastAsiaTheme="minorEastAsia" w:hAnsi="Arial" w:cs="Arial"/>
        </w:rPr>
      </w:pPr>
      <w:r w:rsidRPr="00611CB9">
        <w:rPr>
          <w:rFonts w:ascii="Arial" w:eastAsiaTheme="minorEastAsia" w:hAnsi="Arial" w:cs="Arial"/>
        </w:rPr>
        <w:t>Sağlam, Ü., 2025. Beyond GDP: COVID-19’s effects on macroeconomic efficiency and productivity dynamics in OECD countries. </w:t>
      </w:r>
      <w:r w:rsidRPr="00611CB9">
        <w:rPr>
          <w:rFonts w:ascii="Arial" w:eastAsiaTheme="minorEastAsia" w:hAnsi="Arial" w:cs="Arial"/>
          <w:i/>
          <w:iCs/>
        </w:rPr>
        <w:t>Econometrics</w:t>
      </w:r>
      <w:r w:rsidRPr="00611CB9">
        <w:rPr>
          <w:rFonts w:ascii="Arial" w:eastAsiaTheme="minorEastAsia" w:hAnsi="Arial" w:cs="Arial"/>
        </w:rPr>
        <w:t>, </w:t>
      </w:r>
      <w:r w:rsidRPr="00611CB9">
        <w:rPr>
          <w:rFonts w:ascii="Arial" w:eastAsiaTheme="minorEastAsia" w:hAnsi="Arial" w:cs="Arial"/>
          <w:i/>
          <w:iCs/>
        </w:rPr>
        <w:t>13</w:t>
      </w:r>
      <w:r w:rsidRPr="00611CB9">
        <w:rPr>
          <w:rFonts w:ascii="Arial" w:eastAsiaTheme="minorEastAsia" w:hAnsi="Arial" w:cs="Arial"/>
        </w:rPr>
        <w:t xml:space="preserve">(3), p.29. </w:t>
      </w:r>
      <w:hyperlink r:id="rId16" w:history="1">
        <w:r w:rsidRPr="00611CB9">
          <w:rPr>
            <w:rStyle w:val="Hyperlink"/>
            <w:rFonts w:ascii="Arial" w:hAnsi="Arial" w:cs="Arial"/>
            <w:color w:val="auto"/>
          </w:rPr>
          <w:t>https://www.mdpi.com/2225-1146/13/3/29</w:t>
        </w:r>
      </w:hyperlink>
    </w:p>
    <w:p w14:paraId="09048453" w14:textId="77777777" w:rsidR="00277003" w:rsidRPr="00611CB9" w:rsidRDefault="00277003" w:rsidP="00A7362D">
      <w:pPr>
        <w:spacing w:line="360" w:lineRule="auto"/>
        <w:rPr>
          <w:rFonts w:ascii="Arial" w:eastAsiaTheme="minorEastAsia" w:hAnsi="Arial" w:cs="Arial"/>
        </w:rPr>
      </w:pPr>
      <w:r w:rsidRPr="00611CB9">
        <w:rPr>
          <w:rFonts w:ascii="Arial" w:eastAsiaTheme="minorEastAsia" w:hAnsi="Arial" w:cs="Arial"/>
        </w:rPr>
        <w:t>Umeaduma, C.M.G., 2022. Interplay between inflation expectations, wage adjustments, and aggregate demand in post-pandemic economic recovery. </w:t>
      </w:r>
      <w:r w:rsidRPr="00611CB9">
        <w:rPr>
          <w:rFonts w:ascii="Arial" w:eastAsiaTheme="minorEastAsia" w:hAnsi="Arial" w:cs="Arial"/>
          <w:i/>
          <w:iCs/>
        </w:rPr>
        <w:t>World Journal of Advanced Research and Reviews</w:t>
      </w:r>
      <w:r w:rsidRPr="00611CB9">
        <w:rPr>
          <w:rFonts w:ascii="Arial" w:eastAsiaTheme="minorEastAsia" w:hAnsi="Arial" w:cs="Arial"/>
        </w:rPr>
        <w:t>, </w:t>
      </w:r>
      <w:r w:rsidRPr="00611CB9">
        <w:rPr>
          <w:rFonts w:ascii="Arial" w:eastAsiaTheme="minorEastAsia" w:hAnsi="Arial" w:cs="Arial"/>
          <w:i/>
          <w:iCs/>
        </w:rPr>
        <w:t>13</w:t>
      </w:r>
      <w:r w:rsidRPr="00611CB9">
        <w:rPr>
          <w:rFonts w:ascii="Arial" w:eastAsiaTheme="minorEastAsia" w:hAnsi="Arial" w:cs="Arial"/>
        </w:rPr>
        <w:t xml:space="preserve">(3), pp.629-48. </w:t>
      </w:r>
      <w:hyperlink r:id="rId17" w:history="1">
        <w:r w:rsidRPr="00611CB9">
          <w:rPr>
            <w:rStyle w:val="Hyperlink"/>
            <w:rFonts w:ascii="Arial" w:hAnsi="Arial" w:cs="Arial"/>
            <w:color w:val="auto"/>
          </w:rPr>
          <w:t>https://www.researchgate.net/profile/Chidimma-Umeaduma/publication/390279875_Interplay_between_inflation_expectations_wage_adjustments_and_aggregate_demand_in_post-pandemic_economic_recovery/links/67e6f29795231d5ba59caef3/Interplay-between-inflation-expectations-wage-adjustments-and-aggregate-demand-in-post-pandemic-economic-recovery.pdf</w:t>
        </w:r>
      </w:hyperlink>
    </w:p>
    <w:sectPr w:rsidR="00277003" w:rsidRPr="00611CB9">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DDB44" w14:textId="77777777" w:rsidR="00FF6A10" w:rsidRDefault="00FF6A10" w:rsidP="00277003">
      <w:pPr>
        <w:spacing w:after="0" w:line="240" w:lineRule="auto"/>
      </w:pPr>
      <w:r>
        <w:separator/>
      </w:r>
    </w:p>
  </w:endnote>
  <w:endnote w:type="continuationSeparator" w:id="0">
    <w:p w14:paraId="1C1A3D6D" w14:textId="77777777" w:rsidR="00FF6A10" w:rsidRDefault="00FF6A10" w:rsidP="002770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7337934"/>
      <w:docPartObj>
        <w:docPartGallery w:val="Page Numbers (Bottom of Page)"/>
        <w:docPartUnique/>
      </w:docPartObj>
    </w:sdtPr>
    <w:sdtEndPr>
      <w:rPr>
        <w:noProof/>
      </w:rPr>
    </w:sdtEndPr>
    <w:sdtContent>
      <w:p w14:paraId="59558708" w14:textId="32E4877D" w:rsidR="00277003" w:rsidRDefault="00277003">
        <w:pPr>
          <w:pStyle w:val="Footer"/>
          <w:jc w:val="right"/>
        </w:pPr>
        <w:r>
          <w:fldChar w:fldCharType="begin"/>
        </w:r>
        <w:r>
          <w:instrText xml:space="preserve"> PAGE   \* MERGEFORMAT </w:instrText>
        </w:r>
        <w:r>
          <w:fldChar w:fldCharType="separate"/>
        </w:r>
        <w:r w:rsidR="008C4233">
          <w:rPr>
            <w:noProof/>
          </w:rPr>
          <w:t>17</w:t>
        </w:r>
        <w:r>
          <w:rPr>
            <w:noProof/>
          </w:rPr>
          <w:fldChar w:fldCharType="end"/>
        </w:r>
      </w:p>
    </w:sdtContent>
  </w:sdt>
  <w:p w14:paraId="0B867B60" w14:textId="77777777" w:rsidR="00277003" w:rsidRDefault="002770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09464" w14:textId="77777777" w:rsidR="00FF6A10" w:rsidRDefault="00FF6A10" w:rsidP="00277003">
      <w:pPr>
        <w:spacing w:after="0" w:line="240" w:lineRule="auto"/>
      </w:pPr>
      <w:r>
        <w:separator/>
      </w:r>
    </w:p>
  </w:footnote>
  <w:footnote w:type="continuationSeparator" w:id="0">
    <w:p w14:paraId="30DB06A0" w14:textId="77777777" w:rsidR="00FF6A10" w:rsidRDefault="00FF6A10" w:rsidP="002770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946F3"/>
    <w:multiLevelType w:val="multilevel"/>
    <w:tmpl w:val="233C2A5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6632E32"/>
    <w:multiLevelType w:val="hybridMultilevel"/>
    <w:tmpl w:val="5EBCCC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ED0EC8"/>
    <w:multiLevelType w:val="hybridMultilevel"/>
    <w:tmpl w:val="686A44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7055601"/>
    <w:multiLevelType w:val="hybridMultilevel"/>
    <w:tmpl w:val="F9C80B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E5A156B"/>
    <w:multiLevelType w:val="hybridMultilevel"/>
    <w:tmpl w:val="BC8E2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A0479D4"/>
    <w:multiLevelType w:val="hybridMultilevel"/>
    <w:tmpl w:val="9F2034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7D0478"/>
    <w:multiLevelType w:val="hybridMultilevel"/>
    <w:tmpl w:val="CB504F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0FC18D1"/>
    <w:multiLevelType w:val="hybridMultilevel"/>
    <w:tmpl w:val="7090C7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B7D134B"/>
    <w:multiLevelType w:val="hybridMultilevel"/>
    <w:tmpl w:val="8CC860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C693A94"/>
    <w:multiLevelType w:val="hybridMultilevel"/>
    <w:tmpl w:val="76620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9D41B5B"/>
    <w:multiLevelType w:val="hybridMultilevel"/>
    <w:tmpl w:val="8618E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66371646">
    <w:abstractNumId w:val="0"/>
  </w:num>
  <w:num w:numId="2" w16cid:durableId="692342701">
    <w:abstractNumId w:val="2"/>
  </w:num>
  <w:num w:numId="3" w16cid:durableId="1032342707">
    <w:abstractNumId w:val="6"/>
  </w:num>
  <w:num w:numId="4" w16cid:durableId="23679814">
    <w:abstractNumId w:val="10"/>
  </w:num>
  <w:num w:numId="5" w16cid:durableId="1306008378">
    <w:abstractNumId w:val="4"/>
  </w:num>
  <w:num w:numId="6" w16cid:durableId="1770344655">
    <w:abstractNumId w:val="9"/>
  </w:num>
  <w:num w:numId="7" w16cid:durableId="1142891003">
    <w:abstractNumId w:val="5"/>
  </w:num>
  <w:num w:numId="8" w16cid:durableId="327025551">
    <w:abstractNumId w:val="1"/>
  </w:num>
  <w:num w:numId="9" w16cid:durableId="1461460778">
    <w:abstractNumId w:val="8"/>
  </w:num>
  <w:num w:numId="10" w16cid:durableId="1644579145">
    <w:abstractNumId w:val="3"/>
  </w:num>
  <w:num w:numId="11" w16cid:durableId="46389338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2613"/>
    <w:rsid w:val="00053A65"/>
    <w:rsid w:val="000729F0"/>
    <w:rsid w:val="000A05FE"/>
    <w:rsid w:val="00106ED7"/>
    <w:rsid w:val="001115C3"/>
    <w:rsid w:val="00113B96"/>
    <w:rsid w:val="00116352"/>
    <w:rsid w:val="00151467"/>
    <w:rsid w:val="001E3A83"/>
    <w:rsid w:val="00252174"/>
    <w:rsid w:val="00277003"/>
    <w:rsid w:val="002B26F5"/>
    <w:rsid w:val="003100E0"/>
    <w:rsid w:val="003547B5"/>
    <w:rsid w:val="00380D8D"/>
    <w:rsid w:val="0039547A"/>
    <w:rsid w:val="003A0E7A"/>
    <w:rsid w:val="003F7011"/>
    <w:rsid w:val="00416898"/>
    <w:rsid w:val="00445B1D"/>
    <w:rsid w:val="004A0955"/>
    <w:rsid w:val="004E2B2F"/>
    <w:rsid w:val="004F2B7F"/>
    <w:rsid w:val="0055592F"/>
    <w:rsid w:val="00561F88"/>
    <w:rsid w:val="00577920"/>
    <w:rsid w:val="00590660"/>
    <w:rsid w:val="00611CB9"/>
    <w:rsid w:val="00635B1B"/>
    <w:rsid w:val="00725B88"/>
    <w:rsid w:val="00740C72"/>
    <w:rsid w:val="00755EC7"/>
    <w:rsid w:val="007A1E5C"/>
    <w:rsid w:val="007A64C6"/>
    <w:rsid w:val="007D2613"/>
    <w:rsid w:val="007F713F"/>
    <w:rsid w:val="00826CF1"/>
    <w:rsid w:val="0084548A"/>
    <w:rsid w:val="008616CD"/>
    <w:rsid w:val="008A52DE"/>
    <w:rsid w:val="008C4233"/>
    <w:rsid w:val="008C526B"/>
    <w:rsid w:val="00920014"/>
    <w:rsid w:val="00946632"/>
    <w:rsid w:val="00951BDB"/>
    <w:rsid w:val="0099256C"/>
    <w:rsid w:val="009C2231"/>
    <w:rsid w:val="009D535B"/>
    <w:rsid w:val="00A63438"/>
    <w:rsid w:val="00A677F3"/>
    <w:rsid w:val="00A7362D"/>
    <w:rsid w:val="00A73E5B"/>
    <w:rsid w:val="00AC2BF1"/>
    <w:rsid w:val="00B70611"/>
    <w:rsid w:val="00B74102"/>
    <w:rsid w:val="00B977C0"/>
    <w:rsid w:val="00BB09B7"/>
    <w:rsid w:val="00BC53B5"/>
    <w:rsid w:val="00BD23E0"/>
    <w:rsid w:val="00C07D1C"/>
    <w:rsid w:val="00CA4B74"/>
    <w:rsid w:val="00CF5545"/>
    <w:rsid w:val="00D57D55"/>
    <w:rsid w:val="00D709AF"/>
    <w:rsid w:val="00DC6A62"/>
    <w:rsid w:val="00DD4F16"/>
    <w:rsid w:val="00E24BA7"/>
    <w:rsid w:val="00E774BC"/>
    <w:rsid w:val="00EB2C19"/>
    <w:rsid w:val="00EC2DE8"/>
    <w:rsid w:val="00EC6E54"/>
    <w:rsid w:val="00F067F5"/>
    <w:rsid w:val="00F120F7"/>
    <w:rsid w:val="00F26AEC"/>
    <w:rsid w:val="00F70FA4"/>
    <w:rsid w:val="00FF0AFB"/>
    <w:rsid w:val="00FF6A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C0B40"/>
  <w15:chartTrackingRefBased/>
  <w15:docId w15:val="{736AF110-A4A9-48FC-9C81-52A9CD361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1E5C"/>
    <w:pPr>
      <w:jc w:val="both"/>
    </w:pPr>
    <w:rPr>
      <w:rFonts w:ascii="Times New Roman" w:hAnsi="Times New Roman"/>
    </w:rPr>
  </w:style>
  <w:style w:type="paragraph" w:styleId="Heading1">
    <w:name w:val="heading 1"/>
    <w:basedOn w:val="Normal"/>
    <w:next w:val="Normal"/>
    <w:link w:val="Heading1Char"/>
    <w:autoRedefine/>
    <w:uiPriority w:val="9"/>
    <w:qFormat/>
    <w:rsid w:val="00CA4B74"/>
    <w:pPr>
      <w:keepNext/>
      <w:keepLines/>
      <w:spacing w:before="360" w:after="80" w:line="240" w:lineRule="auto"/>
      <w:outlineLvl w:val="0"/>
    </w:pPr>
    <w:rPr>
      <w:rFonts w:eastAsiaTheme="majorEastAsia" w:cstheme="majorBidi"/>
      <w:b/>
      <w:kern w:val="0"/>
      <w:szCs w:val="40"/>
      <w:lang w:val="en-US"/>
      <w14:ligatures w14:val="none"/>
    </w:rPr>
  </w:style>
  <w:style w:type="paragraph" w:styleId="Heading2">
    <w:name w:val="heading 2"/>
    <w:basedOn w:val="Normal"/>
    <w:next w:val="Normal"/>
    <w:link w:val="Heading2Char"/>
    <w:autoRedefine/>
    <w:uiPriority w:val="9"/>
    <w:unhideWhenUsed/>
    <w:qFormat/>
    <w:rsid w:val="00561F88"/>
    <w:pPr>
      <w:keepNext/>
      <w:keepLines/>
      <w:spacing w:before="160" w:after="80" w:line="240" w:lineRule="auto"/>
      <w:outlineLvl w:val="1"/>
    </w:pPr>
    <w:rPr>
      <w:rFonts w:eastAsiaTheme="majorEastAsia" w:cstheme="majorBidi"/>
      <w:b/>
      <w:kern w:val="0"/>
      <w:szCs w:val="32"/>
      <w:lang w:val="en-US"/>
      <w14:ligatures w14:val="none"/>
    </w:rPr>
  </w:style>
  <w:style w:type="paragraph" w:styleId="Heading3">
    <w:name w:val="heading 3"/>
    <w:basedOn w:val="Normal"/>
    <w:next w:val="Normal"/>
    <w:link w:val="Heading3Char"/>
    <w:autoRedefine/>
    <w:uiPriority w:val="9"/>
    <w:unhideWhenUsed/>
    <w:qFormat/>
    <w:rsid w:val="00590660"/>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7D261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D261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D261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D261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D261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D261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B74"/>
    <w:rPr>
      <w:rFonts w:ascii="Times New Roman" w:eastAsiaTheme="majorEastAsia" w:hAnsi="Times New Roman" w:cstheme="majorBidi"/>
      <w:b/>
      <w:kern w:val="0"/>
      <w:szCs w:val="40"/>
      <w:lang w:val="en-US"/>
      <w14:ligatures w14:val="none"/>
    </w:rPr>
  </w:style>
  <w:style w:type="character" w:customStyle="1" w:styleId="Heading2Char">
    <w:name w:val="Heading 2 Char"/>
    <w:basedOn w:val="DefaultParagraphFont"/>
    <w:link w:val="Heading2"/>
    <w:uiPriority w:val="9"/>
    <w:rsid w:val="00561F88"/>
    <w:rPr>
      <w:rFonts w:ascii="Times New Roman" w:eastAsiaTheme="majorEastAsia" w:hAnsi="Times New Roman" w:cstheme="majorBidi"/>
      <w:b/>
      <w:kern w:val="0"/>
      <w:szCs w:val="32"/>
      <w:lang w:val="en-US"/>
      <w14:ligatures w14:val="none"/>
    </w:rPr>
  </w:style>
  <w:style w:type="character" w:customStyle="1" w:styleId="Heading3Char">
    <w:name w:val="Heading 3 Char"/>
    <w:basedOn w:val="DefaultParagraphFont"/>
    <w:link w:val="Heading3"/>
    <w:uiPriority w:val="9"/>
    <w:rsid w:val="00590660"/>
    <w:rPr>
      <w:rFonts w:ascii="Times New Roman" w:eastAsiaTheme="majorEastAsia" w:hAnsi="Times New Roman" w:cstheme="majorBidi"/>
      <w:b/>
      <w:szCs w:val="28"/>
    </w:rPr>
  </w:style>
  <w:style w:type="paragraph" w:styleId="Caption">
    <w:name w:val="caption"/>
    <w:basedOn w:val="Normal"/>
    <w:next w:val="Normal"/>
    <w:autoRedefine/>
    <w:uiPriority w:val="35"/>
    <w:unhideWhenUsed/>
    <w:qFormat/>
    <w:rsid w:val="000A05FE"/>
    <w:rPr>
      <w:iCs/>
      <w:szCs w:val="18"/>
    </w:rPr>
  </w:style>
  <w:style w:type="paragraph" w:styleId="TOCHeading">
    <w:name w:val="TOC Heading"/>
    <w:basedOn w:val="Heading1"/>
    <w:next w:val="Normal"/>
    <w:autoRedefine/>
    <w:uiPriority w:val="39"/>
    <w:unhideWhenUsed/>
    <w:qFormat/>
    <w:rsid w:val="004F2B7F"/>
    <w:pPr>
      <w:outlineLvl w:val="9"/>
    </w:pPr>
    <w:rPr>
      <w:sz w:val="28"/>
    </w:rPr>
  </w:style>
  <w:style w:type="character" w:customStyle="1" w:styleId="Heading4Char">
    <w:name w:val="Heading 4 Char"/>
    <w:basedOn w:val="DefaultParagraphFont"/>
    <w:link w:val="Heading4"/>
    <w:uiPriority w:val="9"/>
    <w:semiHidden/>
    <w:rsid w:val="007D26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26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26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26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26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2613"/>
    <w:rPr>
      <w:rFonts w:eastAsiaTheme="majorEastAsia" w:cstheme="majorBidi"/>
      <w:color w:val="272727" w:themeColor="text1" w:themeTint="D8"/>
    </w:rPr>
  </w:style>
  <w:style w:type="paragraph" w:styleId="Title">
    <w:name w:val="Title"/>
    <w:basedOn w:val="Normal"/>
    <w:next w:val="Normal"/>
    <w:link w:val="TitleChar"/>
    <w:uiPriority w:val="10"/>
    <w:qFormat/>
    <w:rsid w:val="007D26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26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261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26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2613"/>
    <w:pPr>
      <w:spacing w:before="160"/>
      <w:jc w:val="center"/>
    </w:pPr>
    <w:rPr>
      <w:i/>
      <w:iCs/>
      <w:color w:val="404040" w:themeColor="text1" w:themeTint="BF"/>
    </w:rPr>
  </w:style>
  <w:style w:type="character" w:customStyle="1" w:styleId="QuoteChar">
    <w:name w:val="Quote Char"/>
    <w:basedOn w:val="DefaultParagraphFont"/>
    <w:link w:val="Quote"/>
    <w:uiPriority w:val="29"/>
    <w:rsid w:val="007D2613"/>
    <w:rPr>
      <w:rFonts w:ascii="Times New Roman" w:hAnsi="Times New Roman"/>
      <w:i/>
      <w:iCs/>
      <w:color w:val="404040" w:themeColor="text1" w:themeTint="BF"/>
    </w:rPr>
  </w:style>
  <w:style w:type="paragraph" w:styleId="ListParagraph">
    <w:name w:val="List Paragraph"/>
    <w:basedOn w:val="Normal"/>
    <w:uiPriority w:val="34"/>
    <w:qFormat/>
    <w:rsid w:val="007D2613"/>
    <w:pPr>
      <w:ind w:left="720"/>
      <w:contextualSpacing/>
    </w:pPr>
  </w:style>
  <w:style w:type="character" w:styleId="IntenseEmphasis">
    <w:name w:val="Intense Emphasis"/>
    <w:basedOn w:val="DefaultParagraphFont"/>
    <w:uiPriority w:val="21"/>
    <w:qFormat/>
    <w:rsid w:val="007D2613"/>
    <w:rPr>
      <w:i/>
      <w:iCs/>
      <w:color w:val="0F4761" w:themeColor="accent1" w:themeShade="BF"/>
    </w:rPr>
  </w:style>
  <w:style w:type="paragraph" w:styleId="IntenseQuote">
    <w:name w:val="Intense Quote"/>
    <w:basedOn w:val="Normal"/>
    <w:next w:val="Normal"/>
    <w:link w:val="IntenseQuoteChar"/>
    <w:uiPriority w:val="30"/>
    <w:qFormat/>
    <w:rsid w:val="007D26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2613"/>
    <w:rPr>
      <w:rFonts w:ascii="Times New Roman" w:hAnsi="Times New Roman"/>
      <w:i/>
      <w:iCs/>
      <w:color w:val="0F4761" w:themeColor="accent1" w:themeShade="BF"/>
    </w:rPr>
  </w:style>
  <w:style w:type="character" w:styleId="IntenseReference">
    <w:name w:val="Intense Reference"/>
    <w:basedOn w:val="DefaultParagraphFont"/>
    <w:uiPriority w:val="32"/>
    <w:qFormat/>
    <w:rsid w:val="007D2613"/>
    <w:rPr>
      <w:b/>
      <w:bCs/>
      <w:smallCaps/>
      <w:color w:val="0F4761" w:themeColor="accent1" w:themeShade="BF"/>
      <w:spacing w:val="5"/>
    </w:rPr>
  </w:style>
  <w:style w:type="table" w:styleId="TableGrid">
    <w:name w:val="Table Grid"/>
    <w:basedOn w:val="TableNormal"/>
    <w:uiPriority w:val="39"/>
    <w:rsid w:val="009466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73E5B"/>
    <w:rPr>
      <w:color w:val="467886" w:themeColor="hyperlink"/>
      <w:u w:val="single"/>
    </w:rPr>
  </w:style>
  <w:style w:type="character" w:customStyle="1" w:styleId="UnresolvedMention1">
    <w:name w:val="Unresolved Mention1"/>
    <w:basedOn w:val="DefaultParagraphFont"/>
    <w:uiPriority w:val="99"/>
    <w:semiHidden/>
    <w:unhideWhenUsed/>
    <w:rsid w:val="00A73E5B"/>
    <w:rPr>
      <w:color w:val="605E5C"/>
      <w:shd w:val="clear" w:color="auto" w:fill="E1DFDD"/>
    </w:rPr>
  </w:style>
  <w:style w:type="paragraph" w:styleId="Header">
    <w:name w:val="header"/>
    <w:basedOn w:val="Normal"/>
    <w:link w:val="HeaderChar"/>
    <w:uiPriority w:val="99"/>
    <w:unhideWhenUsed/>
    <w:rsid w:val="002770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7003"/>
    <w:rPr>
      <w:rFonts w:ascii="Times New Roman" w:hAnsi="Times New Roman"/>
    </w:rPr>
  </w:style>
  <w:style w:type="paragraph" w:styleId="Footer">
    <w:name w:val="footer"/>
    <w:basedOn w:val="Normal"/>
    <w:link w:val="FooterChar"/>
    <w:uiPriority w:val="99"/>
    <w:unhideWhenUsed/>
    <w:rsid w:val="002770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003"/>
    <w:rPr>
      <w:rFonts w:ascii="Times New Roman" w:hAnsi="Times New Roman"/>
    </w:rPr>
  </w:style>
  <w:style w:type="paragraph" w:styleId="TOC1">
    <w:name w:val="toc 1"/>
    <w:basedOn w:val="Normal"/>
    <w:next w:val="Normal"/>
    <w:autoRedefine/>
    <w:uiPriority w:val="39"/>
    <w:unhideWhenUsed/>
    <w:rsid w:val="00277003"/>
    <w:pPr>
      <w:spacing w:after="100"/>
    </w:pPr>
  </w:style>
  <w:style w:type="paragraph" w:styleId="TOC2">
    <w:name w:val="toc 2"/>
    <w:basedOn w:val="Normal"/>
    <w:next w:val="Normal"/>
    <w:autoRedefine/>
    <w:uiPriority w:val="39"/>
    <w:unhideWhenUsed/>
    <w:rsid w:val="00611CB9"/>
    <w:pPr>
      <w:tabs>
        <w:tab w:val="right" w:leader="dot" w:pos="9016"/>
      </w:tabs>
      <w:spacing w:after="100" w:line="360" w:lineRule="auto"/>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researchgate.net/profile/Chidimma-Umeaduma/publication/390279875_Interplay_between_inflation_expectations_wage_adjustments_and_aggregate_demand_in_post-pandemic_economic_recovery/links/67e6f29795231d5ba59caef3/Interplay-between-inflation-expectations-wage-adjustments-and-aggregate-demand-in-post-pandemic-economic-recovery.pdf" TargetMode="External"/><Relationship Id="rId2" Type="http://schemas.openxmlformats.org/officeDocument/2006/relationships/numbering" Target="numbering.xml"/><Relationship Id="rId16" Type="http://schemas.openxmlformats.org/officeDocument/2006/relationships/hyperlink" Target="https://www.mdpi.com/2225-1146/13/3/2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pdfs.semanticscholar.org/1808/c267644325428af94146160209706537c9bc.pdf" TargetMode="External"/><Relationship Id="rId10" Type="http://schemas.openxmlformats.org/officeDocument/2006/relationships/diagramLayout" Target="diagrams/layou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run.unl.pt/bitstreams/5aadd2ea-cbd6-47da-9214-9c16bb716059/download"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6BE2F03-FD2A-41B1-A8E5-1EF6A80277CA}" type="doc">
      <dgm:prSet loTypeId="urn:microsoft.com/office/officeart/2005/8/layout/architecture" loCatId="hierarchy" qsTypeId="urn:microsoft.com/office/officeart/2005/8/quickstyle/simple1" qsCatId="simple" csTypeId="urn:microsoft.com/office/officeart/2005/8/colors/accent1_2" csCatId="accent1" phldr="1"/>
      <dgm:spPr/>
      <dgm:t>
        <a:bodyPr/>
        <a:lstStyle/>
        <a:p>
          <a:endParaRPr lang="en-IN"/>
        </a:p>
      </dgm:t>
    </dgm:pt>
    <dgm:pt modelId="{27206B58-2525-4082-94B9-BE51982595AB}">
      <dgm:prSet phldrT="[Text]"/>
      <dgm:spPr/>
      <dgm:t>
        <a:bodyPr/>
        <a:lstStyle/>
        <a:p>
          <a:r>
            <a:rPr lang="en-IN"/>
            <a:t>Days Inventory Outstanding (DIO):  3-5 days</a:t>
          </a:r>
        </a:p>
      </dgm:t>
    </dgm:pt>
    <dgm:pt modelId="{102E2E0E-DA8C-4267-9949-A2C28269DDEA}" type="parTrans" cxnId="{FC5A0EF8-BEFF-4343-8942-326FAC0884A7}">
      <dgm:prSet/>
      <dgm:spPr/>
      <dgm:t>
        <a:bodyPr/>
        <a:lstStyle/>
        <a:p>
          <a:endParaRPr lang="en-IN"/>
        </a:p>
      </dgm:t>
    </dgm:pt>
    <dgm:pt modelId="{CC1B152E-46A6-4CD7-8789-5EFEC848495F}" type="sibTrans" cxnId="{FC5A0EF8-BEFF-4343-8942-326FAC0884A7}">
      <dgm:prSet/>
      <dgm:spPr/>
      <dgm:t>
        <a:bodyPr/>
        <a:lstStyle/>
        <a:p>
          <a:endParaRPr lang="en-IN"/>
        </a:p>
      </dgm:t>
    </dgm:pt>
    <dgm:pt modelId="{65B06856-C417-489C-AD79-91FB53885956}">
      <dgm:prSet phldrT="[Text]"/>
      <dgm:spPr/>
      <dgm:t>
        <a:bodyPr/>
        <a:lstStyle/>
        <a:p>
          <a:r>
            <a:rPr lang="en-IN"/>
            <a:t>Days Sales Outstanding (DSO): 12-15 days </a:t>
          </a:r>
        </a:p>
      </dgm:t>
    </dgm:pt>
    <dgm:pt modelId="{F9E7AD4B-D8C4-4F3E-BA0C-8E630F59A6C9}" type="parTrans" cxnId="{8D253FD2-DBE9-4C71-9B33-0F4F3628CBF5}">
      <dgm:prSet/>
      <dgm:spPr/>
      <dgm:t>
        <a:bodyPr/>
        <a:lstStyle/>
        <a:p>
          <a:endParaRPr lang="en-IN"/>
        </a:p>
      </dgm:t>
    </dgm:pt>
    <dgm:pt modelId="{CDC41129-C4BD-48A1-BAD9-68B86C807BC0}" type="sibTrans" cxnId="{8D253FD2-DBE9-4C71-9B33-0F4F3628CBF5}">
      <dgm:prSet/>
      <dgm:spPr/>
      <dgm:t>
        <a:bodyPr/>
        <a:lstStyle/>
        <a:p>
          <a:endParaRPr lang="en-IN"/>
        </a:p>
      </dgm:t>
    </dgm:pt>
    <dgm:pt modelId="{1DCBA351-3EBA-4264-B7C6-A206FC3C1F06}">
      <dgm:prSet phldrT="[Text]"/>
      <dgm:spPr/>
      <dgm:t>
        <a:bodyPr/>
        <a:lstStyle/>
        <a:p>
          <a:r>
            <a:rPr lang="en-IN"/>
            <a:t>Days Payable Outstanding (DPO): 35-45 days </a:t>
          </a:r>
        </a:p>
      </dgm:t>
    </dgm:pt>
    <dgm:pt modelId="{06222FB4-8BBE-4D7E-9C07-E9648181CD63}" type="parTrans" cxnId="{5255648D-9C7D-4060-AADB-15AB8BE9B113}">
      <dgm:prSet/>
      <dgm:spPr/>
      <dgm:t>
        <a:bodyPr/>
        <a:lstStyle/>
        <a:p>
          <a:endParaRPr lang="en-IN"/>
        </a:p>
      </dgm:t>
    </dgm:pt>
    <dgm:pt modelId="{EA181AF2-AB42-453C-B8C6-46C4DBCB90C8}" type="sibTrans" cxnId="{5255648D-9C7D-4060-AADB-15AB8BE9B113}">
      <dgm:prSet/>
      <dgm:spPr/>
      <dgm:t>
        <a:bodyPr/>
        <a:lstStyle/>
        <a:p>
          <a:endParaRPr lang="en-IN"/>
        </a:p>
      </dgm:t>
    </dgm:pt>
    <dgm:pt modelId="{AB513B84-E85D-4106-BCB0-2F682A112CF5}">
      <dgm:prSet phldrT="[Text]"/>
      <dgm:spPr/>
      <dgm:t>
        <a:bodyPr/>
        <a:lstStyle/>
        <a:p>
          <a:r>
            <a:rPr lang="en-IN"/>
            <a:t>Net Cash Operating Cycle : -15 to -25 days (negative working capital  advantage)</a:t>
          </a:r>
        </a:p>
      </dgm:t>
    </dgm:pt>
    <dgm:pt modelId="{B58CB9E9-1D9F-4261-B185-A763DBFF8E27}" type="parTrans" cxnId="{A774E8DB-92B8-4681-A135-8662E7742072}">
      <dgm:prSet/>
      <dgm:spPr/>
      <dgm:t>
        <a:bodyPr/>
        <a:lstStyle/>
        <a:p>
          <a:endParaRPr lang="en-IN"/>
        </a:p>
      </dgm:t>
    </dgm:pt>
    <dgm:pt modelId="{FDE3297E-9B60-40BC-BE6E-0D8A46B1F55E}" type="sibTrans" cxnId="{A774E8DB-92B8-4681-A135-8662E7742072}">
      <dgm:prSet/>
      <dgm:spPr/>
      <dgm:t>
        <a:bodyPr/>
        <a:lstStyle/>
        <a:p>
          <a:endParaRPr lang="en-IN"/>
        </a:p>
      </dgm:t>
    </dgm:pt>
    <dgm:pt modelId="{33169DC2-BA7C-43F0-AF2F-07CCB02440EC}" type="pres">
      <dgm:prSet presAssocID="{C6BE2F03-FD2A-41B1-A8E5-1EF6A80277CA}" presName="Name0" presStyleCnt="0">
        <dgm:presLayoutVars>
          <dgm:chPref val="1"/>
          <dgm:dir/>
          <dgm:animOne val="branch"/>
          <dgm:animLvl val="lvl"/>
          <dgm:resizeHandles/>
        </dgm:presLayoutVars>
      </dgm:prSet>
      <dgm:spPr/>
    </dgm:pt>
    <dgm:pt modelId="{9D94A4FE-7CEB-429E-A4D0-752E40F15B93}" type="pres">
      <dgm:prSet presAssocID="{27206B58-2525-4082-94B9-BE51982595AB}" presName="vertOne" presStyleCnt="0"/>
      <dgm:spPr/>
    </dgm:pt>
    <dgm:pt modelId="{201121F4-E6FA-43D6-9B19-9707D764C7A0}" type="pres">
      <dgm:prSet presAssocID="{27206B58-2525-4082-94B9-BE51982595AB}" presName="txOne" presStyleLbl="node0" presStyleIdx="0" presStyleCnt="1">
        <dgm:presLayoutVars>
          <dgm:chPref val="3"/>
        </dgm:presLayoutVars>
      </dgm:prSet>
      <dgm:spPr/>
    </dgm:pt>
    <dgm:pt modelId="{D6F40499-3052-4EF3-AD17-FD8E7CEE7CEA}" type="pres">
      <dgm:prSet presAssocID="{27206B58-2525-4082-94B9-BE51982595AB}" presName="parTransOne" presStyleCnt="0"/>
      <dgm:spPr/>
    </dgm:pt>
    <dgm:pt modelId="{D7B34AFC-1990-4CB1-8F92-4CD5A0BC40D0}" type="pres">
      <dgm:prSet presAssocID="{27206B58-2525-4082-94B9-BE51982595AB}" presName="horzOne" presStyleCnt="0"/>
      <dgm:spPr/>
    </dgm:pt>
    <dgm:pt modelId="{944FA7B1-7B32-416D-A6FD-45074714296C}" type="pres">
      <dgm:prSet presAssocID="{65B06856-C417-489C-AD79-91FB53885956}" presName="vertTwo" presStyleCnt="0"/>
      <dgm:spPr/>
    </dgm:pt>
    <dgm:pt modelId="{F14A023C-3F14-468C-90CC-F6F921D6928C}" type="pres">
      <dgm:prSet presAssocID="{65B06856-C417-489C-AD79-91FB53885956}" presName="txTwo" presStyleLbl="node2" presStyleIdx="0" presStyleCnt="1">
        <dgm:presLayoutVars>
          <dgm:chPref val="3"/>
        </dgm:presLayoutVars>
      </dgm:prSet>
      <dgm:spPr/>
    </dgm:pt>
    <dgm:pt modelId="{697A220C-A7BB-4AFB-8C50-6CA7AFA442AC}" type="pres">
      <dgm:prSet presAssocID="{65B06856-C417-489C-AD79-91FB53885956}" presName="parTransTwo" presStyleCnt="0"/>
      <dgm:spPr/>
    </dgm:pt>
    <dgm:pt modelId="{651F7031-8CA6-40F8-BD51-E2D185D89D70}" type="pres">
      <dgm:prSet presAssocID="{65B06856-C417-489C-AD79-91FB53885956}" presName="horzTwo" presStyleCnt="0"/>
      <dgm:spPr/>
    </dgm:pt>
    <dgm:pt modelId="{E1D577E4-B47D-487C-A387-36EB11C85205}" type="pres">
      <dgm:prSet presAssocID="{1DCBA351-3EBA-4264-B7C6-A206FC3C1F06}" presName="vertThree" presStyleCnt="0"/>
      <dgm:spPr/>
    </dgm:pt>
    <dgm:pt modelId="{4E2CD783-3E9D-4BDA-9419-783B919D4834}" type="pres">
      <dgm:prSet presAssocID="{1DCBA351-3EBA-4264-B7C6-A206FC3C1F06}" presName="txThree" presStyleLbl="node3" presStyleIdx="0" presStyleCnt="1">
        <dgm:presLayoutVars>
          <dgm:chPref val="3"/>
        </dgm:presLayoutVars>
      </dgm:prSet>
      <dgm:spPr/>
    </dgm:pt>
    <dgm:pt modelId="{5FED48EA-E12A-4637-B337-D4530FAE60E5}" type="pres">
      <dgm:prSet presAssocID="{1DCBA351-3EBA-4264-B7C6-A206FC3C1F06}" presName="parTransThree" presStyleCnt="0"/>
      <dgm:spPr/>
    </dgm:pt>
    <dgm:pt modelId="{01D96369-9397-41F5-9EC5-E950567CCA48}" type="pres">
      <dgm:prSet presAssocID="{1DCBA351-3EBA-4264-B7C6-A206FC3C1F06}" presName="horzThree" presStyleCnt="0"/>
      <dgm:spPr/>
    </dgm:pt>
    <dgm:pt modelId="{42543539-3699-480A-A6A2-E0ED7DD00A37}" type="pres">
      <dgm:prSet presAssocID="{AB513B84-E85D-4106-BCB0-2F682A112CF5}" presName="vertFour" presStyleCnt="0">
        <dgm:presLayoutVars>
          <dgm:chPref val="3"/>
        </dgm:presLayoutVars>
      </dgm:prSet>
      <dgm:spPr/>
    </dgm:pt>
    <dgm:pt modelId="{8169C87B-8ECA-4D8A-8BF8-FF3DB1BD7CF0}" type="pres">
      <dgm:prSet presAssocID="{AB513B84-E85D-4106-BCB0-2F682A112CF5}" presName="txFour" presStyleLbl="node4" presStyleIdx="0" presStyleCnt="1">
        <dgm:presLayoutVars>
          <dgm:chPref val="3"/>
        </dgm:presLayoutVars>
      </dgm:prSet>
      <dgm:spPr/>
    </dgm:pt>
    <dgm:pt modelId="{46D062CD-2895-4B97-8454-33F8ED2357D5}" type="pres">
      <dgm:prSet presAssocID="{AB513B84-E85D-4106-BCB0-2F682A112CF5}" presName="horzFour" presStyleCnt="0"/>
      <dgm:spPr/>
    </dgm:pt>
  </dgm:ptLst>
  <dgm:cxnLst>
    <dgm:cxn modelId="{9A7CCD00-3B50-40EF-B5A7-2783B0760EA2}" type="presOf" srcId="{AB513B84-E85D-4106-BCB0-2F682A112CF5}" destId="{8169C87B-8ECA-4D8A-8BF8-FF3DB1BD7CF0}" srcOrd="0" destOrd="0" presId="urn:microsoft.com/office/officeart/2005/8/layout/architecture"/>
    <dgm:cxn modelId="{C8DC4D02-1DCA-4EDC-B374-8A8EDEB7870F}" type="presOf" srcId="{27206B58-2525-4082-94B9-BE51982595AB}" destId="{201121F4-E6FA-43D6-9B19-9707D764C7A0}" srcOrd="0" destOrd="0" presId="urn:microsoft.com/office/officeart/2005/8/layout/architecture"/>
    <dgm:cxn modelId="{280B3655-3EE8-4247-B8EB-DCC6622AB7C9}" type="presOf" srcId="{65B06856-C417-489C-AD79-91FB53885956}" destId="{F14A023C-3F14-468C-90CC-F6F921D6928C}" srcOrd="0" destOrd="0" presId="urn:microsoft.com/office/officeart/2005/8/layout/architecture"/>
    <dgm:cxn modelId="{04E70476-4593-4003-A342-CDC45CAA29E5}" type="presOf" srcId="{1DCBA351-3EBA-4264-B7C6-A206FC3C1F06}" destId="{4E2CD783-3E9D-4BDA-9419-783B919D4834}" srcOrd="0" destOrd="0" presId="urn:microsoft.com/office/officeart/2005/8/layout/architecture"/>
    <dgm:cxn modelId="{5255648D-9C7D-4060-AADB-15AB8BE9B113}" srcId="{65B06856-C417-489C-AD79-91FB53885956}" destId="{1DCBA351-3EBA-4264-B7C6-A206FC3C1F06}" srcOrd="0" destOrd="0" parTransId="{06222FB4-8BBE-4D7E-9C07-E9648181CD63}" sibTransId="{EA181AF2-AB42-453C-B8C6-46C4DBCB90C8}"/>
    <dgm:cxn modelId="{464404B3-0AB5-46FC-AE30-3330E66D0C95}" type="presOf" srcId="{C6BE2F03-FD2A-41B1-A8E5-1EF6A80277CA}" destId="{33169DC2-BA7C-43F0-AF2F-07CCB02440EC}" srcOrd="0" destOrd="0" presId="urn:microsoft.com/office/officeart/2005/8/layout/architecture"/>
    <dgm:cxn modelId="{8D253FD2-DBE9-4C71-9B33-0F4F3628CBF5}" srcId="{27206B58-2525-4082-94B9-BE51982595AB}" destId="{65B06856-C417-489C-AD79-91FB53885956}" srcOrd="0" destOrd="0" parTransId="{F9E7AD4B-D8C4-4F3E-BA0C-8E630F59A6C9}" sibTransId="{CDC41129-C4BD-48A1-BAD9-68B86C807BC0}"/>
    <dgm:cxn modelId="{A774E8DB-92B8-4681-A135-8662E7742072}" srcId="{1DCBA351-3EBA-4264-B7C6-A206FC3C1F06}" destId="{AB513B84-E85D-4106-BCB0-2F682A112CF5}" srcOrd="0" destOrd="0" parTransId="{B58CB9E9-1D9F-4261-B185-A763DBFF8E27}" sibTransId="{FDE3297E-9B60-40BC-BE6E-0D8A46B1F55E}"/>
    <dgm:cxn modelId="{FC5A0EF8-BEFF-4343-8942-326FAC0884A7}" srcId="{C6BE2F03-FD2A-41B1-A8E5-1EF6A80277CA}" destId="{27206B58-2525-4082-94B9-BE51982595AB}" srcOrd="0" destOrd="0" parTransId="{102E2E0E-DA8C-4267-9949-A2C28269DDEA}" sibTransId="{CC1B152E-46A6-4CD7-8789-5EFEC848495F}"/>
    <dgm:cxn modelId="{31487408-9EEA-49D8-9353-246D9E1071AD}" type="presParOf" srcId="{33169DC2-BA7C-43F0-AF2F-07CCB02440EC}" destId="{9D94A4FE-7CEB-429E-A4D0-752E40F15B93}" srcOrd="0" destOrd="0" presId="urn:microsoft.com/office/officeart/2005/8/layout/architecture"/>
    <dgm:cxn modelId="{A1151AD7-280A-451A-A576-6749024BC3E6}" type="presParOf" srcId="{9D94A4FE-7CEB-429E-A4D0-752E40F15B93}" destId="{201121F4-E6FA-43D6-9B19-9707D764C7A0}" srcOrd="0" destOrd="0" presId="urn:microsoft.com/office/officeart/2005/8/layout/architecture"/>
    <dgm:cxn modelId="{1F60DF78-331A-4E12-BB2F-A34433028173}" type="presParOf" srcId="{9D94A4FE-7CEB-429E-A4D0-752E40F15B93}" destId="{D6F40499-3052-4EF3-AD17-FD8E7CEE7CEA}" srcOrd="1" destOrd="0" presId="urn:microsoft.com/office/officeart/2005/8/layout/architecture"/>
    <dgm:cxn modelId="{F4573731-762B-4A0E-BF17-5AFA24112112}" type="presParOf" srcId="{9D94A4FE-7CEB-429E-A4D0-752E40F15B93}" destId="{D7B34AFC-1990-4CB1-8F92-4CD5A0BC40D0}" srcOrd="2" destOrd="0" presId="urn:microsoft.com/office/officeart/2005/8/layout/architecture"/>
    <dgm:cxn modelId="{9C2FB9B6-A84A-4AD9-A961-5A2409A7CF1D}" type="presParOf" srcId="{D7B34AFC-1990-4CB1-8F92-4CD5A0BC40D0}" destId="{944FA7B1-7B32-416D-A6FD-45074714296C}" srcOrd="0" destOrd="0" presId="urn:microsoft.com/office/officeart/2005/8/layout/architecture"/>
    <dgm:cxn modelId="{E74D6275-3CF1-46AE-A1FA-F5FFF59A884F}" type="presParOf" srcId="{944FA7B1-7B32-416D-A6FD-45074714296C}" destId="{F14A023C-3F14-468C-90CC-F6F921D6928C}" srcOrd="0" destOrd="0" presId="urn:microsoft.com/office/officeart/2005/8/layout/architecture"/>
    <dgm:cxn modelId="{8D413CF4-76C3-460A-AA5C-4FF142B42492}" type="presParOf" srcId="{944FA7B1-7B32-416D-A6FD-45074714296C}" destId="{697A220C-A7BB-4AFB-8C50-6CA7AFA442AC}" srcOrd="1" destOrd="0" presId="urn:microsoft.com/office/officeart/2005/8/layout/architecture"/>
    <dgm:cxn modelId="{6846164B-99E7-40CC-8E50-8D028BD0F3E4}" type="presParOf" srcId="{944FA7B1-7B32-416D-A6FD-45074714296C}" destId="{651F7031-8CA6-40F8-BD51-E2D185D89D70}" srcOrd="2" destOrd="0" presId="urn:microsoft.com/office/officeart/2005/8/layout/architecture"/>
    <dgm:cxn modelId="{F27500C5-EDB7-47CD-BE7E-F2C84D661EC5}" type="presParOf" srcId="{651F7031-8CA6-40F8-BD51-E2D185D89D70}" destId="{E1D577E4-B47D-487C-A387-36EB11C85205}" srcOrd="0" destOrd="0" presId="urn:microsoft.com/office/officeart/2005/8/layout/architecture"/>
    <dgm:cxn modelId="{3E8EE9A3-5B09-40F6-809D-5D77BBBE2752}" type="presParOf" srcId="{E1D577E4-B47D-487C-A387-36EB11C85205}" destId="{4E2CD783-3E9D-4BDA-9419-783B919D4834}" srcOrd="0" destOrd="0" presId="urn:microsoft.com/office/officeart/2005/8/layout/architecture"/>
    <dgm:cxn modelId="{FF9555A9-06A1-4253-BBB2-D2400495FC4E}" type="presParOf" srcId="{E1D577E4-B47D-487C-A387-36EB11C85205}" destId="{5FED48EA-E12A-4637-B337-D4530FAE60E5}" srcOrd="1" destOrd="0" presId="urn:microsoft.com/office/officeart/2005/8/layout/architecture"/>
    <dgm:cxn modelId="{F53D2521-4855-422F-B9B0-1D4C960DBFA4}" type="presParOf" srcId="{E1D577E4-B47D-487C-A387-36EB11C85205}" destId="{01D96369-9397-41F5-9EC5-E950567CCA48}" srcOrd="2" destOrd="0" presId="urn:microsoft.com/office/officeart/2005/8/layout/architecture"/>
    <dgm:cxn modelId="{E8ACB539-ADC6-497D-A84C-43675BC20947}" type="presParOf" srcId="{01D96369-9397-41F5-9EC5-E950567CCA48}" destId="{42543539-3699-480A-A6A2-E0ED7DD00A37}" srcOrd="0" destOrd="0" presId="urn:microsoft.com/office/officeart/2005/8/layout/architecture"/>
    <dgm:cxn modelId="{628B5C17-A772-4E64-A5A9-A20FCB5FD81B}" type="presParOf" srcId="{42543539-3699-480A-A6A2-E0ED7DD00A37}" destId="{8169C87B-8ECA-4D8A-8BF8-FF3DB1BD7CF0}" srcOrd="0" destOrd="0" presId="urn:microsoft.com/office/officeart/2005/8/layout/architecture"/>
    <dgm:cxn modelId="{74E85584-3462-4AC6-926B-9AB8A3DF4F50}" type="presParOf" srcId="{42543539-3699-480A-A6A2-E0ED7DD00A37}" destId="{46D062CD-2895-4B97-8454-33F8ED2357D5}" srcOrd="1" destOrd="0" presId="urn:microsoft.com/office/officeart/2005/8/layout/architecture"/>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1121F4-E6FA-43D6-9B19-9707D764C7A0}">
      <dsp:nvSpPr>
        <dsp:cNvPr id="0" name=""/>
        <dsp:cNvSpPr/>
      </dsp:nvSpPr>
      <dsp:spPr>
        <a:xfrm>
          <a:off x="2678" y="2453837"/>
          <a:ext cx="5481042" cy="746187"/>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IN" sz="2200" kern="1200"/>
            <a:t>Days Inventory Outstanding (DIO):  3-5 days</a:t>
          </a:r>
        </a:p>
      </dsp:txBody>
      <dsp:txXfrm>
        <a:off x="24533" y="2475692"/>
        <a:ext cx="5437332" cy="702477"/>
      </dsp:txXfrm>
    </dsp:sp>
    <dsp:sp modelId="{F14A023C-3F14-468C-90CC-F6F921D6928C}">
      <dsp:nvSpPr>
        <dsp:cNvPr id="0" name=""/>
        <dsp:cNvSpPr/>
      </dsp:nvSpPr>
      <dsp:spPr>
        <a:xfrm>
          <a:off x="2678" y="1636016"/>
          <a:ext cx="5481042" cy="746187"/>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IN" sz="2200" kern="1200"/>
            <a:t>Days Sales Outstanding (DSO): 12-15 days </a:t>
          </a:r>
        </a:p>
      </dsp:txBody>
      <dsp:txXfrm>
        <a:off x="24533" y="1657871"/>
        <a:ext cx="5437332" cy="702477"/>
      </dsp:txXfrm>
    </dsp:sp>
    <dsp:sp modelId="{4E2CD783-3E9D-4BDA-9419-783B919D4834}">
      <dsp:nvSpPr>
        <dsp:cNvPr id="0" name=""/>
        <dsp:cNvSpPr/>
      </dsp:nvSpPr>
      <dsp:spPr>
        <a:xfrm>
          <a:off x="2678" y="818196"/>
          <a:ext cx="5481042" cy="746187"/>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IN" sz="2100" kern="1200"/>
            <a:t>Days Payable Outstanding (DPO): 35-45 days </a:t>
          </a:r>
        </a:p>
      </dsp:txBody>
      <dsp:txXfrm>
        <a:off x="24533" y="840051"/>
        <a:ext cx="5437332" cy="702477"/>
      </dsp:txXfrm>
    </dsp:sp>
    <dsp:sp modelId="{8169C87B-8ECA-4D8A-8BF8-FF3DB1BD7CF0}">
      <dsp:nvSpPr>
        <dsp:cNvPr id="0" name=""/>
        <dsp:cNvSpPr/>
      </dsp:nvSpPr>
      <dsp:spPr>
        <a:xfrm>
          <a:off x="2678" y="375"/>
          <a:ext cx="5481042" cy="746187"/>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IN" sz="1900" kern="1200"/>
            <a:t>Net Cash Operating Cycle : -15 to -25 days (negative working capital  advantage)</a:t>
          </a:r>
        </a:p>
      </dsp:txBody>
      <dsp:txXfrm>
        <a:off x="24533" y="22230"/>
        <a:ext cx="5437332" cy="702477"/>
      </dsp:txXfrm>
    </dsp:sp>
  </dsp:spTree>
</dsp:drawing>
</file>

<file path=word/diagrams/layout1.xml><?xml version="1.0" encoding="utf-8"?>
<dgm:layoutDef xmlns:dgm="http://schemas.openxmlformats.org/drawingml/2006/diagram" xmlns:a="http://schemas.openxmlformats.org/drawingml/2006/main" uniqueId="urn:microsoft.com/office/officeart/2005/8/layout/architecture">
  <dgm:title val="Architecture Layout"/>
  <dgm:desc val="Use to show hierarchical relationships that build from the bottom up. This layout works well for showing architectural components or objects that build on other objects."/>
  <dgm:catLst>
    <dgm:cat type="hierarchy" pri="4500"/>
    <dgm:cat type="list" pri="24500"/>
    <dgm:cat type="relationship" pri="10500"/>
    <dgm:cat type="officeonline" pri="7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b"/>
        </dgm:alg>
      </dgm:if>
      <dgm:else name="Name3">
        <dgm:alg type="lin">
          <dgm:param type="linDir" val="fromR"/>
          <dgm:param type="nodeVertAlign" val="b"/>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B"/>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b"/>
              </dgm:alg>
            </dgm:if>
            <dgm:else name="Name10">
              <dgm:alg type="lin">
                <dgm:param type="linDir" val="fromR"/>
                <dgm:param type="nodeVertAlign" val="b"/>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B"/>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b"/>
                    </dgm:alg>
                  </dgm:if>
                  <dgm:else name="Name17">
                    <dgm:alg type="lin">
                      <dgm:param type="linDir" val="fromR"/>
                      <dgm:param type="nodeVertAlign" val="b"/>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B"/>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b"/>
                          </dgm:alg>
                        </dgm:if>
                        <dgm:else name="Name24">
                          <dgm:alg type="lin">
                            <dgm:param type="linDir" val="fromR"/>
                            <dgm:param type="nodeVertAlign" val="b"/>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B"/>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b"/>
                                </dgm:alg>
                              </dgm:if>
                              <dgm:else name="Name30">
                                <dgm:alg type="lin">
                                  <dgm:param type="linDir" val="fromR"/>
                                  <dgm:param type="nodeVertAlign" val="b"/>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9CAF8D-B0D6-48F2-9B11-08423C4477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25</Pages>
  <Words>6426</Words>
  <Characters>36631</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User NA</cp:lastModifiedBy>
  <cp:revision>69</cp:revision>
  <dcterms:created xsi:type="dcterms:W3CDTF">2026-07-20T09:27:00Z</dcterms:created>
  <dcterms:modified xsi:type="dcterms:W3CDTF">2026-07-23T20:34:00Z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a604acdf-60a4-4435-bc05-0fd0780abe44</vt:lpwstr>
  </property>
</Properties>
</file>