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A32D4" w14:textId="77777777" w:rsidR="009158F1" w:rsidRDefault="009158F1" w:rsidP="009158F1">
      <w:pPr>
        <w:pStyle w:val="Title"/>
        <w:spacing w:line="360" w:lineRule="auto"/>
        <w:jc w:val="center"/>
        <w:rPr>
          <w:rFonts w:ascii="Arial" w:hAnsi="Arial" w:cs="Arial"/>
          <w:b/>
          <w:sz w:val="22"/>
          <w:szCs w:val="22"/>
        </w:rPr>
      </w:pPr>
      <w:r>
        <w:rPr>
          <w:rFonts w:ascii="Arial" w:hAnsi="Arial" w:cs="Arial"/>
          <w:b/>
          <w:noProof/>
          <w:sz w:val="22"/>
          <w:szCs w:val="22"/>
          <w:lang w:val="en-GB" w:eastAsia="en-GB"/>
        </w:rPr>
        <w:drawing>
          <wp:inline distT="0" distB="0" distL="0" distR="0" wp14:anchorId="65A13804" wp14:editId="74EEF0AE">
            <wp:extent cx="3517900" cy="1978819"/>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14:paraId="116CE182" w14:textId="77777777" w:rsidR="009158F1" w:rsidRPr="004612FD" w:rsidRDefault="009158F1" w:rsidP="009158F1"/>
    <w:p w14:paraId="191400AF" w14:textId="5760CD95" w:rsidR="009158F1" w:rsidRDefault="009158F1" w:rsidP="009158F1">
      <w:pPr>
        <w:pStyle w:val="Title"/>
        <w:spacing w:line="480" w:lineRule="auto"/>
        <w:ind w:left="720" w:firstLine="720"/>
        <w:jc w:val="both"/>
        <w:rPr>
          <w:rFonts w:ascii="Arial" w:hAnsi="Arial" w:cs="Arial"/>
          <w:b/>
          <w:sz w:val="24"/>
          <w:szCs w:val="24"/>
        </w:rPr>
      </w:pPr>
      <w:r w:rsidRPr="004612FD">
        <w:rPr>
          <w:rFonts w:ascii="Arial" w:hAnsi="Arial" w:cs="Arial"/>
          <w:b/>
          <w:sz w:val="22"/>
          <w:szCs w:val="22"/>
        </w:rPr>
        <w:t xml:space="preserve">Assignment Title: </w:t>
      </w:r>
      <w:r>
        <w:rPr>
          <w:rFonts w:ascii="Arial" w:hAnsi="Arial" w:cs="Arial"/>
          <w:b/>
          <w:sz w:val="22"/>
          <w:szCs w:val="22"/>
        </w:rPr>
        <w:tab/>
      </w:r>
      <w:r w:rsidRPr="009158F1">
        <w:rPr>
          <w:rFonts w:ascii="Arial" w:hAnsi="Arial" w:cs="Arial"/>
          <w:b/>
          <w:sz w:val="22"/>
          <w:szCs w:val="22"/>
        </w:rPr>
        <w:t xml:space="preserve">Assessment 2 – Community Engagement  </w:t>
      </w:r>
    </w:p>
    <w:p w14:paraId="2F6B05DA" w14:textId="77777777" w:rsidR="009158F1" w:rsidRDefault="009158F1" w:rsidP="009158F1">
      <w:pPr>
        <w:pStyle w:val="Title"/>
        <w:spacing w:line="480" w:lineRule="auto"/>
        <w:ind w:left="720" w:firstLine="720"/>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t>Community Engagement</w:t>
      </w:r>
    </w:p>
    <w:p w14:paraId="37CC5297" w14:textId="77777777" w:rsidR="009158F1"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t>LCBB 4002</w:t>
      </w:r>
    </w:p>
    <w:p w14:paraId="34892EE4"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4612FD">
        <w:rPr>
          <w:rFonts w:ascii="Arial" w:hAnsi="Arial" w:cs="Arial"/>
          <w:b/>
          <w:sz w:val="22"/>
          <w:szCs w:val="22"/>
        </w:rPr>
        <w:t>BA Business Management</w:t>
      </w:r>
    </w:p>
    <w:p w14:paraId="0DD8B7F9"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proofErr w:type="spellStart"/>
      <w:r w:rsidRPr="004612FD">
        <w:rPr>
          <w:rFonts w:ascii="Arial" w:hAnsi="Arial" w:cs="Arial"/>
          <w:b/>
          <w:sz w:val="22"/>
          <w:szCs w:val="22"/>
        </w:rPr>
        <w:t>Hamdan</w:t>
      </w:r>
      <w:proofErr w:type="spellEnd"/>
      <w:r w:rsidRPr="004612FD">
        <w:rPr>
          <w:rFonts w:ascii="Arial" w:hAnsi="Arial" w:cs="Arial"/>
          <w:b/>
          <w:sz w:val="22"/>
          <w:szCs w:val="22"/>
        </w:rPr>
        <w:t xml:space="preserve"> Ahm</w:t>
      </w:r>
      <w:r>
        <w:rPr>
          <w:rFonts w:ascii="Arial" w:hAnsi="Arial" w:cs="Arial"/>
          <w:b/>
          <w:sz w:val="22"/>
          <w:szCs w:val="22"/>
        </w:rPr>
        <w:t>a</w:t>
      </w:r>
      <w:r w:rsidRPr="004612FD">
        <w:rPr>
          <w:rFonts w:ascii="Arial" w:hAnsi="Arial" w:cs="Arial"/>
          <w:b/>
          <w:sz w:val="22"/>
          <w:szCs w:val="22"/>
        </w:rPr>
        <w:t>d</w:t>
      </w:r>
    </w:p>
    <w:p w14:paraId="4E168873"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p>
    <w:p w14:paraId="517D7812"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Lecturer Name: </w:t>
      </w:r>
      <w:r>
        <w:rPr>
          <w:rFonts w:ascii="Arial" w:hAnsi="Arial" w:cs="Arial"/>
          <w:b/>
          <w:sz w:val="22"/>
          <w:szCs w:val="22"/>
        </w:rPr>
        <w:tab/>
      </w:r>
      <w:proofErr w:type="spellStart"/>
      <w:r w:rsidRPr="00471A73">
        <w:rPr>
          <w:rFonts w:ascii="Arial" w:hAnsi="Arial" w:cs="Arial"/>
          <w:b/>
          <w:sz w:val="22"/>
          <w:szCs w:val="22"/>
        </w:rPr>
        <w:t>Efua</w:t>
      </w:r>
      <w:proofErr w:type="spellEnd"/>
      <w:r w:rsidRPr="00471A73">
        <w:rPr>
          <w:rFonts w:ascii="Arial" w:hAnsi="Arial" w:cs="Arial"/>
          <w:b/>
          <w:sz w:val="22"/>
          <w:szCs w:val="22"/>
        </w:rPr>
        <w:t xml:space="preserve"> Adams</w:t>
      </w:r>
    </w:p>
    <w:p w14:paraId="2D703251" w14:textId="557431A4" w:rsidR="000202B8" w:rsidRDefault="009158F1" w:rsidP="009158F1">
      <w:pPr>
        <w:jc w:val="both"/>
        <w:rPr>
          <w:rFonts w:ascii="Arial" w:hAnsi="Arial" w:cs="Arial"/>
          <w:b/>
          <w:bCs/>
          <w:sz w:val="52"/>
          <w:szCs w:val="52"/>
        </w:rPr>
      </w:pPr>
      <w:r w:rsidRPr="000918B3">
        <w:rPr>
          <w:rFonts w:ascii="Arial" w:hAnsi="Arial" w:cs="Arial"/>
        </w:rPr>
        <w:br/>
      </w:r>
      <w:r w:rsidR="000202B8">
        <w:rPr>
          <w:rFonts w:ascii="Arial" w:hAnsi="Arial" w:cs="Arial"/>
          <w:b/>
          <w:bCs/>
          <w:sz w:val="52"/>
          <w:szCs w:val="52"/>
        </w:rPr>
        <w:br w:type="page"/>
      </w:r>
    </w:p>
    <w:sdt>
      <w:sdtPr>
        <w:rPr>
          <w:rFonts w:asciiTheme="minorHAnsi" w:eastAsiaTheme="minorHAnsi" w:hAnsiTheme="minorHAnsi" w:cstheme="minorBidi"/>
          <w:color w:val="auto"/>
          <w:kern w:val="2"/>
          <w:sz w:val="28"/>
          <w:szCs w:val="22"/>
          <w14:ligatures w14:val="standardContextual"/>
        </w:rPr>
        <w:id w:val="1652014171"/>
        <w:docPartObj>
          <w:docPartGallery w:val="Table of Contents"/>
          <w:docPartUnique/>
        </w:docPartObj>
      </w:sdtPr>
      <w:sdtEndPr>
        <w:rPr>
          <w:b/>
          <w:bCs/>
          <w:noProof/>
        </w:rPr>
      </w:sdtEndPr>
      <w:sdtContent>
        <w:p w14:paraId="608CD2DC" w14:textId="48564903" w:rsidR="0075113A" w:rsidRDefault="0075113A">
          <w:pPr>
            <w:pStyle w:val="TOCHeading"/>
          </w:pPr>
          <w:r>
            <w:t>Table of Contents</w:t>
          </w:r>
        </w:p>
        <w:p w14:paraId="05B04C32" w14:textId="6BAA70C1" w:rsidR="0075113A" w:rsidRDefault="0075113A">
          <w:pPr>
            <w:pStyle w:val="TOC1"/>
            <w:tabs>
              <w:tab w:val="right" w:leader="dot" w:pos="9350"/>
            </w:tabs>
            <w:rPr>
              <w:rFonts w:eastAsiaTheme="minorEastAsia"/>
              <w:noProof/>
              <w:kern w:val="0"/>
              <w:sz w:val="22"/>
              <w:lang w:val="en-GB" w:eastAsia="en-GB"/>
              <w14:ligatures w14:val="none"/>
            </w:rPr>
          </w:pPr>
          <w:r>
            <w:fldChar w:fldCharType="begin"/>
          </w:r>
          <w:r>
            <w:instrText xml:space="preserve"> TOC \o "1-3" \h \z \u </w:instrText>
          </w:r>
          <w:r>
            <w:fldChar w:fldCharType="separate"/>
          </w:r>
          <w:hyperlink w:anchor="_Toc129291319" w:history="1">
            <w:r w:rsidRPr="00DB270C">
              <w:rPr>
                <w:rStyle w:val="Hyperlink"/>
                <w:noProof/>
              </w:rPr>
              <w:t>Introduction</w:t>
            </w:r>
            <w:r>
              <w:rPr>
                <w:noProof/>
                <w:webHidden/>
              </w:rPr>
              <w:tab/>
            </w:r>
            <w:r>
              <w:rPr>
                <w:noProof/>
                <w:webHidden/>
              </w:rPr>
              <w:fldChar w:fldCharType="begin"/>
            </w:r>
            <w:r>
              <w:rPr>
                <w:noProof/>
                <w:webHidden/>
              </w:rPr>
              <w:instrText xml:space="preserve"> PAGEREF _Toc129291319 \h </w:instrText>
            </w:r>
            <w:r>
              <w:rPr>
                <w:noProof/>
                <w:webHidden/>
              </w:rPr>
            </w:r>
            <w:r>
              <w:rPr>
                <w:noProof/>
                <w:webHidden/>
              </w:rPr>
              <w:fldChar w:fldCharType="separate"/>
            </w:r>
            <w:r>
              <w:rPr>
                <w:noProof/>
                <w:webHidden/>
              </w:rPr>
              <w:t>3</w:t>
            </w:r>
            <w:r>
              <w:rPr>
                <w:noProof/>
                <w:webHidden/>
              </w:rPr>
              <w:fldChar w:fldCharType="end"/>
            </w:r>
          </w:hyperlink>
        </w:p>
        <w:p w14:paraId="5767D38F" w14:textId="2289FF2C" w:rsidR="0075113A" w:rsidRDefault="0034479D">
          <w:pPr>
            <w:pStyle w:val="TOC1"/>
            <w:tabs>
              <w:tab w:val="right" w:leader="dot" w:pos="9350"/>
            </w:tabs>
            <w:rPr>
              <w:rFonts w:eastAsiaTheme="minorEastAsia"/>
              <w:noProof/>
              <w:kern w:val="0"/>
              <w:sz w:val="22"/>
              <w:lang w:val="en-GB" w:eastAsia="en-GB"/>
              <w14:ligatures w14:val="none"/>
            </w:rPr>
          </w:pPr>
          <w:hyperlink w:anchor="_Toc129291320" w:history="1">
            <w:r w:rsidR="0075113A" w:rsidRPr="00DB270C">
              <w:rPr>
                <w:rStyle w:val="Hyperlink"/>
                <w:rFonts w:ascii="Arial" w:hAnsi="Arial" w:cs="Arial"/>
                <w:noProof/>
              </w:rPr>
              <w:t>Reflection on Walsall specific community engagement</w:t>
            </w:r>
            <w:r w:rsidR="0075113A">
              <w:rPr>
                <w:noProof/>
                <w:webHidden/>
              </w:rPr>
              <w:tab/>
            </w:r>
            <w:r w:rsidR="0075113A">
              <w:rPr>
                <w:noProof/>
                <w:webHidden/>
              </w:rPr>
              <w:fldChar w:fldCharType="begin"/>
            </w:r>
            <w:r w:rsidR="0075113A">
              <w:rPr>
                <w:noProof/>
                <w:webHidden/>
              </w:rPr>
              <w:instrText xml:space="preserve"> PAGEREF _Toc129291320 \h </w:instrText>
            </w:r>
            <w:r w:rsidR="0075113A">
              <w:rPr>
                <w:noProof/>
                <w:webHidden/>
              </w:rPr>
            </w:r>
            <w:r w:rsidR="0075113A">
              <w:rPr>
                <w:noProof/>
                <w:webHidden/>
              </w:rPr>
              <w:fldChar w:fldCharType="separate"/>
            </w:r>
            <w:r w:rsidR="0075113A">
              <w:rPr>
                <w:noProof/>
                <w:webHidden/>
              </w:rPr>
              <w:t>3</w:t>
            </w:r>
            <w:r w:rsidR="0075113A">
              <w:rPr>
                <w:noProof/>
                <w:webHidden/>
              </w:rPr>
              <w:fldChar w:fldCharType="end"/>
            </w:r>
          </w:hyperlink>
        </w:p>
        <w:p w14:paraId="452BF409" w14:textId="1A406F8D" w:rsidR="0075113A" w:rsidRDefault="0034479D">
          <w:pPr>
            <w:pStyle w:val="TOC2"/>
            <w:tabs>
              <w:tab w:val="right" w:leader="dot" w:pos="9350"/>
            </w:tabs>
            <w:rPr>
              <w:rFonts w:eastAsiaTheme="minorEastAsia"/>
              <w:noProof/>
              <w:kern w:val="0"/>
              <w:sz w:val="22"/>
              <w:lang w:val="en-GB" w:eastAsia="en-GB"/>
              <w14:ligatures w14:val="none"/>
            </w:rPr>
          </w:pPr>
          <w:hyperlink w:anchor="_Toc129291321" w:history="1">
            <w:r w:rsidR="0075113A" w:rsidRPr="00DB270C">
              <w:rPr>
                <w:rStyle w:val="Hyperlink"/>
                <w:rFonts w:ascii="Arial" w:hAnsi="Arial" w:cs="Arial"/>
                <w:noProof/>
              </w:rPr>
              <w:t>Walsall Specific Community Engagement projects</w:t>
            </w:r>
            <w:r w:rsidR="0075113A">
              <w:rPr>
                <w:noProof/>
                <w:webHidden/>
              </w:rPr>
              <w:tab/>
            </w:r>
            <w:r w:rsidR="0075113A">
              <w:rPr>
                <w:noProof/>
                <w:webHidden/>
              </w:rPr>
              <w:fldChar w:fldCharType="begin"/>
            </w:r>
            <w:r w:rsidR="0075113A">
              <w:rPr>
                <w:noProof/>
                <w:webHidden/>
              </w:rPr>
              <w:instrText xml:space="preserve"> PAGEREF _Toc129291321 \h </w:instrText>
            </w:r>
            <w:r w:rsidR="0075113A">
              <w:rPr>
                <w:noProof/>
                <w:webHidden/>
              </w:rPr>
            </w:r>
            <w:r w:rsidR="0075113A">
              <w:rPr>
                <w:noProof/>
                <w:webHidden/>
              </w:rPr>
              <w:fldChar w:fldCharType="separate"/>
            </w:r>
            <w:r w:rsidR="0075113A">
              <w:rPr>
                <w:noProof/>
                <w:webHidden/>
              </w:rPr>
              <w:t>3</w:t>
            </w:r>
            <w:r w:rsidR="0075113A">
              <w:rPr>
                <w:noProof/>
                <w:webHidden/>
              </w:rPr>
              <w:fldChar w:fldCharType="end"/>
            </w:r>
          </w:hyperlink>
        </w:p>
        <w:p w14:paraId="423DC401" w14:textId="005FD244" w:rsidR="0075113A" w:rsidRDefault="0034479D">
          <w:pPr>
            <w:pStyle w:val="TOC3"/>
            <w:tabs>
              <w:tab w:val="right" w:leader="dot" w:pos="9350"/>
            </w:tabs>
            <w:rPr>
              <w:rFonts w:eastAsiaTheme="minorEastAsia"/>
              <w:noProof/>
              <w:kern w:val="0"/>
              <w:sz w:val="22"/>
              <w:lang w:val="en-GB" w:eastAsia="en-GB"/>
              <w14:ligatures w14:val="none"/>
            </w:rPr>
          </w:pPr>
          <w:hyperlink w:anchor="_Toc129291322" w:history="1">
            <w:r w:rsidR="0075113A" w:rsidRPr="00DB270C">
              <w:rPr>
                <w:rStyle w:val="Hyperlink"/>
                <w:rFonts w:ascii="Arial" w:hAnsi="Arial" w:cs="Arial"/>
                <w:noProof/>
              </w:rPr>
              <w:t>Surveys and questionnaires</w:t>
            </w:r>
            <w:r w:rsidR="0075113A">
              <w:rPr>
                <w:noProof/>
                <w:webHidden/>
              </w:rPr>
              <w:tab/>
            </w:r>
            <w:r w:rsidR="0075113A">
              <w:rPr>
                <w:noProof/>
                <w:webHidden/>
              </w:rPr>
              <w:fldChar w:fldCharType="begin"/>
            </w:r>
            <w:r w:rsidR="0075113A">
              <w:rPr>
                <w:noProof/>
                <w:webHidden/>
              </w:rPr>
              <w:instrText xml:space="preserve"> PAGEREF _Toc129291322 \h </w:instrText>
            </w:r>
            <w:r w:rsidR="0075113A">
              <w:rPr>
                <w:noProof/>
                <w:webHidden/>
              </w:rPr>
            </w:r>
            <w:r w:rsidR="0075113A">
              <w:rPr>
                <w:noProof/>
                <w:webHidden/>
              </w:rPr>
              <w:fldChar w:fldCharType="separate"/>
            </w:r>
            <w:r w:rsidR="0075113A">
              <w:rPr>
                <w:noProof/>
                <w:webHidden/>
              </w:rPr>
              <w:t>4</w:t>
            </w:r>
            <w:r w:rsidR="0075113A">
              <w:rPr>
                <w:noProof/>
                <w:webHidden/>
              </w:rPr>
              <w:fldChar w:fldCharType="end"/>
            </w:r>
          </w:hyperlink>
        </w:p>
        <w:p w14:paraId="56951FD2" w14:textId="377374C7" w:rsidR="0075113A" w:rsidRDefault="0034479D">
          <w:pPr>
            <w:pStyle w:val="TOC3"/>
            <w:tabs>
              <w:tab w:val="right" w:leader="dot" w:pos="9350"/>
            </w:tabs>
            <w:rPr>
              <w:rFonts w:eastAsiaTheme="minorEastAsia"/>
              <w:noProof/>
              <w:kern w:val="0"/>
              <w:sz w:val="22"/>
              <w:lang w:val="en-GB" w:eastAsia="en-GB"/>
              <w14:ligatures w14:val="none"/>
            </w:rPr>
          </w:pPr>
          <w:hyperlink w:anchor="_Toc129291323" w:history="1">
            <w:r w:rsidR="0075113A" w:rsidRPr="00DB270C">
              <w:rPr>
                <w:rStyle w:val="Hyperlink"/>
                <w:rFonts w:ascii="Arial" w:hAnsi="Arial" w:cs="Arial"/>
                <w:noProof/>
              </w:rPr>
              <w:t>Online Platforms and Social Media</w:t>
            </w:r>
            <w:r w:rsidR="0075113A">
              <w:rPr>
                <w:noProof/>
                <w:webHidden/>
              </w:rPr>
              <w:tab/>
            </w:r>
            <w:r w:rsidR="0075113A">
              <w:rPr>
                <w:noProof/>
                <w:webHidden/>
              </w:rPr>
              <w:fldChar w:fldCharType="begin"/>
            </w:r>
            <w:r w:rsidR="0075113A">
              <w:rPr>
                <w:noProof/>
                <w:webHidden/>
              </w:rPr>
              <w:instrText xml:space="preserve"> PAGEREF _Toc129291323 \h </w:instrText>
            </w:r>
            <w:r w:rsidR="0075113A">
              <w:rPr>
                <w:noProof/>
                <w:webHidden/>
              </w:rPr>
            </w:r>
            <w:r w:rsidR="0075113A">
              <w:rPr>
                <w:noProof/>
                <w:webHidden/>
              </w:rPr>
              <w:fldChar w:fldCharType="separate"/>
            </w:r>
            <w:r w:rsidR="0075113A">
              <w:rPr>
                <w:noProof/>
                <w:webHidden/>
              </w:rPr>
              <w:t>5</w:t>
            </w:r>
            <w:r w:rsidR="0075113A">
              <w:rPr>
                <w:noProof/>
                <w:webHidden/>
              </w:rPr>
              <w:fldChar w:fldCharType="end"/>
            </w:r>
          </w:hyperlink>
        </w:p>
        <w:p w14:paraId="31F2A3BE" w14:textId="48BFD7D5" w:rsidR="0075113A" w:rsidRDefault="0034479D">
          <w:pPr>
            <w:pStyle w:val="TOC3"/>
            <w:tabs>
              <w:tab w:val="right" w:leader="dot" w:pos="9350"/>
            </w:tabs>
            <w:rPr>
              <w:rFonts w:eastAsiaTheme="minorEastAsia"/>
              <w:noProof/>
              <w:kern w:val="0"/>
              <w:sz w:val="22"/>
              <w:lang w:val="en-GB" w:eastAsia="en-GB"/>
              <w14:ligatures w14:val="none"/>
            </w:rPr>
          </w:pPr>
          <w:hyperlink w:anchor="_Toc129291324" w:history="1">
            <w:r w:rsidR="0075113A" w:rsidRPr="00DB270C">
              <w:rPr>
                <w:rStyle w:val="Hyperlink"/>
                <w:rFonts w:ascii="Arial" w:hAnsi="Arial" w:cs="Arial"/>
                <w:noProof/>
              </w:rPr>
              <w:t>Community meetings and focus groups</w:t>
            </w:r>
            <w:r w:rsidR="0075113A">
              <w:rPr>
                <w:noProof/>
                <w:webHidden/>
              </w:rPr>
              <w:tab/>
            </w:r>
            <w:r w:rsidR="0075113A">
              <w:rPr>
                <w:noProof/>
                <w:webHidden/>
              </w:rPr>
              <w:fldChar w:fldCharType="begin"/>
            </w:r>
            <w:r w:rsidR="0075113A">
              <w:rPr>
                <w:noProof/>
                <w:webHidden/>
              </w:rPr>
              <w:instrText xml:space="preserve"> PAGEREF _Toc129291324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44806B71" w14:textId="0D097622" w:rsidR="0075113A" w:rsidRDefault="0034479D">
          <w:pPr>
            <w:pStyle w:val="TOC3"/>
            <w:tabs>
              <w:tab w:val="right" w:leader="dot" w:pos="9350"/>
            </w:tabs>
            <w:rPr>
              <w:rFonts w:eastAsiaTheme="minorEastAsia"/>
              <w:noProof/>
              <w:kern w:val="0"/>
              <w:sz w:val="22"/>
              <w:lang w:val="en-GB" w:eastAsia="en-GB"/>
              <w14:ligatures w14:val="none"/>
            </w:rPr>
          </w:pPr>
          <w:hyperlink w:anchor="_Toc129291325" w:history="1">
            <w:r w:rsidR="0075113A" w:rsidRPr="00DB270C">
              <w:rPr>
                <w:rStyle w:val="Hyperlink"/>
                <w:rFonts w:ascii="Arial" w:hAnsi="Arial" w:cs="Arial"/>
                <w:noProof/>
              </w:rPr>
              <w:t>Participatory planning and design</w:t>
            </w:r>
            <w:r w:rsidR="0075113A">
              <w:rPr>
                <w:noProof/>
                <w:webHidden/>
              </w:rPr>
              <w:tab/>
            </w:r>
            <w:r w:rsidR="0075113A">
              <w:rPr>
                <w:noProof/>
                <w:webHidden/>
              </w:rPr>
              <w:fldChar w:fldCharType="begin"/>
            </w:r>
            <w:r w:rsidR="0075113A">
              <w:rPr>
                <w:noProof/>
                <w:webHidden/>
              </w:rPr>
              <w:instrText xml:space="preserve"> PAGEREF _Toc129291325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0DA6A977" w14:textId="0FCD5CF3" w:rsidR="0075113A" w:rsidRDefault="0034479D">
          <w:pPr>
            <w:pStyle w:val="TOC1"/>
            <w:tabs>
              <w:tab w:val="right" w:leader="dot" w:pos="9350"/>
            </w:tabs>
            <w:rPr>
              <w:rFonts w:eastAsiaTheme="minorEastAsia"/>
              <w:noProof/>
              <w:kern w:val="0"/>
              <w:sz w:val="22"/>
              <w:lang w:val="en-GB" w:eastAsia="en-GB"/>
              <w14:ligatures w14:val="none"/>
            </w:rPr>
          </w:pPr>
          <w:hyperlink w:anchor="_Toc129291326" w:history="1">
            <w:r w:rsidR="0075113A" w:rsidRPr="00DB270C">
              <w:rPr>
                <w:rStyle w:val="Hyperlink"/>
                <w:rFonts w:ascii="Arial" w:hAnsi="Arial" w:cs="Arial"/>
                <w:noProof/>
              </w:rPr>
              <w:t>Conclusion</w:t>
            </w:r>
            <w:r w:rsidR="0075113A">
              <w:rPr>
                <w:noProof/>
                <w:webHidden/>
              </w:rPr>
              <w:tab/>
            </w:r>
            <w:r w:rsidR="0075113A">
              <w:rPr>
                <w:noProof/>
                <w:webHidden/>
              </w:rPr>
              <w:fldChar w:fldCharType="begin"/>
            </w:r>
            <w:r w:rsidR="0075113A">
              <w:rPr>
                <w:noProof/>
                <w:webHidden/>
              </w:rPr>
              <w:instrText xml:space="preserve"> PAGEREF _Toc129291326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4DC004C9" w14:textId="532543B9" w:rsidR="0075113A" w:rsidRDefault="0034479D">
          <w:pPr>
            <w:pStyle w:val="TOC1"/>
            <w:tabs>
              <w:tab w:val="right" w:leader="dot" w:pos="9350"/>
            </w:tabs>
            <w:rPr>
              <w:rFonts w:eastAsiaTheme="minorEastAsia"/>
              <w:noProof/>
              <w:kern w:val="0"/>
              <w:sz w:val="22"/>
              <w:lang w:val="en-GB" w:eastAsia="en-GB"/>
              <w14:ligatures w14:val="none"/>
            </w:rPr>
          </w:pPr>
          <w:hyperlink w:anchor="_Toc129291327" w:history="1">
            <w:r w:rsidR="0075113A" w:rsidRPr="00DB270C">
              <w:rPr>
                <w:rStyle w:val="Hyperlink"/>
                <w:noProof/>
              </w:rPr>
              <w:t>Bibliography</w:t>
            </w:r>
            <w:r w:rsidR="0075113A">
              <w:rPr>
                <w:noProof/>
                <w:webHidden/>
              </w:rPr>
              <w:tab/>
            </w:r>
            <w:r w:rsidR="0075113A">
              <w:rPr>
                <w:noProof/>
                <w:webHidden/>
              </w:rPr>
              <w:fldChar w:fldCharType="begin"/>
            </w:r>
            <w:r w:rsidR="0075113A">
              <w:rPr>
                <w:noProof/>
                <w:webHidden/>
              </w:rPr>
              <w:instrText xml:space="preserve"> PAGEREF _Toc129291327 \h </w:instrText>
            </w:r>
            <w:r w:rsidR="0075113A">
              <w:rPr>
                <w:noProof/>
                <w:webHidden/>
              </w:rPr>
            </w:r>
            <w:r w:rsidR="0075113A">
              <w:rPr>
                <w:noProof/>
                <w:webHidden/>
              </w:rPr>
              <w:fldChar w:fldCharType="separate"/>
            </w:r>
            <w:r w:rsidR="0075113A">
              <w:rPr>
                <w:noProof/>
                <w:webHidden/>
              </w:rPr>
              <w:t>9</w:t>
            </w:r>
            <w:r w:rsidR="0075113A">
              <w:rPr>
                <w:noProof/>
                <w:webHidden/>
              </w:rPr>
              <w:fldChar w:fldCharType="end"/>
            </w:r>
          </w:hyperlink>
        </w:p>
        <w:p w14:paraId="15823A1C" w14:textId="57A3F762" w:rsidR="0075113A" w:rsidRDefault="0075113A">
          <w:r>
            <w:rPr>
              <w:b/>
              <w:bCs/>
              <w:noProof/>
            </w:rPr>
            <w:fldChar w:fldCharType="end"/>
          </w:r>
        </w:p>
      </w:sdtContent>
    </w:sdt>
    <w:p w14:paraId="75E5CDF6" w14:textId="0C1B58D2" w:rsidR="000202B8" w:rsidRDefault="000202B8" w:rsidP="0075113A">
      <w:pPr>
        <w:jc w:val="both"/>
        <w:rPr>
          <w:sz w:val="52"/>
          <w:szCs w:val="52"/>
        </w:rPr>
      </w:pPr>
      <w:r>
        <w:rPr>
          <w:sz w:val="52"/>
          <w:szCs w:val="52"/>
        </w:rPr>
        <w:br w:type="page"/>
      </w:r>
    </w:p>
    <w:p w14:paraId="102B2CE9" w14:textId="67086024" w:rsidR="000202B8" w:rsidRDefault="000202B8" w:rsidP="0075113A">
      <w:pPr>
        <w:pStyle w:val="Heading1"/>
        <w:jc w:val="both"/>
      </w:pPr>
      <w:bookmarkStart w:id="0" w:name="_Toc129217065"/>
      <w:bookmarkStart w:id="1" w:name="_Toc129291319"/>
      <w:r>
        <w:lastRenderedPageBreak/>
        <w:t>Introduction</w:t>
      </w:r>
      <w:bookmarkEnd w:id="0"/>
      <w:bookmarkEnd w:id="1"/>
    </w:p>
    <w:p w14:paraId="475D2BBB" w14:textId="3546C289" w:rsidR="000202B8" w:rsidRPr="0075113A" w:rsidRDefault="000202B8" w:rsidP="0075113A">
      <w:pPr>
        <w:spacing w:line="360" w:lineRule="auto"/>
        <w:jc w:val="both"/>
        <w:rPr>
          <w:rFonts w:ascii="Arial" w:hAnsi="Arial" w:cs="Arial"/>
          <w:sz w:val="22"/>
        </w:rPr>
      </w:pPr>
      <w:r w:rsidRPr="0075113A">
        <w:rPr>
          <w:rFonts w:ascii="Arial" w:hAnsi="Arial" w:cs="Arial"/>
          <w:sz w:val="22"/>
        </w:rPr>
        <w:t>This reflection is based on the community engagement practices of the Walsall Council. A critical analysis of their community engagement practice has been discussed in the previous part of this assignment.</w:t>
      </w:r>
      <w:r w:rsidRPr="0075113A">
        <w:rPr>
          <w:rFonts w:ascii="Arial" w:hAnsi="Arial" w:cs="Arial"/>
          <w:sz w:val="22"/>
        </w:rPr>
        <w:br/>
        <w:t>Here’s a brief reflection on the functioning of the Walsall community currently.</w:t>
      </w:r>
    </w:p>
    <w:p w14:paraId="6755A7CF" w14:textId="3256629A" w:rsidR="000202B8" w:rsidRPr="0075113A" w:rsidRDefault="000202B8" w:rsidP="0075113A">
      <w:pPr>
        <w:spacing w:line="360" w:lineRule="auto"/>
        <w:jc w:val="both"/>
        <w:rPr>
          <w:rFonts w:ascii="Arial" w:hAnsi="Arial" w:cs="Arial"/>
          <w:sz w:val="22"/>
        </w:rPr>
      </w:pPr>
      <w:r w:rsidRPr="0075113A">
        <w:rPr>
          <w:rFonts w:ascii="Arial" w:hAnsi="Arial" w:cs="Arial"/>
          <w:sz w:val="22"/>
        </w:rPr>
        <w:t xml:space="preserve">Walsall Council seems dedicated to interacting with the neighborhood in a variety of ways. The council has established </w:t>
      </w:r>
      <w:r w:rsidR="00344FA0" w:rsidRPr="0075113A">
        <w:rPr>
          <w:rFonts w:ascii="Arial" w:hAnsi="Arial" w:cs="Arial"/>
          <w:sz w:val="22"/>
        </w:rPr>
        <w:t>several</w:t>
      </w:r>
      <w:r w:rsidRPr="0075113A">
        <w:rPr>
          <w:rFonts w:ascii="Arial" w:hAnsi="Arial" w:cs="Arial"/>
          <w:sz w:val="22"/>
        </w:rPr>
        <w:t xml:space="preserve"> initiatives and programmes with the goal of including locals in decision-making procedures and enhancing the quality of life in the neighbourhood.</w:t>
      </w:r>
    </w:p>
    <w:p w14:paraId="3034A1ED" w14:textId="19BACD30" w:rsidR="000202B8" w:rsidRPr="0075113A" w:rsidRDefault="000202B8" w:rsidP="0075113A">
      <w:pPr>
        <w:spacing w:line="360" w:lineRule="auto"/>
        <w:jc w:val="both"/>
        <w:rPr>
          <w:rFonts w:ascii="Arial" w:hAnsi="Arial" w:cs="Arial"/>
          <w:sz w:val="22"/>
        </w:rPr>
      </w:pPr>
      <w:r w:rsidRPr="0075113A">
        <w:rPr>
          <w:rFonts w:ascii="Arial" w:hAnsi="Arial" w:cs="Arial"/>
          <w:sz w:val="22"/>
        </w:rPr>
        <w:t>For instance, the council has created a programme called Community Forums that gives locals the chance to meet and talk about issues with councillors and council officers. Through this programme, the community and the council have been able to communicate and residents now have a voice in decisions that directly affect them.</w:t>
      </w:r>
    </w:p>
    <w:p w14:paraId="6F80C6DF" w14:textId="36F24698" w:rsidR="000202B8" w:rsidRPr="0075113A" w:rsidRDefault="000202B8" w:rsidP="0075113A">
      <w:pPr>
        <w:spacing w:line="360" w:lineRule="auto"/>
        <w:jc w:val="both"/>
        <w:rPr>
          <w:rFonts w:ascii="Arial" w:hAnsi="Arial" w:cs="Arial"/>
          <w:sz w:val="22"/>
        </w:rPr>
      </w:pPr>
      <w:r w:rsidRPr="0075113A">
        <w:rPr>
          <w:rFonts w:ascii="Arial" w:hAnsi="Arial" w:cs="Arial"/>
          <w:sz w:val="22"/>
        </w:rPr>
        <w:t>In addition, the council has opened a portal for community involvement, giving locals a way to interact with the council online. Residents can access details about nearby services and activities, offer feedback, and submit complaints or suggestions through this site.</w:t>
      </w:r>
    </w:p>
    <w:p w14:paraId="2E5E75E4" w14:textId="56F516A8" w:rsidR="000202B8" w:rsidRPr="0075113A" w:rsidRDefault="000202B8" w:rsidP="0075113A">
      <w:pPr>
        <w:spacing w:line="360" w:lineRule="auto"/>
        <w:jc w:val="both"/>
        <w:rPr>
          <w:rFonts w:ascii="Arial" w:hAnsi="Arial" w:cs="Arial"/>
          <w:sz w:val="22"/>
        </w:rPr>
      </w:pPr>
      <w:r w:rsidRPr="0075113A">
        <w:rPr>
          <w:rFonts w:ascii="Arial" w:hAnsi="Arial" w:cs="Arial"/>
          <w:sz w:val="22"/>
        </w:rPr>
        <w:t xml:space="preserve">The council has also participated in </w:t>
      </w:r>
      <w:r w:rsidR="00344FA0" w:rsidRPr="0075113A">
        <w:rPr>
          <w:rFonts w:ascii="Arial" w:hAnsi="Arial" w:cs="Arial"/>
          <w:sz w:val="22"/>
        </w:rPr>
        <w:t>several</w:t>
      </w:r>
      <w:r w:rsidRPr="0075113A">
        <w:rPr>
          <w:rFonts w:ascii="Arial" w:hAnsi="Arial" w:cs="Arial"/>
          <w:sz w:val="22"/>
        </w:rPr>
        <w:t xml:space="preserve"> neighbourhood initiatives, like the Walsall Proud programme. In order to appreciate the area's variety and foster community cohesiveness, this project intends to bring together locals, businesses, and community organisations.</w:t>
      </w:r>
    </w:p>
    <w:p w14:paraId="6CCB1D54" w14:textId="0D54C705" w:rsidR="008045B6" w:rsidRPr="0075113A" w:rsidRDefault="008045B6" w:rsidP="0075113A">
      <w:pPr>
        <w:pStyle w:val="Heading1"/>
        <w:spacing w:line="360" w:lineRule="auto"/>
        <w:jc w:val="both"/>
        <w:rPr>
          <w:rFonts w:ascii="Arial" w:hAnsi="Arial" w:cs="Arial"/>
          <w:sz w:val="22"/>
          <w:szCs w:val="22"/>
        </w:rPr>
      </w:pPr>
      <w:bookmarkStart w:id="2" w:name="_Toc129217066"/>
      <w:bookmarkStart w:id="3" w:name="_Toc129291320"/>
      <w:r w:rsidRPr="0075113A">
        <w:rPr>
          <w:rFonts w:ascii="Arial" w:hAnsi="Arial" w:cs="Arial"/>
          <w:sz w:val="22"/>
          <w:szCs w:val="22"/>
        </w:rPr>
        <w:t>Reflection on Walsall specific community engagement</w:t>
      </w:r>
      <w:bookmarkEnd w:id="2"/>
      <w:bookmarkEnd w:id="3"/>
    </w:p>
    <w:p w14:paraId="5D19853E" w14:textId="2C50D5A3" w:rsidR="008045B6" w:rsidRPr="0075113A" w:rsidRDefault="008045B6" w:rsidP="0075113A">
      <w:pPr>
        <w:spacing w:line="360" w:lineRule="auto"/>
        <w:jc w:val="both"/>
        <w:rPr>
          <w:rFonts w:ascii="Arial" w:hAnsi="Arial" w:cs="Arial"/>
          <w:sz w:val="22"/>
        </w:rPr>
      </w:pPr>
      <w:r w:rsidRPr="0075113A">
        <w:rPr>
          <w:rFonts w:ascii="Arial" w:hAnsi="Arial" w:cs="Arial"/>
          <w:sz w:val="22"/>
        </w:rPr>
        <w:t>Building trust and establishing a sense of belonging in communities is crucial for making them stronger and more resilient. People and groups are more likely to have a feeling of ownership and investment in their community when they participate in decision-making processes that directly affect them. This can improve</w:t>
      </w:r>
      <w:r w:rsidR="00A74281">
        <w:rPr>
          <w:rFonts w:ascii="Arial" w:hAnsi="Arial" w:cs="Arial"/>
          <w:sz w:val="22"/>
        </w:rPr>
        <w:t xml:space="preserve"> the</w:t>
      </w:r>
      <w:r w:rsidRPr="0075113A">
        <w:rPr>
          <w:rFonts w:ascii="Arial" w:hAnsi="Arial" w:cs="Arial"/>
          <w:sz w:val="22"/>
        </w:rPr>
        <w:t xml:space="preserve"> social cohesiveness and create a more inclusive and equitable society.</w:t>
      </w:r>
    </w:p>
    <w:p w14:paraId="0188D02E" w14:textId="33B936CD" w:rsidR="008045B6" w:rsidRPr="0075113A" w:rsidRDefault="008045B6" w:rsidP="0075113A">
      <w:pPr>
        <w:spacing w:line="360" w:lineRule="auto"/>
        <w:jc w:val="both"/>
        <w:rPr>
          <w:rFonts w:ascii="Arial" w:hAnsi="Arial" w:cs="Arial"/>
          <w:sz w:val="22"/>
        </w:rPr>
      </w:pPr>
      <w:r w:rsidRPr="0075113A">
        <w:rPr>
          <w:rFonts w:ascii="Arial" w:hAnsi="Arial" w:cs="Arial"/>
          <w:sz w:val="22"/>
        </w:rPr>
        <w:t>The setting of urban planning and development is one illustration of the value of community engagement. Urban planning has historically frequently been carried out without sufficient engagement with locals, leading to the creation of structures and infrastructure that do not satisfy community requirements or are even actively opposed by locals.</w:t>
      </w:r>
      <w:sdt>
        <w:sdtPr>
          <w:rPr>
            <w:rFonts w:ascii="Arial" w:hAnsi="Arial" w:cs="Arial"/>
            <w:sz w:val="22"/>
          </w:rPr>
          <w:id w:val="-1260748278"/>
          <w:citation/>
        </w:sdtPr>
        <w:sdtEndPr/>
        <w:sdtContent>
          <w:r w:rsidRPr="0075113A">
            <w:rPr>
              <w:rFonts w:ascii="Arial" w:hAnsi="Arial" w:cs="Arial"/>
              <w:sz w:val="22"/>
            </w:rPr>
            <w:fldChar w:fldCharType="begin"/>
          </w:r>
          <w:r w:rsidRPr="0075113A">
            <w:rPr>
              <w:rFonts w:ascii="Arial" w:hAnsi="Arial" w:cs="Arial"/>
              <w:sz w:val="22"/>
            </w:rPr>
            <w:instrText xml:space="preserve"> CITATION MAA22 \l 1033 </w:instrText>
          </w:r>
          <w:r w:rsidRPr="0075113A">
            <w:rPr>
              <w:rFonts w:ascii="Arial" w:hAnsi="Arial" w:cs="Arial"/>
              <w:sz w:val="22"/>
            </w:rPr>
            <w:fldChar w:fldCharType="separate"/>
          </w:r>
          <w:r w:rsidRPr="0075113A">
            <w:rPr>
              <w:rFonts w:ascii="Arial" w:hAnsi="Arial" w:cs="Arial"/>
              <w:noProof/>
              <w:sz w:val="22"/>
            </w:rPr>
            <w:t xml:space="preserve"> (MAARIT KAHILA AND ANNA BROBERG, 2022)</w:t>
          </w:r>
          <w:r w:rsidRPr="0075113A">
            <w:rPr>
              <w:rFonts w:ascii="Arial" w:hAnsi="Arial" w:cs="Arial"/>
              <w:sz w:val="22"/>
            </w:rPr>
            <w:fldChar w:fldCharType="end"/>
          </w:r>
        </w:sdtContent>
      </w:sdt>
    </w:p>
    <w:p w14:paraId="637834E1" w14:textId="74320F9F" w:rsidR="008045B6" w:rsidRPr="0075113A" w:rsidRDefault="008045B6" w:rsidP="0075113A">
      <w:pPr>
        <w:pStyle w:val="Heading2"/>
        <w:spacing w:line="360" w:lineRule="auto"/>
        <w:jc w:val="both"/>
        <w:rPr>
          <w:rFonts w:ascii="Arial" w:hAnsi="Arial" w:cs="Arial"/>
          <w:sz w:val="22"/>
          <w:szCs w:val="22"/>
        </w:rPr>
      </w:pPr>
      <w:bookmarkStart w:id="4" w:name="_Toc129217067"/>
      <w:bookmarkStart w:id="5" w:name="_Toc129291321"/>
      <w:r w:rsidRPr="0075113A">
        <w:rPr>
          <w:rFonts w:ascii="Arial" w:hAnsi="Arial" w:cs="Arial"/>
          <w:sz w:val="22"/>
          <w:szCs w:val="22"/>
        </w:rPr>
        <w:t>Walsall Specific Community Engagement projects</w:t>
      </w:r>
      <w:bookmarkEnd w:id="4"/>
      <w:bookmarkEnd w:id="5"/>
    </w:p>
    <w:p w14:paraId="4D684461" w14:textId="76FDEE65" w:rsidR="008045B6" w:rsidRPr="0075113A" w:rsidRDefault="00320536" w:rsidP="0075113A">
      <w:pPr>
        <w:spacing w:line="360" w:lineRule="auto"/>
        <w:jc w:val="both"/>
        <w:rPr>
          <w:rFonts w:ascii="Arial" w:hAnsi="Arial" w:cs="Arial"/>
          <w:sz w:val="22"/>
        </w:rPr>
      </w:pPr>
      <w:r w:rsidRPr="0075113A">
        <w:rPr>
          <w:rFonts w:ascii="Arial" w:hAnsi="Arial" w:cs="Arial"/>
          <w:sz w:val="22"/>
        </w:rPr>
        <w:t xml:space="preserve">Here </w:t>
      </w:r>
      <w:r w:rsidR="00344FA0" w:rsidRPr="0075113A">
        <w:rPr>
          <w:rFonts w:ascii="Arial" w:hAnsi="Arial" w:cs="Arial"/>
          <w:sz w:val="22"/>
        </w:rPr>
        <w:t>is</w:t>
      </w:r>
      <w:r w:rsidRPr="0075113A">
        <w:rPr>
          <w:rFonts w:ascii="Arial" w:hAnsi="Arial" w:cs="Arial"/>
          <w:sz w:val="22"/>
        </w:rPr>
        <w:t xml:space="preserve"> </w:t>
      </w:r>
      <w:r w:rsidR="00344FA0" w:rsidRPr="0075113A">
        <w:rPr>
          <w:rFonts w:ascii="Arial" w:hAnsi="Arial" w:cs="Arial"/>
          <w:sz w:val="22"/>
        </w:rPr>
        <w:t xml:space="preserve">a </w:t>
      </w:r>
      <w:r w:rsidRPr="0075113A">
        <w:rPr>
          <w:rFonts w:ascii="Arial" w:hAnsi="Arial" w:cs="Arial"/>
          <w:sz w:val="22"/>
        </w:rPr>
        <w:t xml:space="preserve">reflection on some of the projects of community engagement by </w:t>
      </w:r>
      <w:r w:rsidR="00344FA0" w:rsidRPr="0075113A">
        <w:rPr>
          <w:rFonts w:ascii="Arial" w:hAnsi="Arial" w:cs="Arial"/>
          <w:sz w:val="22"/>
        </w:rPr>
        <w:t xml:space="preserve">the </w:t>
      </w:r>
      <w:proofErr w:type="spellStart"/>
      <w:r w:rsidRPr="0075113A">
        <w:rPr>
          <w:rFonts w:ascii="Arial" w:hAnsi="Arial" w:cs="Arial"/>
          <w:sz w:val="22"/>
        </w:rPr>
        <w:t>Walsall</w:t>
      </w:r>
      <w:proofErr w:type="spellEnd"/>
      <w:r w:rsidRPr="0075113A">
        <w:rPr>
          <w:rFonts w:ascii="Arial" w:hAnsi="Arial" w:cs="Arial"/>
          <w:sz w:val="22"/>
        </w:rPr>
        <w:t xml:space="preserve"> </w:t>
      </w:r>
      <w:r w:rsidR="00A74281">
        <w:rPr>
          <w:rFonts w:ascii="Arial" w:hAnsi="Arial" w:cs="Arial"/>
          <w:sz w:val="22"/>
        </w:rPr>
        <w:t>C</w:t>
      </w:r>
      <w:r w:rsidRPr="0075113A">
        <w:rPr>
          <w:rFonts w:ascii="Arial" w:hAnsi="Arial" w:cs="Arial"/>
          <w:sz w:val="22"/>
        </w:rPr>
        <w:t>ouncil</w:t>
      </w:r>
      <w:r w:rsidR="00A74281">
        <w:rPr>
          <w:rFonts w:ascii="Arial" w:hAnsi="Arial" w:cs="Arial"/>
          <w:sz w:val="22"/>
        </w:rPr>
        <w:t>.</w:t>
      </w:r>
    </w:p>
    <w:p w14:paraId="28E74798" w14:textId="003205ED" w:rsidR="00320536" w:rsidRPr="0075113A" w:rsidRDefault="00320536" w:rsidP="0075113A">
      <w:pPr>
        <w:pStyle w:val="Heading3"/>
        <w:spacing w:line="360" w:lineRule="auto"/>
        <w:jc w:val="both"/>
        <w:rPr>
          <w:rFonts w:ascii="Arial" w:hAnsi="Arial" w:cs="Arial"/>
          <w:sz w:val="22"/>
          <w:szCs w:val="22"/>
        </w:rPr>
      </w:pPr>
      <w:bookmarkStart w:id="6" w:name="_Toc129217068"/>
      <w:bookmarkStart w:id="7" w:name="_Toc129291322"/>
      <w:r w:rsidRPr="0075113A">
        <w:rPr>
          <w:rFonts w:ascii="Arial" w:hAnsi="Arial" w:cs="Arial"/>
          <w:sz w:val="22"/>
          <w:szCs w:val="22"/>
        </w:rPr>
        <w:lastRenderedPageBreak/>
        <w:t>Surveys and questionnaires</w:t>
      </w:r>
      <w:bookmarkEnd w:id="6"/>
      <w:bookmarkEnd w:id="7"/>
    </w:p>
    <w:p w14:paraId="29C60D27" w14:textId="4FDCB49D" w:rsidR="00320536" w:rsidRPr="0075113A" w:rsidRDefault="00320536" w:rsidP="0075113A">
      <w:pPr>
        <w:spacing w:line="360" w:lineRule="auto"/>
        <w:jc w:val="both"/>
        <w:rPr>
          <w:rFonts w:ascii="Arial" w:hAnsi="Arial" w:cs="Arial"/>
          <w:sz w:val="22"/>
        </w:rPr>
      </w:pPr>
      <w:r w:rsidRPr="0075113A">
        <w:rPr>
          <w:rFonts w:ascii="Arial" w:hAnsi="Arial" w:cs="Arial"/>
          <w:sz w:val="22"/>
        </w:rPr>
        <w:t>In order to acquire input and ideas from a large number of individuals in a planned and methodical manner, surveys and questionnaires are effective instruments for community involvement. They can be used to determine community needs, get input on current services or initiatives, or determine how the general public feels about a certain topic.</w:t>
      </w:r>
    </w:p>
    <w:p w14:paraId="6E76DC3B" w14:textId="6109CB64" w:rsidR="00320536" w:rsidRPr="0075113A" w:rsidRDefault="00320536" w:rsidP="0075113A">
      <w:pPr>
        <w:spacing w:line="360" w:lineRule="auto"/>
        <w:jc w:val="both"/>
        <w:rPr>
          <w:rFonts w:ascii="Arial" w:hAnsi="Arial" w:cs="Arial"/>
          <w:sz w:val="22"/>
        </w:rPr>
      </w:pPr>
      <w:r w:rsidRPr="0075113A">
        <w:rPr>
          <w:rFonts w:ascii="Arial" w:hAnsi="Arial" w:cs="Arial"/>
          <w:sz w:val="22"/>
        </w:rPr>
        <w:t>To ensure that surveys and questionnaires are successful in involving the community and producing insightful data, it is crucial to carefully plan their design. While creating surveys and questionnaires for community involvement, it's important to keep the following in mind:</w:t>
      </w:r>
    </w:p>
    <w:p w14:paraId="1A19F758" w14:textId="4FCCABCB"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Questions should be precise, succinct, and simple to understand, using clear language and no jargon.</w:t>
      </w:r>
    </w:p>
    <w:p w14:paraId="6D70372D" w14:textId="2C265310"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Questions should be pertinent to the survey's objectives and should not request information that is unnecessary or unrelated to the subject.</w:t>
      </w:r>
    </w:p>
    <w:p w14:paraId="2C525DE7" w14:textId="2D2B5C2A"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The right format should be used when designing surveys and questionnaires so that the target audience may easily complete them. For example, an online survey may be more convenient for certain people, while others may prefer a paper-based form.</w:t>
      </w:r>
    </w:p>
    <w:p w14:paraId="028EE4DF" w14:textId="036E1B51"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Demographic considerations: Surveys and questionnaires should be made to be inclusive of all groups and should take into account the variety of the community.</w:t>
      </w:r>
    </w:p>
    <w:p w14:paraId="79E77D3C" w14:textId="5D4CE0C9"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Data protection: Surveys and questionnaires should adhere to data protection laws and make sure that the personal data of respondents is kept private and used only for the stated purpose.</w:t>
      </w:r>
      <w:sdt>
        <w:sdtPr>
          <w:rPr>
            <w:rFonts w:ascii="Arial" w:hAnsi="Arial" w:cs="Arial"/>
            <w:sz w:val="22"/>
          </w:rPr>
          <w:id w:val="1054354591"/>
          <w:citation/>
        </w:sdtPr>
        <w:sdtEndPr/>
        <w:sdtContent>
          <w:r w:rsidRPr="0075113A">
            <w:rPr>
              <w:rFonts w:ascii="Arial" w:hAnsi="Arial" w:cs="Arial"/>
              <w:sz w:val="22"/>
            </w:rPr>
            <w:fldChar w:fldCharType="begin"/>
          </w:r>
          <w:r w:rsidRPr="0075113A">
            <w:rPr>
              <w:rFonts w:ascii="Arial" w:hAnsi="Arial" w:cs="Arial"/>
              <w:sz w:val="22"/>
            </w:rPr>
            <w:instrText xml:space="preserve"> CITATION LWo13 \l 1033 </w:instrText>
          </w:r>
          <w:r w:rsidRPr="0075113A">
            <w:rPr>
              <w:rFonts w:ascii="Arial" w:hAnsi="Arial" w:cs="Arial"/>
              <w:sz w:val="22"/>
            </w:rPr>
            <w:fldChar w:fldCharType="separate"/>
          </w:r>
          <w:r w:rsidRPr="0075113A">
            <w:rPr>
              <w:rFonts w:ascii="Arial" w:hAnsi="Arial" w:cs="Arial"/>
              <w:noProof/>
              <w:sz w:val="22"/>
            </w:rPr>
            <w:t xml:space="preserve"> (L Wood, 2013)</w:t>
          </w:r>
          <w:r w:rsidRPr="0075113A">
            <w:rPr>
              <w:rFonts w:ascii="Arial" w:hAnsi="Arial" w:cs="Arial"/>
              <w:sz w:val="22"/>
            </w:rPr>
            <w:fldChar w:fldCharType="end"/>
          </w:r>
        </w:sdtContent>
      </w:sdt>
    </w:p>
    <w:p w14:paraId="40814170" w14:textId="4923144E" w:rsidR="00320536" w:rsidRPr="0075113A" w:rsidRDefault="00320536" w:rsidP="0075113A">
      <w:pPr>
        <w:spacing w:line="360" w:lineRule="auto"/>
        <w:jc w:val="both"/>
        <w:rPr>
          <w:rFonts w:ascii="Arial" w:hAnsi="Arial" w:cs="Arial"/>
          <w:sz w:val="22"/>
        </w:rPr>
      </w:pPr>
      <w:r w:rsidRPr="0075113A">
        <w:rPr>
          <w:rFonts w:ascii="Arial" w:hAnsi="Arial" w:cs="Arial"/>
          <w:sz w:val="22"/>
        </w:rPr>
        <w:t>Ultimately, if surveys and questionnaires are thoughtfully created and implemented with the community's needs and interests in mind, they can be useful instruments for community participation. Surveys and questionnaires can collect comments and opinions from a wide number of people and offer insightful data that can help in decision-making and enhance the delivery of services and activities.</w:t>
      </w:r>
    </w:p>
    <w:p w14:paraId="61CED7FD" w14:textId="7ADAC629" w:rsidR="00320536" w:rsidRPr="0075113A" w:rsidRDefault="00320536" w:rsidP="0075113A">
      <w:pPr>
        <w:pStyle w:val="Heading4"/>
        <w:spacing w:line="360" w:lineRule="auto"/>
        <w:jc w:val="both"/>
        <w:rPr>
          <w:rFonts w:ascii="Arial" w:hAnsi="Arial" w:cs="Arial"/>
          <w:sz w:val="22"/>
        </w:rPr>
      </w:pPr>
      <w:r w:rsidRPr="0075113A">
        <w:rPr>
          <w:rFonts w:ascii="Arial" w:hAnsi="Arial" w:cs="Arial"/>
          <w:sz w:val="22"/>
        </w:rPr>
        <w:t>Alternative methods to Surveys and questionnaires</w:t>
      </w:r>
    </w:p>
    <w:p w14:paraId="4897BC8A" w14:textId="20209409" w:rsidR="00836ACD" w:rsidRPr="0075113A" w:rsidRDefault="00836ACD" w:rsidP="0075113A">
      <w:pPr>
        <w:spacing w:line="360" w:lineRule="auto"/>
        <w:jc w:val="both"/>
        <w:rPr>
          <w:rFonts w:ascii="Arial" w:hAnsi="Arial" w:cs="Arial"/>
          <w:sz w:val="22"/>
        </w:rPr>
      </w:pPr>
      <w:r w:rsidRPr="0075113A">
        <w:rPr>
          <w:rFonts w:ascii="Arial" w:hAnsi="Arial" w:cs="Arial"/>
          <w:sz w:val="22"/>
        </w:rPr>
        <w:t xml:space="preserve">Following are </w:t>
      </w:r>
      <w:r w:rsidR="00344FA0" w:rsidRPr="0075113A">
        <w:rPr>
          <w:rFonts w:ascii="Arial" w:hAnsi="Arial" w:cs="Arial"/>
          <w:sz w:val="22"/>
        </w:rPr>
        <w:t xml:space="preserve">a </w:t>
      </w:r>
      <w:r w:rsidRPr="0075113A">
        <w:rPr>
          <w:rFonts w:ascii="Arial" w:hAnsi="Arial" w:cs="Arial"/>
          <w:sz w:val="22"/>
        </w:rPr>
        <w:t xml:space="preserve">few alternative methods </w:t>
      </w:r>
      <w:r w:rsidR="00344FA0" w:rsidRPr="0075113A">
        <w:rPr>
          <w:rFonts w:ascii="Arial" w:hAnsi="Arial" w:cs="Arial"/>
          <w:sz w:val="22"/>
        </w:rPr>
        <w:t>to surveys</w:t>
      </w:r>
      <w:r w:rsidRPr="0075113A">
        <w:rPr>
          <w:rFonts w:ascii="Arial" w:hAnsi="Arial" w:cs="Arial"/>
          <w:sz w:val="22"/>
        </w:rPr>
        <w:t xml:space="preserve"> and questionnaires in community involvement:</w:t>
      </w:r>
    </w:p>
    <w:p w14:paraId="54DF1F73" w14:textId="6BFA4348"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Interviews: An interview is a one-on-one discussion between a researcher and a member of the community. This approach enables a deeper investigation of unique experiences and viewpoints, and it may be effective in fostering relationships and trust with community members.</w:t>
      </w:r>
    </w:p>
    <w:p w14:paraId="35F11831" w14:textId="6FE5FA70"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lastRenderedPageBreak/>
        <w:t xml:space="preserve">Participatory Action Research (PAR) is a cooperative research methodology that enlists individuals </w:t>
      </w:r>
      <w:r w:rsidR="00344FA0" w:rsidRPr="0075113A">
        <w:rPr>
          <w:rFonts w:ascii="Arial" w:hAnsi="Arial" w:cs="Arial"/>
          <w:sz w:val="22"/>
        </w:rPr>
        <w:t>in</w:t>
      </w:r>
      <w:r w:rsidRPr="0075113A">
        <w:rPr>
          <w:rFonts w:ascii="Arial" w:hAnsi="Arial" w:cs="Arial"/>
          <w:sz w:val="22"/>
        </w:rPr>
        <w:t xml:space="preserve"> the community as co-researchers. By including communities in all stages of the research process—from problem identification through data collecting, analysis, and dissemination—PAR aspires to empower communities.</w:t>
      </w:r>
    </w:p>
    <w:p w14:paraId="1A6DE119" w14:textId="6DF4D5AB"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 xml:space="preserve">Creating a visual representation of a community's physical attributes, available resources, and social networks </w:t>
      </w:r>
      <w:r w:rsidR="00A74281">
        <w:rPr>
          <w:rFonts w:ascii="Arial" w:hAnsi="Arial" w:cs="Arial"/>
          <w:sz w:val="22"/>
        </w:rPr>
        <w:t>is</w:t>
      </w:r>
      <w:r w:rsidRPr="0075113A">
        <w:rPr>
          <w:rFonts w:ascii="Arial" w:hAnsi="Arial" w:cs="Arial"/>
          <w:sz w:val="22"/>
        </w:rPr>
        <w:t xml:space="preserve"> known as community mapping. This approach can be used to pinpoint the assets and strengths of a community as well as its needs. </w:t>
      </w:r>
      <w:sdt>
        <w:sdtPr>
          <w:rPr>
            <w:rFonts w:ascii="Arial" w:hAnsi="Arial" w:cs="Arial"/>
            <w:sz w:val="22"/>
          </w:rPr>
          <w:id w:val="709624582"/>
          <w:citation/>
        </w:sdtPr>
        <w:sdtEndPr/>
        <w:sdtContent>
          <w:r w:rsidRPr="0075113A">
            <w:rPr>
              <w:rFonts w:ascii="Arial" w:hAnsi="Arial" w:cs="Arial"/>
              <w:sz w:val="22"/>
            </w:rPr>
            <w:fldChar w:fldCharType="begin"/>
          </w:r>
          <w:r w:rsidRPr="0075113A">
            <w:rPr>
              <w:rFonts w:ascii="Arial" w:hAnsi="Arial" w:cs="Arial"/>
              <w:sz w:val="22"/>
            </w:rPr>
            <w:instrText xml:space="preserve"> CITATION Ent16 \l 1033 </w:instrText>
          </w:r>
          <w:r w:rsidRPr="0075113A">
            <w:rPr>
              <w:rFonts w:ascii="Arial" w:hAnsi="Arial" w:cs="Arial"/>
              <w:sz w:val="22"/>
            </w:rPr>
            <w:fldChar w:fldCharType="separate"/>
          </w:r>
          <w:r w:rsidRPr="0075113A">
            <w:rPr>
              <w:rFonts w:ascii="Arial" w:hAnsi="Arial" w:cs="Arial"/>
              <w:noProof/>
              <w:sz w:val="22"/>
            </w:rPr>
            <w:t>(Enterprise Centre, 2016)</w:t>
          </w:r>
          <w:r w:rsidRPr="0075113A">
            <w:rPr>
              <w:rFonts w:ascii="Arial" w:hAnsi="Arial" w:cs="Arial"/>
              <w:sz w:val="22"/>
            </w:rPr>
            <w:fldChar w:fldCharType="end"/>
          </w:r>
        </w:sdtContent>
      </w:sdt>
    </w:p>
    <w:p w14:paraId="046143CB" w14:textId="446E326A"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Using the participatory research technique known as "photovoice," individuals of the community are given cameras and asked to shoot pictures that depict their thoughts and experiences. The images are then the starting point for a debate and analysis in the group.</w:t>
      </w:r>
      <w:sdt>
        <w:sdtPr>
          <w:rPr>
            <w:rFonts w:ascii="Arial" w:hAnsi="Arial" w:cs="Arial"/>
            <w:sz w:val="22"/>
          </w:rPr>
          <w:id w:val="966938750"/>
          <w:citation/>
        </w:sdtPr>
        <w:sdtEndPr/>
        <w:sdtContent>
          <w:r w:rsidR="00E457B0" w:rsidRPr="0075113A">
            <w:rPr>
              <w:rFonts w:ascii="Arial" w:hAnsi="Arial" w:cs="Arial"/>
              <w:sz w:val="22"/>
            </w:rPr>
            <w:fldChar w:fldCharType="begin"/>
          </w:r>
          <w:r w:rsidR="00E457B0" w:rsidRPr="0075113A">
            <w:rPr>
              <w:rFonts w:ascii="Arial" w:hAnsi="Arial" w:cs="Arial"/>
              <w:sz w:val="22"/>
            </w:rPr>
            <w:instrText xml:space="preserve"> CITATION Ste21 \l 1033 </w:instrText>
          </w:r>
          <w:r w:rsidR="00E457B0" w:rsidRPr="0075113A">
            <w:rPr>
              <w:rFonts w:ascii="Arial" w:hAnsi="Arial" w:cs="Arial"/>
              <w:sz w:val="22"/>
            </w:rPr>
            <w:fldChar w:fldCharType="separate"/>
          </w:r>
          <w:r w:rsidR="00E457B0" w:rsidRPr="0075113A">
            <w:rPr>
              <w:rFonts w:ascii="Arial" w:hAnsi="Arial" w:cs="Arial"/>
              <w:noProof/>
              <w:sz w:val="22"/>
            </w:rPr>
            <w:t xml:space="preserve"> (Stephanie Lechuga-Peña, 2021)</w:t>
          </w:r>
          <w:r w:rsidR="00E457B0" w:rsidRPr="0075113A">
            <w:rPr>
              <w:rFonts w:ascii="Arial" w:hAnsi="Arial" w:cs="Arial"/>
              <w:sz w:val="22"/>
            </w:rPr>
            <w:fldChar w:fldCharType="end"/>
          </w:r>
        </w:sdtContent>
      </w:sdt>
    </w:p>
    <w:p w14:paraId="7FCE67BE" w14:textId="0BABD52A" w:rsidR="00836ACD" w:rsidRPr="0075113A" w:rsidRDefault="00836ACD" w:rsidP="0075113A">
      <w:pPr>
        <w:spacing w:line="360" w:lineRule="auto"/>
        <w:jc w:val="both"/>
        <w:rPr>
          <w:rFonts w:ascii="Arial" w:hAnsi="Arial" w:cs="Arial"/>
          <w:sz w:val="22"/>
        </w:rPr>
      </w:pPr>
      <w:r w:rsidRPr="0075113A">
        <w:rPr>
          <w:rFonts w:ascii="Arial" w:hAnsi="Arial" w:cs="Arial"/>
          <w:sz w:val="22"/>
        </w:rPr>
        <w:t>These are but a few illustrations of diverse approaches to community participation initiatives. It's crucial to pick a method that fits the community and the research issue, as well as to make sure that the approach is morally righteous, considerate, and open to everybody.</w:t>
      </w:r>
    </w:p>
    <w:p w14:paraId="5A1D56AA" w14:textId="77777777" w:rsidR="00E457B0" w:rsidRPr="0075113A" w:rsidRDefault="00E457B0" w:rsidP="0075113A">
      <w:pPr>
        <w:spacing w:line="360" w:lineRule="auto"/>
        <w:jc w:val="both"/>
        <w:rPr>
          <w:rFonts w:ascii="Arial" w:hAnsi="Arial" w:cs="Arial"/>
          <w:sz w:val="22"/>
        </w:rPr>
      </w:pPr>
    </w:p>
    <w:p w14:paraId="37B4554F" w14:textId="5A370446" w:rsidR="00E457B0" w:rsidRPr="0075113A" w:rsidRDefault="00E457B0" w:rsidP="0075113A">
      <w:pPr>
        <w:pStyle w:val="Heading3"/>
        <w:spacing w:line="360" w:lineRule="auto"/>
        <w:jc w:val="both"/>
        <w:rPr>
          <w:rFonts w:ascii="Arial" w:hAnsi="Arial" w:cs="Arial"/>
          <w:sz w:val="22"/>
          <w:szCs w:val="22"/>
        </w:rPr>
      </w:pPr>
      <w:bookmarkStart w:id="8" w:name="_Toc127244505"/>
      <w:bookmarkStart w:id="9" w:name="_Toc129217069"/>
      <w:bookmarkStart w:id="10" w:name="_Toc129291323"/>
      <w:r w:rsidRPr="0075113A">
        <w:rPr>
          <w:rFonts w:ascii="Arial" w:hAnsi="Arial" w:cs="Arial"/>
          <w:sz w:val="22"/>
          <w:szCs w:val="22"/>
        </w:rPr>
        <w:t>Online Platforms and Social Media</w:t>
      </w:r>
      <w:bookmarkEnd w:id="8"/>
      <w:bookmarkEnd w:id="9"/>
      <w:bookmarkEnd w:id="10"/>
    </w:p>
    <w:p w14:paraId="2E37FE41" w14:textId="3D074035" w:rsidR="00E457B0" w:rsidRPr="0075113A" w:rsidRDefault="00E457B0" w:rsidP="0075113A">
      <w:pPr>
        <w:spacing w:line="360" w:lineRule="auto"/>
        <w:jc w:val="both"/>
        <w:rPr>
          <w:rFonts w:ascii="Arial" w:hAnsi="Arial" w:cs="Arial"/>
          <w:sz w:val="22"/>
        </w:rPr>
      </w:pPr>
      <w:r w:rsidRPr="0075113A">
        <w:rPr>
          <w:rFonts w:ascii="Arial" w:hAnsi="Arial" w:cs="Arial"/>
          <w:sz w:val="22"/>
        </w:rPr>
        <w:t>Online platforms and social media have revolutionized community engagement by enabling people to connect and communicate in ways that were not possible before. These platforms offer several benefits for community engagement, including increased accessibility, reach, and inclusivity. However, they also present some challenges that need to be considered and addressed.</w:t>
      </w:r>
    </w:p>
    <w:p w14:paraId="1A356947" w14:textId="14055913" w:rsidR="00E457B0" w:rsidRPr="0075113A" w:rsidRDefault="00E457B0" w:rsidP="0075113A">
      <w:pPr>
        <w:spacing w:line="360" w:lineRule="auto"/>
        <w:jc w:val="both"/>
        <w:rPr>
          <w:rFonts w:ascii="Arial" w:hAnsi="Arial" w:cs="Arial"/>
          <w:sz w:val="22"/>
        </w:rPr>
      </w:pPr>
      <w:r w:rsidRPr="0075113A">
        <w:rPr>
          <w:rFonts w:ascii="Arial" w:hAnsi="Arial" w:cs="Arial"/>
          <w:sz w:val="22"/>
        </w:rPr>
        <w:t>One of the main benefits of online platforms and social media is that they a</w:t>
      </w:r>
      <w:r w:rsidR="00A74281">
        <w:rPr>
          <w:rFonts w:ascii="Arial" w:hAnsi="Arial" w:cs="Arial"/>
          <w:sz w:val="22"/>
        </w:rPr>
        <w:t>llow for increased access</w:t>
      </w:r>
      <w:r w:rsidRPr="0075113A">
        <w:rPr>
          <w:rFonts w:ascii="Arial" w:hAnsi="Arial" w:cs="Arial"/>
          <w:sz w:val="22"/>
        </w:rPr>
        <w:t xml:space="preserve"> to information and engagement opportunities. People can participate in discussions and provide feedback from anywhere, at any time, using a variety of devices. This is particularly important for people who may not have the resources or mobility to attend in-person events or meetings.</w:t>
      </w:r>
    </w:p>
    <w:p w14:paraId="71DA0E13" w14:textId="2ABAFC05" w:rsidR="00E457B0" w:rsidRPr="0075113A" w:rsidRDefault="00E457B0" w:rsidP="0075113A">
      <w:pPr>
        <w:spacing w:line="360" w:lineRule="auto"/>
        <w:jc w:val="both"/>
        <w:rPr>
          <w:rFonts w:ascii="Arial" w:hAnsi="Arial" w:cs="Arial"/>
          <w:sz w:val="22"/>
        </w:rPr>
      </w:pPr>
      <w:r w:rsidRPr="0075113A">
        <w:rPr>
          <w:rFonts w:ascii="Arial" w:hAnsi="Arial" w:cs="Arial"/>
          <w:sz w:val="22"/>
        </w:rPr>
        <w:t xml:space="preserve">The ability of these platforms to reach a larger audience than conventional engagement strategies is another advantage. Millions of people utilize social media platforms, making them effective </w:t>
      </w:r>
      <w:r w:rsidR="00344FA0" w:rsidRPr="0075113A">
        <w:rPr>
          <w:rFonts w:ascii="Arial" w:hAnsi="Arial" w:cs="Arial"/>
          <w:sz w:val="22"/>
        </w:rPr>
        <w:t>tools</w:t>
      </w:r>
      <w:r w:rsidRPr="0075113A">
        <w:rPr>
          <w:rFonts w:ascii="Arial" w:hAnsi="Arial" w:cs="Arial"/>
          <w:sz w:val="22"/>
        </w:rPr>
        <w:t xml:space="preserve"> for sharing information and interacting with communities. This is particularly helpful for reaching out to hard-to-reach demographics like youth or those with diverse cultural backgrounds.</w:t>
      </w:r>
    </w:p>
    <w:p w14:paraId="408E76B7" w14:textId="64612369" w:rsidR="00E457B0" w:rsidRPr="0075113A" w:rsidRDefault="00E457B0" w:rsidP="0075113A">
      <w:pPr>
        <w:spacing w:line="360" w:lineRule="auto"/>
        <w:jc w:val="both"/>
        <w:rPr>
          <w:rFonts w:ascii="Arial" w:hAnsi="Arial" w:cs="Arial"/>
          <w:sz w:val="22"/>
        </w:rPr>
      </w:pPr>
      <w:r w:rsidRPr="0075113A">
        <w:rPr>
          <w:rFonts w:ascii="Arial" w:hAnsi="Arial" w:cs="Arial"/>
          <w:sz w:val="22"/>
        </w:rPr>
        <w:lastRenderedPageBreak/>
        <w:t>Social media and online platforms have the potential to be more inclusive by giving different views a chance to be heard. By enabling users to participate anonymously or converse in their preferred language through translation tools, these platforms help lower engagement barriers. Also, individuals who might not have had access to the same resources and support in their offline life might feel a sense of community and belonging thanks to online platforms.</w:t>
      </w:r>
    </w:p>
    <w:p w14:paraId="4ADE115A" w14:textId="34D70FB3" w:rsidR="00E457B0" w:rsidRPr="0075113A" w:rsidRDefault="00344FA0" w:rsidP="0075113A">
      <w:pPr>
        <w:spacing w:line="360" w:lineRule="auto"/>
        <w:jc w:val="both"/>
        <w:rPr>
          <w:rFonts w:ascii="Arial" w:hAnsi="Arial" w:cs="Arial"/>
          <w:sz w:val="22"/>
        </w:rPr>
      </w:pPr>
      <w:r w:rsidRPr="0075113A">
        <w:rPr>
          <w:rFonts w:ascii="Arial" w:hAnsi="Arial" w:cs="Arial"/>
          <w:sz w:val="22"/>
        </w:rPr>
        <w:t>But</w:t>
      </w:r>
      <w:r w:rsidR="00E457B0" w:rsidRPr="0075113A">
        <w:rPr>
          <w:rFonts w:ascii="Arial" w:hAnsi="Arial" w:cs="Arial"/>
          <w:sz w:val="22"/>
        </w:rPr>
        <w:t xml:space="preserve"> social media and internet platforms are not without their own set of difficulties. The possibility </w:t>
      </w:r>
      <w:r w:rsidRPr="0075113A">
        <w:rPr>
          <w:rFonts w:ascii="Arial" w:hAnsi="Arial" w:cs="Arial"/>
          <w:sz w:val="22"/>
        </w:rPr>
        <w:t>of</w:t>
      </w:r>
      <w:r w:rsidR="00E457B0" w:rsidRPr="0075113A">
        <w:rPr>
          <w:rFonts w:ascii="Arial" w:hAnsi="Arial" w:cs="Arial"/>
          <w:sz w:val="22"/>
        </w:rPr>
        <w:t xml:space="preserve"> </w:t>
      </w:r>
      <w:r w:rsidRPr="0075113A">
        <w:rPr>
          <w:rFonts w:ascii="Arial" w:hAnsi="Arial" w:cs="Arial"/>
          <w:sz w:val="22"/>
        </w:rPr>
        <w:t>polarization</w:t>
      </w:r>
      <w:r w:rsidR="00E457B0" w:rsidRPr="0075113A">
        <w:rPr>
          <w:rFonts w:ascii="Arial" w:hAnsi="Arial" w:cs="Arial"/>
          <w:sz w:val="22"/>
        </w:rPr>
        <w:t xml:space="preserve"> and false information is one difficulty. It can be challenging to determine what online is factual and trustworthy given the wealth of information available. As people are only exposed to opinions that agree with their own, echo chambers can be reinforced by social media algorithms, which can </w:t>
      </w:r>
      <w:r w:rsidRPr="0075113A">
        <w:rPr>
          <w:rFonts w:ascii="Arial" w:hAnsi="Arial" w:cs="Arial"/>
          <w:sz w:val="22"/>
        </w:rPr>
        <w:t>polarize</w:t>
      </w:r>
      <w:r w:rsidR="00E457B0" w:rsidRPr="0075113A">
        <w:rPr>
          <w:rFonts w:ascii="Arial" w:hAnsi="Arial" w:cs="Arial"/>
          <w:sz w:val="22"/>
        </w:rPr>
        <w:t xml:space="preserve"> society and silence alternative voices.</w:t>
      </w:r>
    </w:p>
    <w:p w14:paraId="7D986EEC" w14:textId="2F72B4BC" w:rsidR="00E457B0" w:rsidRPr="0075113A" w:rsidRDefault="00E457B0" w:rsidP="0075113A">
      <w:pPr>
        <w:spacing w:line="360" w:lineRule="auto"/>
        <w:jc w:val="both"/>
        <w:rPr>
          <w:rFonts w:ascii="Arial" w:hAnsi="Arial" w:cs="Arial"/>
          <w:sz w:val="22"/>
        </w:rPr>
      </w:pPr>
      <w:r w:rsidRPr="0075113A">
        <w:rPr>
          <w:rFonts w:ascii="Arial" w:hAnsi="Arial" w:cs="Arial"/>
          <w:sz w:val="22"/>
        </w:rPr>
        <w:t xml:space="preserve">The possibility </w:t>
      </w:r>
      <w:r w:rsidR="00344FA0" w:rsidRPr="0075113A">
        <w:rPr>
          <w:rFonts w:ascii="Arial" w:hAnsi="Arial" w:cs="Arial"/>
          <w:sz w:val="22"/>
        </w:rPr>
        <w:t>of</w:t>
      </w:r>
      <w:r w:rsidRPr="0075113A">
        <w:rPr>
          <w:rFonts w:ascii="Arial" w:hAnsi="Arial" w:cs="Arial"/>
          <w:sz w:val="22"/>
        </w:rPr>
        <w:t xml:space="preserve"> online abuse and harassment is another difficulty. Those who feel empowered by anonymity and distance may participate in undesirable </w:t>
      </w:r>
      <w:r w:rsidR="00344FA0" w:rsidRPr="0075113A">
        <w:rPr>
          <w:rFonts w:ascii="Arial" w:hAnsi="Arial" w:cs="Arial"/>
          <w:sz w:val="22"/>
        </w:rPr>
        <w:t>behaviors</w:t>
      </w:r>
      <w:r w:rsidRPr="0075113A">
        <w:rPr>
          <w:rFonts w:ascii="Arial" w:hAnsi="Arial" w:cs="Arial"/>
          <w:sz w:val="22"/>
        </w:rPr>
        <w:t xml:space="preserve"> like cyberbullying or hate speech, which can have negative effects on both individuals and communities.</w:t>
      </w:r>
    </w:p>
    <w:p w14:paraId="76450250" w14:textId="3BBE876B" w:rsidR="00E457B0" w:rsidRPr="0075113A" w:rsidRDefault="00E457B0" w:rsidP="0075113A">
      <w:pPr>
        <w:spacing w:line="360" w:lineRule="auto"/>
        <w:jc w:val="both"/>
        <w:rPr>
          <w:rFonts w:ascii="Arial" w:hAnsi="Arial" w:cs="Arial"/>
          <w:sz w:val="22"/>
        </w:rPr>
      </w:pPr>
      <w:r w:rsidRPr="0075113A">
        <w:rPr>
          <w:rFonts w:ascii="Arial" w:hAnsi="Arial" w:cs="Arial"/>
          <w:sz w:val="22"/>
        </w:rPr>
        <w:t>In conclusion, online platforms and social media have the potential to be powerful tools for community engagement, but they need to be used thoughtfully and carefully. Engagement strategies should be designed with the specific needs and contexts of the community in mind, and efforts should be made to mitigate the potential for misinformation, polarization, and harm.</w:t>
      </w:r>
    </w:p>
    <w:p w14:paraId="520D7A23" w14:textId="60FAEC82" w:rsidR="00E457B0" w:rsidRPr="0075113A" w:rsidRDefault="00E457B0" w:rsidP="0075113A">
      <w:pPr>
        <w:pStyle w:val="Heading4"/>
        <w:spacing w:line="360" w:lineRule="auto"/>
        <w:jc w:val="both"/>
        <w:rPr>
          <w:rFonts w:ascii="Arial" w:hAnsi="Arial" w:cs="Arial"/>
          <w:sz w:val="22"/>
        </w:rPr>
      </w:pPr>
      <w:r w:rsidRPr="0075113A">
        <w:rPr>
          <w:rFonts w:ascii="Arial" w:hAnsi="Arial" w:cs="Arial"/>
          <w:sz w:val="22"/>
        </w:rPr>
        <w:t>Alternative methods to Online Platforms and Social Media</w:t>
      </w:r>
    </w:p>
    <w:p w14:paraId="50769D90" w14:textId="3A93D69F" w:rsidR="00E457B0" w:rsidRPr="0075113A" w:rsidRDefault="00890E41" w:rsidP="0075113A">
      <w:pPr>
        <w:spacing w:line="360" w:lineRule="auto"/>
        <w:jc w:val="both"/>
        <w:rPr>
          <w:rFonts w:ascii="Arial" w:hAnsi="Arial" w:cs="Arial"/>
          <w:sz w:val="22"/>
        </w:rPr>
      </w:pPr>
      <w:r w:rsidRPr="0075113A">
        <w:rPr>
          <w:rFonts w:ascii="Arial" w:hAnsi="Arial" w:cs="Arial"/>
          <w:sz w:val="22"/>
        </w:rPr>
        <w:t>Here are some of the alternative media tools that can be used for community engagement:</w:t>
      </w:r>
    </w:p>
    <w:p w14:paraId="240B15F6" w14:textId="12988B05"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Phone Surveys: Phone surveys can be an effective alternative to online surveys for community engagement. They allow for real-time conversations with community members and can help to build relationships and trust.</w:t>
      </w:r>
    </w:p>
    <w:p w14:paraId="008BDD12" w14:textId="16D7EAC8"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Email Newsletters: Email newsletters can be a great way to keep community members informed about important news, events, and updates. They can also provide a platform for community members to share their thoughts and ideas.</w:t>
      </w:r>
    </w:p>
    <w:p w14:paraId="549D6BE6" w14:textId="7456BCAA"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Text Messaging: Text messaging can be an effective way to communicate with community members, especially for time-sensitive information or urgent messages. It can also be used for reminders about events or to solicit feedback.</w:t>
      </w:r>
    </w:p>
    <w:p w14:paraId="3E90C6EF" w14:textId="3C459527" w:rsidR="00890E41" w:rsidRPr="0075113A" w:rsidRDefault="00890E41" w:rsidP="0075113A">
      <w:pPr>
        <w:spacing w:line="360" w:lineRule="auto"/>
        <w:jc w:val="both"/>
        <w:rPr>
          <w:rFonts w:ascii="Arial" w:hAnsi="Arial" w:cs="Arial"/>
          <w:sz w:val="22"/>
        </w:rPr>
      </w:pPr>
      <w:r w:rsidRPr="0075113A">
        <w:rPr>
          <w:rFonts w:ascii="Arial" w:hAnsi="Arial" w:cs="Arial"/>
          <w:sz w:val="22"/>
        </w:rPr>
        <w:t>It's important to choose a community engagement method that is appropriate for the community and the research question. A combination of different methods may also be necessary to reach a diverse range of community members.</w:t>
      </w:r>
    </w:p>
    <w:p w14:paraId="5477BAA8" w14:textId="60C448F3" w:rsidR="00890E41" w:rsidRPr="0075113A" w:rsidRDefault="00890E41" w:rsidP="0075113A">
      <w:pPr>
        <w:pStyle w:val="Heading3"/>
        <w:spacing w:line="360" w:lineRule="auto"/>
        <w:jc w:val="both"/>
        <w:rPr>
          <w:rFonts w:ascii="Arial" w:hAnsi="Arial" w:cs="Arial"/>
          <w:sz w:val="22"/>
          <w:szCs w:val="22"/>
        </w:rPr>
      </w:pPr>
      <w:bookmarkStart w:id="11" w:name="_Toc127244506"/>
      <w:bookmarkStart w:id="12" w:name="_Toc129217070"/>
      <w:bookmarkStart w:id="13" w:name="_Toc129291324"/>
      <w:r w:rsidRPr="0075113A">
        <w:rPr>
          <w:rFonts w:ascii="Arial" w:hAnsi="Arial" w:cs="Arial"/>
          <w:sz w:val="22"/>
          <w:szCs w:val="22"/>
        </w:rPr>
        <w:lastRenderedPageBreak/>
        <w:t>Community meetings and focus groups</w:t>
      </w:r>
      <w:bookmarkEnd w:id="11"/>
      <w:bookmarkEnd w:id="12"/>
      <w:bookmarkEnd w:id="13"/>
    </w:p>
    <w:p w14:paraId="1B7E7B1D" w14:textId="3541639D" w:rsidR="00890E41" w:rsidRPr="0075113A" w:rsidRDefault="00890E41" w:rsidP="0075113A">
      <w:pPr>
        <w:spacing w:line="360" w:lineRule="auto"/>
        <w:jc w:val="both"/>
        <w:rPr>
          <w:rFonts w:ascii="Arial" w:hAnsi="Arial" w:cs="Arial"/>
          <w:sz w:val="22"/>
        </w:rPr>
      </w:pPr>
      <w:r w:rsidRPr="0075113A">
        <w:rPr>
          <w:rFonts w:ascii="Arial" w:hAnsi="Arial" w:cs="Arial"/>
          <w:sz w:val="22"/>
        </w:rPr>
        <w:t>Community meetings and focus groups are two traditional methods of community engagement that have been used for decades. Both methods provide opportunities for community members to voice their opinions, share their experiences, and provide feedback on specific issues or projects.</w:t>
      </w:r>
    </w:p>
    <w:p w14:paraId="35634568" w14:textId="0C8F1DFD" w:rsidR="00890E41" w:rsidRPr="0075113A" w:rsidRDefault="00890E41" w:rsidP="0075113A">
      <w:pPr>
        <w:spacing w:line="360" w:lineRule="auto"/>
        <w:jc w:val="both"/>
        <w:rPr>
          <w:rFonts w:ascii="Arial" w:hAnsi="Arial" w:cs="Arial"/>
          <w:sz w:val="22"/>
        </w:rPr>
      </w:pPr>
      <w:r w:rsidRPr="0075113A">
        <w:rPr>
          <w:rFonts w:ascii="Arial" w:hAnsi="Arial" w:cs="Arial"/>
          <w:sz w:val="22"/>
        </w:rPr>
        <w:t>Community meetings can be a useful tool for building relationships and trust between community members and decision-makers. They can also provide valuable insights into community concerns and priorities.</w:t>
      </w:r>
      <w:sdt>
        <w:sdtPr>
          <w:rPr>
            <w:rFonts w:ascii="Arial" w:hAnsi="Arial" w:cs="Arial"/>
            <w:sz w:val="22"/>
          </w:rPr>
          <w:id w:val="1648014010"/>
          <w:citation/>
        </w:sdtPr>
        <w:sdtEndPr/>
        <w:sdtContent>
          <w:r w:rsidRPr="0075113A">
            <w:rPr>
              <w:rFonts w:ascii="Arial" w:hAnsi="Arial" w:cs="Arial"/>
              <w:sz w:val="22"/>
            </w:rPr>
            <w:fldChar w:fldCharType="begin"/>
          </w:r>
          <w:r w:rsidRPr="0075113A">
            <w:rPr>
              <w:rFonts w:ascii="Arial" w:hAnsi="Arial" w:cs="Arial"/>
              <w:sz w:val="22"/>
            </w:rPr>
            <w:instrText xml:space="preserve"> CITATION Pau19 \l 1033 </w:instrText>
          </w:r>
          <w:r w:rsidRPr="0075113A">
            <w:rPr>
              <w:rFonts w:ascii="Arial" w:hAnsi="Arial" w:cs="Arial"/>
              <w:sz w:val="22"/>
            </w:rPr>
            <w:fldChar w:fldCharType="separate"/>
          </w:r>
          <w:r w:rsidRPr="0075113A">
            <w:rPr>
              <w:rFonts w:ascii="Arial" w:hAnsi="Arial" w:cs="Arial"/>
              <w:noProof/>
              <w:sz w:val="22"/>
            </w:rPr>
            <w:t xml:space="preserve"> (Paul Lachapelle, 2019)</w:t>
          </w:r>
          <w:r w:rsidRPr="0075113A">
            <w:rPr>
              <w:rFonts w:ascii="Arial" w:hAnsi="Arial" w:cs="Arial"/>
              <w:sz w:val="22"/>
            </w:rPr>
            <w:fldChar w:fldCharType="end"/>
          </w:r>
        </w:sdtContent>
      </w:sdt>
    </w:p>
    <w:p w14:paraId="3C6A8318" w14:textId="4D054CBC" w:rsidR="00890E41" w:rsidRPr="0075113A" w:rsidRDefault="00890E41" w:rsidP="0075113A">
      <w:pPr>
        <w:spacing w:line="360" w:lineRule="auto"/>
        <w:jc w:val="both"/>
        <w:rPr>
          <w:rFonts w:ascii="Arial" w:hAnsi="Arial" w:cs="Arial"/>
          <w:sz w:val="22"/>
        </w:rPr>
      </w:pPr>
      <w:r w:rsidRPr="0075113A">
        <w:rPr>
          <w:rFonts w:ascii="Arial" w:hAnsi="Arial" w:cs="Arial"/>
          <w:sz w:val="22"/>
        </w:rPr>
        <w:t xml:space="preserve">Focus groups, on the other hand, are more structured and involve a small group of people who are brought together to discuss a specific topic or issue. </w:t>
      </w:r>
    </w:p>
    <w:p w14:paraId="5D34012A" w14:textId="77777777" w:rsidR="00890E41" w:rsidRPr="0075113A" w:rsidRDefault="00890E41" w:rsidP="0075113A">
      <w:pPr>
        <w:spacing w:line="360" w:lineRule="auto"/>
        <w:jc w:val="both"/>
        <w:rPr>
          <w:rFonts w:ascii="Arial" w:hAnsi="Arial" w:cs="Arial"/>
          <w:sz w:val="22"/>
        </w:rPr>
      </w:pPr>
    </w:p>
    <w:p w14:paraId="1CA14D66" w14:textId="5F5D9938" w:rsidR="00890E41" w:rsidRPr="0075113A" w:rsidRDefault="00890E41" w:rsidP="0075113A">
      <w:pPr>
        <w:spacing w:line="360" w:lineRule="auto"/>
        <w:jc w:val="both"/>
        <w:rPr>
          <w:rFonts w:ascii="Arial" w:hAnsi="Arial" w:cs="Arial"/>
          <w:sz w:val="22"/>
        </w:rPr>
      </w:pPr>
      <w:r w:rsidRPr="0075113A">
        <w:rPr>
          <w:rFonts w:ascii="Arial" w:hAnsi="Arial" w:cs="Arial"/>
          <w:sz w:val="22"/>
        </w:rPr>
        <w:t>Both community meetings and focus groups have their advantages and limitations. Community meetings can be open and inclusive, but they may not provide opportunities for all community members to share their opinions. They may also be limited by time constraints and may not allow for in-depth discussion. Focus groups, on the other hand, can provide more detailed insights, but they may not be representative of the broader community.</w:t>
      </w:r>
    </w:p>
    <w:p w14:paraId="27707252" w14:textId="77777777" w:rsidR="00890E41" w:rsidRPr="0075113A" w:rsidRDefault="00890E41" w:rsidP="0075113A">
      <w:pPr>
        <w:pStyle w:val="Heading3"/>
        <w:spacing w:line="360" w:lineRule="auto"/>
        <w:jc w:val="both"/>
        <w:rPr>
          <w:rFonts w:ascii="Arial" w:hAnsi="Arial" w:cs="Arial"/>
          <w:sz w:val="22"/>
          <w:szCs w:val="22"/>
        </w:rPr>
      </w:pPr>
      <w:bookmarkStart w:id="14" w:name="_Toc127244507"/>
      <w:bookmarkStart w:id="15" w:name="_Toc129217071"/>
      <w:bookmarkStart w:id="16" w:name="_Toc129291325"/>
      <w:r w:rsidRPr="0075113A">
        <w:rPr>
          <w:rFonts w:ascii="Arial" w:hAnsi="Arial" w:cs="Arial"/>
          <w:sz w:val="22"/>
          <w:szCs w:val="22"/>
        </w:rPr>
        <w:t>Participatory planning and design</w:t>
      </w:r>
      <w:bookmarkEnd w:id="14"/>
      <w:bookmarkEnd w:id="15"/>
      <w:bookmarkEnd w:id="16"/>
    </w:p>
    <w:p w14:paraId="293CFFBC" w14:textId="09772A8F" w:rsidR="00890E41" w:rsidRPr="0075113A" w:rsidRDefault="00890E41" w:rsidP="0075113A">
      <w:pPr>
        <w:spacing w:line="360" w:lineRule="auto"/>
        <w:jc w:val="both"/>
        <w:rPr>
          <w:rFonts w:ascii="Arial" w:hAnsi="Arial" w:cs="Arial"/>
          <w:sz w:val="22"/>
        </w:rPr>
      </w:pPr>
      <w:r w:rsidRPr="0075113A">
        <w:rPr>
          <w:rFonts w:ascii="Arial" w:hAnsi="Arial" w:cs="Arial"/>
          <w:sz w:val="22"/>
        </w:rPr>
        <w:t xml:space="preserve">Participatory planning and design is a potent method for community engagement that entails teaming up with locals to pinpoint issues, establish goals, and create solutions. </w:t>
      </w:r>
    </w:p>
    <w:p w14:paraId="6D3CA875" w14:textId="60CCB04C" w:rsidR="00344FA0" w:rsidRPr="0075113A" w:rsidRDefault="00890E41" w:rsidP="0075113A">
      <w:pPr>
        <w:spacing w:line="360" w:lineRule="auto"/>
        <w:jc w:val="both"/>
        <w:rPr>
          <w:rFonts w:ascii="Arial" w:hAnsi="Arial" w:cs="Arial"/>
          <w:sz w:val="22"/>
        </w:rPr>
      </w:pPr>
      <w:r w:rsidRPr="0075113A">
        <w:rPr>
          <w:rFonts w:ascii="Arial" w:hAnsi="Arial" w:cs="Arial"/>
          <w:sz w:val="22"/>
        </w:rPr>
        <w:t>The ability of community members to take charge of the planning and design process and the results is one of the major advantages of participatory planning and design. The solutions that are produced when community members participate in decision-making are more likely to be pertinent and long-lasting, and the community is more likely to be invested in their implementation.</w:t>
      </w:r>
    </w:p>
    <w:p w14:paraId="77BBC4C4" w14:textId="340DC8FB" w:rsidR="00E457B0" w:rsidRPr="0075113A" w:rsidRDefault="00344FA0" w:rsidP="0075113A">
      <w:pPr>
        <w:spacing w:line="360" w:lineRule="auto"/>
        <w:jc w:val="both"/>
        <w:rPr>
          <w:rFonts w:ascii="Arial" w:hAnsi="Arial" w:cs="Arial"/>
          <w:sz w:val="22"/>
        </w:rPr>
      </w:pPr>
      <w:r w:rsidRPr="0075113A">
        <w:rPr>
          <w:rFonts w:ascii="Arial" w:hAnsi="Arial" w:cs="Arial"/>
          <w:sz w:val="22"/>
        </w:rPr>
        <w:t xml:space="preserve">Participatory planning and design, but can also be difficult. It can be time-consuming and resource-intensive, and it calls for a dedication to transparency and collaboration. </w:t>
      </w:r>
    </w:p>
    <w:p w14:paraId="7018D05F" w14:textId="44F31F11" w:rsidR="00E457B0" w:rsidRPr="0075113A" w:rsidRDefault="00344FA0" w:rsidP="0075113A">
      <w:pPr>
        <w:pStyle w:val="Heading1"/>
        <w:spacing w:line="360" w:lineRule="auto"/>
        <w:jc w:val="both"/>
        <w:rPr>
          <w:rFonts w:ascii="Arial" w:hAnsi="Arial" w:cs="Arial"/>
          <w:sz w:val="22"/>
          <w:szCs w:val="22"/>
        </w:rPr>
      </w:pPr>
      <w:bookmarkStart w:id="17" w:name="_Toc129217072"/>
      <w:bookmarkStart w:id="18" w:name="_Toc129291326"/>
      <w:r w:rsidRPr="0075113A">
        <w:rPr>
          <w:rFonts w:ascii="Arial" w:hAnsi="Arial" w:cs="Arial"/>
          <w:sz w:val="22"/>
          <w:szCs w:val="22"/>
        </w:rPr>
        <w:t>Conclusion</w:t>
      </w:r>
      <w:bookmarkEnd w:id="17"/>
      <w:bookmarkEnd w:id="18"/>
    </w:p>
    <w:p w14:paraId="123068CC" w14:textId="057267AE"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Collaboration with community members is necessary for the essential process of community engagement, which entails problem identification, priority setting, and solution development. Successful community engagement calls for a dedication to cooperation, openness, and </w:t>
      </w:r>
      <w:r w:rsidRPr="0075113A">
        <w:rPr>
          <w:rFonts w:ascii="Arial" w:hAnsi="Arial" w:cs="Arial"/>
          <w:sz w:val="22"/>
        </w:rPr>
        <w:lastRenderedPageBreak/>
        <w:t>transparency as well as a readiness to give community members the power to own the procedure and the results.</w:t>
      </w:r>
    </w:p>
    <w:p w14:paraId="3DFBB89A" w14:textId="110044B9" w:rsidR="00344FA0" w:rsidRPr="0075113A" w:rsidRDefault="00344FA0" w:rsidP="0075113A">
      <w:pPr>
        <w:spacing w:line="360" w:lineRule="auto"/>
        <w:jc w:val="both"/>
        <w:rPr>
          <w:rFonts w:ascii="Arial" w:hAnsi="Arial" w:cs="Arial"/>
          <w:sz w:val="22"/>
        </w:rPr>
      </w:pPr>
      <w:r w:rsidRPr="0075113A">
        <w:rPr>
          <w:rFonts w:ascii="Arial" w:hAnsi="Arial" w:cs="Arial"/>
          <w:sz w:val="22"/>
        </w:rPr>
        <w:t>Surveys and questionnaires, focus groups, interviews, participatory action research, community mapping, social media analysis, and community forums are just a few of the techniques used to engage the community. It's crucial to pick a method that fits the community and the research issue, as well as to make sure that the approach is morally righteous, considerate, and open to everybody.</w:t>
      </w:r>
    </w:p>
    <w:p w14:paraId="435BF85E" w14:textId="454D4060" w:rsidR="00344FA0" w:rsidRPr="0075113A" w:rsidRDefault="00344FA0" w:rsidP="0075113A">
      <w:pPr>
        <w:spacing w:line="360" w:lineRule="auto"/>
        <w:jc w:val="both"/>
        <w:rPr>
          <w:rFonts w:ascii="Arial" w:hAnsi="Arial" w:cs="Arial"/>
          <w:sz w:val="22"/>
        </w:rPr>
      </w:pPr>
      <w:r w:rsidRPr="0075113A">
        <w:rPr>
          <w:rFonts w:ascii="Arial" w:hAnsi="Arial" w:cs="Arial"/>
          <w:sz w:val="22"/>
        </w:rPr>
        <w:t>Working cooperatively with community members to identify issues, establish goals, and develop solutions is a key component of participatory planning and design, a potent tool for community participation. In addition to fostering relationships and trust between community people and decision-makers, this strategy can provide more workable and long-lasting solutions.</w:t>
      </w:r>
    </w:p>
    <w:p w14:paraId="52591DC3" w14:textId="3FAB7645" w:rsidR="00344FA0" w:rsidRPr="0075113A" w:rsidRDefault="00344FA0" w:rsidP="0075113A">
      <w:pPr>
        <w:spacing w:line="360" w:lineRule="auto"/>
        <w:jc w:val="both"/>
        <w:rPr>
          <w:rFonts w:ascii="Arial" w:hAnsi="Arial" w:cs="Arial"/>
          <w:sz w:val="22"/>
        </w:rPr>
      </w:pPr>
      <w:r w:rsidRPr="0075113A">
        <w:rPr>
          <w:rFonts w:ascii="Arial" w:hAnsi="Arial" w:cs="Arial"/>
          <w:sz w:val="22"/>
        </w:rPr>
        <w:t>In conclusion, community participation is a dynamic and continuing process that demands a commitment to collaboration, transparency, and openness. Decision-makers may create solutions that are pertinent, efficient, and sustainable by collaborating with community people. They can also create stronger, more resilient communities.</w:t>
      </w:r>
    </w:p>
    <w:p w14:paraId="2FE51547" w14:textId="1E1CFD2A"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Community engagement is a constructive and continuous process that involves constant input from research and development, forming and testing new strategies, observing the results, and implementing the results-based results obtained from continuous testing. </w:t>
      </w:r>
    </w:p>
    <w:p w14:paraId="2EF48244" w14:textId="2F73C6F9"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As constant progress goes side by side, there is a constant need of implementing new methods to maximize community engagement. </w:t>
      </w:r>
    </w:p>
    <w:p w14:paraId="07A4FD7A" w14:textId="77777777" w:rsidR="00344FA0" w:rsidRDefault="00344FA0" w:rsidP="0075113A">
      <w:pPr>
        <w:jc w:val="both"/>
      </w:pPr>
      <w:r>
        <w:br w:type="page"/>
      </w:r>
    </w:p>
    <w:bookmarkStart w:id="19" w:name="_Toc129291327" w:displacedByCustomXml="next"/>
    <w:bookmarkStart w:id="20" w:name="_Toc129217073" w:displacedByCustomXml="next"/>
    <w:sdt>
      <w:sdtPr>
        <w:rPr>
          <w:rFonts w:asciiTheme="minorHAnsi" w:eastAsiaTheme="minorHAnsi" w:hAnsiTheme="minorHAnsi" w:cstheme="minorBidi"/>
          <w:color w:val="auto"/>
          <w:sz w:val="28"/>
          <w:szCs w:val="22"/>
        </w:rPr>
        <w:id w:val="-866439438"/>
        <w:docPartObj>
          <w:docPartGallery w:val="Bibliographies"/>
          <w:docPartUnique/>
        </w:docPartObj>
      </w:sdtPr>
      <w:sdtEndPr/>
      <w:sdtContent>
        <w:p w14:paraId="28638891" w14:textId="65FE41C6" w:rsidR="00344FA0" w:rsidRDefault="00344FA0" w:rsidP="0075113A">
          <w:pPr>
            <w:pStyle w:val="Heading1"/>
            <w:jc w:val="both"/>
          </w:pPr>
          <w:r>
            <w:t>Bibliography</w:t>
          </w:r>
          <w:bookmarkEnd w:id="20"/>
          <w:bookmarkEnd w:id="19"/>
        </w:p>
        <w:p w14:paraId="0D7ADF60" w14:textId="4C8E149F" w:rsidR="00344FA0" w:rsidRDefault="0034479D" w:rsidP="0075113A">
          <w:pPr>
            <w:jc w:val="both"/>
          </w:pPr>
        </w:p>
      </w:sdtContent>
    </w:sdt>
    <w:p w14:paraId="6466C3FF" w14:textId="77777777" w:rsidR="0034479D" w:rsidRDefault="0034479D" w:rsidP="0034479D">
      <w:pPr>
        <w:pStyle w:val="Bibliography"/>
        <w:jc w:val="both"/>
        <w:rPr>
          <w:noProof/>
        </w:rPr>
      </w:pPr>
      <w:r>
        <w:rPr>
          <w:noProof/>
        </w:rPr>
        <w:t xml:space="preserve">Enterprise Centre. (2016) </w:t>
      </w:r>
      <w:r>
        <w:rPr>
          <w:i/>
          <w:iCs/>
          <w:noProof/>
        </w:rPr>
        <w:t>Community Mapping</w:t>
      </w:r>
      <w:r>
        <w:rPr>
          <w:noProof/>
        </w:rPr>
        <w:t xml:space="preserve">. Available at: </w:t>
      </w:r>
      <w:hyperlink r:id="rId7" w:history="1">
        <w:r>
          <w:rPr>
            <w:rStyle w:val="Hyperlink"/>
            <w:noProof/>
          </w:rPr>
          <w:t>https://enterprisectr.org/blog/community-mapping/</w:t>
        </w:r>
      </w:hyperlink>
      <w:r>
        <w:rPr>
          <w:noProof/>
        </w:rPr>
        <w:t xml:space="preserve"> (Accessed 08/Mar/2023)</w:t>
      </w:r>
    </w:p>
    <w:p w14:paraId="5579F962" w14:textId="77777777" w:rsidR="0034479D" w:rsidRDefault="0034479D" w:rsidP="0034479D"/>
    <w:p w14:paraId="43610615" w14:textId="77777777" w:rsidR="0034479D" w:rsidRDefault="0034479D" w:rsidP="0034479D">
      <w:pPr>
        <w:pStyle w:val="Bibliography"/>
        <w:jc w:val="both"/>
        <w:rPr>
          <w:noProof/>
        </w:rPr>
      </w:pPr>
      <w:r>
        <w:rPr>
          <w:noProof/>
        </w:rPr>
        <w:t>Wood, L., and Zuber-Skerrit, O., (2013) ‘</w:t>
      </w:r>
      <w:r>
        <w:rPr>
          <w:i/>
          <w:noProof/>
        </w:rPr>
        <w:t xml:space="preserve">PALAR as a methodology for community engagement by faculties of education.’ </w:t>
      </w:r>
      <w:r>
        <w:rPr>
          <w:i/>
          <w:iCs/>
          <w:noProof/>
        </w:rPr>
        <w:t>South African Journal of Education</w:t>
      </w:r>
      <w:r>
        <w:rPr>
          <w:noProof/>
        </w:rPr>
        <w:t>. 33(4) 1, Art. #812, 15 pages.</w:t>
      </w:r>
    </w:p>
    <w:p w14:paraId="7C333987" w14:textId="77777777" w:rsidR="0034479D" w:rsidRDefault="0034479D" w:rsidP="0034479D"/>
    <w:p w14:paraId="5432F171" w14:textId="77777777" w:rsidR="0034479D" w:rsidRDefault="0034479D" w:rsidP="0034479D">
      <w:pPr>
        <w:pStyle w:val="Bibliography"/>
        <w:jc w:val="both"/>
        <w:rPr>
          <w:noProof/>
          <w:sz w:val="24"/>
          <w:szCs w:val="24"/>
        </w:rPr>
      </w:pPr>
      <w:r>
        <w:rPr>
          <w:noProof/>
        </w:rPr>
        <w:t xml:space="preserve">Kahila, M., and Broberg, A. M., (2022) </w:t>
      </w:r>
      <w:r>
        <w:rPr>
          <w:i/>
          <w:iCs/>
          <w:noProof/>
        </w:rPr>
        <w:t>What is Community Engagement and Why is It Crucial for Urban Planning?</w:t>
      </w:r>
      <w:r>
        <w:rPr>
          <w:noProof/>
        </w:rPr>
        <w:t xml:space="preserve"> Available at: </w:t>
      </w:r>
      <w:hyperlink r:id="rId8" w:anchor=":~:text=Community%20engagement%20is%20an%20array,development%20of%20their%20living%20environments" w:history="1">
        <w:r>
          <w:rPr>
            <w:rStyle w:val="Hyperlink"/>
            <w:noProof/>
          </w:rPr>
          <w:t>https://www.allthingsurban.net/blog/What-is-Community-Engagement-and-Why-is-It-Crucial-for-Urban-Planning#:~:text=Community%20engagement%20is%20an%20array,development%20of%20their%20living%20environments</w:t>
        </w:r>
      </w:hyperlink>
      <w:r>
        <w:rPr>
          <w:noProof/>
        </w:rPr>
        <w:t xml:space="preserve"> (Accessed 08/Mar/2023)</w:t>
      </w:r>
      <w:r>
        <w:rPr>
          <w:noProof/>
        </w:rPr>
        <w:br/>
      </w:r>
    </w:p>
    <w:p w14:paraId="41657091" w14:textId="77777777" w:rsidR="0034479D" w:rsidRDefault="0034479D" w:rsidP="0034479D">
      <w:pPr>
        <w:pStyle w:val="Bibliography"/>
        <w:jc w:val="both"/>
        <w:rPr>
          <w:noProof/>
        </w:rPr>
      </w:pPr>
      <w:r>
        <w:rPr>
          <w:noProof/>
        </w:rPr>
        <w:t xml:space="preserve">Lachapelle, P., (2019). </w:t>
      </w:r>
      <w:r>
        <w:rPr>
          <w:i/>
          <w:iCs/>
          <w:noProof/>
        </w:rPr>
        <w:t>Community planning and zoning.</w:t>
      </w:r>
      <w:r>
        <w:rPr>
          <w:noProof/>
        </w:rPr>
        <w:t xml:space="preserve"> Available at: </w:t>
      </w:r>
      <w:hyperlink r:id="rId9" w:anchor=":~:text=Focus%20groups%20provide%20an%20opportunity,solving%20and%20broad%20community%20support" w:history="1">
        <w:r>
          <w:rPr>
            <w:rStyle w:val="Hyperlink"/>
            <w:noProof/>
          </w:rPr>
          <w:t>https://community-planning.extension.org/using-focus-groups-for-community-development/#:~:text=Focus%20groups%20provide%20an%20opportunity,solving%20and%20broad%20community%20support</w:t>
        </w:r>
      </w:hyperlink>
      <w:r>
        <w:rPr>
          <w:noProof/>
        </w:rPr>
        <w:t xml:space="preserve"> (Accessed 09/Mar/2023)</w:t>
      </w:r>
    </w:p>
    <w:p w14:paraId="6B9C2F75" w14:textId="77777777" w:rsidR="0034479D" w:rsidRDefault="0034479D" w:rsidP="0034479D"/>
    <w:p w14:paraId="61D591F7" w14:textId="77777777" w:rsidR="0034479D" w:rsidRDefault="0034479D" w:rsidP="0034479D">
      <w:pPr>
        <w:pStyle w:val="Bibliography"/>
        <w:jc w:val="both"/>
        <w:rPr>
          <w:noProof/>
        </w:rPr>
      </w:pPr>
      <w:r>
        <w:rPr>
          <w:noProof/>
        </w:rPr>
        <w:t xml:space="preserve">Lechuga-Peña, S., Mitchell, F. M., Poola, C., Gutiérrez, M., &amp; Rivera, L. A. (2021) </w:t>
      </w:r>
      <w:r>
        <w:rPr>
          <w:i/>
          <w:noProof/>
        </w:rPr>
        <w:t>‘Incorporating Photovoice Into a Community-Based Intervention With Latinx Families: Lessons Learned From Your Family, Your Neighborhood’. Advances in Social Work</w:t>
      </w:r>
      <w:r>
        <w:rPr>
          <w:noProof/>
        </w:rPr>
        <w:t>. 21(4), 1124-1140.</w:t>
      </w:r>
    </w:p>
    <w:p w14:paraId="7B240229" w14:textId="77777777" w:rsidR="00344FA0" w:rsidRPr="00344FA0" w:rsidRDefault="00344FA0" w:rsidP="0075113A">
      <w:pPr>
        <w:jc w:val="both"/>
      </w:pPr>
      <w:bookmarkStart w:id="21" w:name="_GoBack"/>
      <w:bookmarkEnd w:id="21"/>
    </w:p>
    <w:sectPr w:rsidR="00344FA0" w:rsidRPr="00344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C9E"/>
    <w:multiLevelType w:val="hybridMultilevel"/>
    <w:tmpl w:val="75F6C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56396"/>
    <w:multiLevelType w:val="hybridMultilevel"/>
    <w:tmpl w:val="980EB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69512E"/>
    <w:multiLevelType w:val="hybridMultilevel"/>
    <w:tmpl w:val="287A3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B8"/>
    <w:rsid w:val="000202B8"/>
    <w:rsid w:val="00320536"/>
    <w:rsid w:val="0034479D"/>
    <w:rsid w:val="00344FA0"/>
    <w:rsid w:val="004371F6"/>
    <w:rsid w:val="006862E5"/>
    <w:rsid w:val="0075113A"/>
    <w:rsid w:val="008045B6"/>
    <w:rsid w:val="00836ACD"/>
    <w:rsid w:val="00847EB0"/>
    <w:rsid w:val="00890E41"/>
    <w:rsid w:val="009158F1"/>
    <w:rsid w:val="00A74281"/>
    <w:rsid w:val="00A9328C"/>
    <w:rsid w:val="00AA1B0C"/>
    <w:rsid w:val="00DB12E0"/>
    <w:rsid w:val="00E457B0"/>
    <w:rsid w:val="00EE6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31D0"/>
  <w15:chartTrackingRefBased/>
  <w15:docId w15:val="{2F0DE3EC-629C-40D5-9BA4-BD0D7CC1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0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45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05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2053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02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2B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202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45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2053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20536"/>
    <w:pPr>
      <w:ind w:left="720"/>
      <w:contextualSpacing/>
    </w:pPr>
  </w:style>
  <w:style w:type="character" w:customStyle="1" w:styleId="Heading4Char">
    <w:name w:val="Heading 4 Char"/>
    <w:basedOn w:val="DefaultParagraphFont"/>
    <w:link w:val="Heading4"/>
    <w:uiPriority w:val="9"/>
    <w:rsid w:val="00320536"/>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344FA0"/>
    <w:pPr>
      <w:outlineLvl w:val="9"/>
    </w:pPr>
    <w:rPr>
      <w:kern w:val="0"/>
      <w14:ligatures w14:val="none"/>
    </w:rPr>
  </w:style>
  <w:style w:type="paragraph" w:styleId="TOC1">
    <w:name w:val="toc 1"/>
    <w:basedOn w:val="Normal"/>
    <w:next w:val="Normal"/>
    <w:autoRedefine/>
    <w:uiPriority w:val="39"/>
    <w:unhideWhenUsed/>
    <w:rsid w:val="00344FA0"/>
    <w:pPr>
      <w:spacing w:after="100"/>
    </w:pPr>
  </w:style>
  <w:style w:type="paragraph" w:styleId="TOC2">
    <w:name w:val="toc 2"/>
    <w:basedOn w:val="Normal"/>
    <w:next w:val="Normal"/>
    <w:autoRedefine/>
    <w:uiPriority w:val="39"/>
    <w:unhideWhenUsed/>
    <w:rsid w:val="00344FA0"/>
    <w:pPr>
      <w:spacing w:after="100"/>
      <w:ind w:left="280"/>
    </w:pPr>
  </w:style>
  <w:style w:type="paragraph" w:styleId="TOC3">
    <w:name w:val="toc 3"/>
    <w:basedOn w:val="Normal"/>
    <w:next w:val="Normal"/>
    <w:autoRedefine/>
    <w:uiPriority w:val="39"/>
    <w:unhideWhenUsed/>
    <w:rsid w:val="00344FA0"/>
    <w:pPr>
      <w:spacing w:after="100"/>
      <w:ind w:left="560"/>
    </w:pPr>
  </w:style>
  <w:style w:type="character" w:styleId="Hyperlink">
    <w:name w:val="Hyperlink"/>
    <w:basedOn w:val="DefaultParagraphFont"/>
    <w:uiPriority w:val="99"/>
    <w:unhideWhenUsed/>
    <w:rsid w:val="00344FA0"/>
    <w:rPr>
      <w:color w:val="0563C1" w:themeColor="hyperlink"/>
      <w:u w:val="single"/>
    </w:rPr>
  </w:style>
  <w:style w:type="paragraph" w:styleId="Bibliography">
    <w:name w:val="Bibliography"/>
    <w:basedOn w:val="Normal"/>
    <w:next w:val="Normal"/>
    <w:uiPriority w:val="37"/>
    <w:unhideWhenUsed/>
    <w:rsid w:val="00344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51668">
      <w:bodyDiv w:val="1"/>
      <w:marLeft w:val="0"/>
      <w:marRight w:val="0"/>
      <w:marTop w:val="0"/>
      <w:marBottom w:val="0"/>
      <w:divBdr>
        <w:top w:val="none" w:sz="0" w:space="0" w:color="auto"/>
        <w:left w:val="none" w:sz="0" w:space="0" w:color="auto"/>
        <w:bottom w:val="none" w:sz="0" w:space="0" w:color="auto"/>
        <w:right w:val="none" w:sz="0" w:space="0" w:color="auto"/>
      </w:divBdr>
    </w:div>
    <w:div w:id="247275492">
      <w:bodyDiv w:val="1"/>
      <w:marLeft w:val="0"/>
      <w:marRight w:val="0"/>
      <w:marTop w:val="0"/>
      <w:marBottom w:val="0"/>
      <w:divBdr>
        <w:top w:val="none" w:sz="0" w:space="0" w:color="auto"/>
        <w:left w:val="none" w:sz="0" w:space="0" w:color="auto"/>
        <w:bottom w:val="none" w:sz="0" w:space="0" w:color="auto"/>
        <w:right w:val="none" w:sz="0" w:space="0" w:color="auto"/>
      </w:divBdr>
    </w:div>
    <w:div w:id="414396820">
      <w:bodyDiv w:val="1"/>
      <w:marLeft w:val="0"/>
      <w:marRight w:val="0"/>
      <w:marTop w:val="0"/>
      <w:marBottom w:val="0"/>
      <w:divBdr>
        <w:top w:val="none" w:sz="0" w:space="0" w:color="auto"/>
        <w:left w:val="none" w:sz="0" w:space="0" w:color="auto"/>
        <w:bottom w:val="none" w:sz="0" w:space="0" w:color="auto"/>
        <w:right w:val="none" w:sz="0" w:space="0" w:color="auto"/>
      </w:divBdr>
    </w:div>
    <w:div w:id="651061887">
      <w:bodyDiv w:val="1"/>
      <w:marLeft w:val="0"/>
      <w:marRight w:val="0"/>
      <w:marTop w:val="0"/>
      <w:marBottom w:val="0"/>
      <w:divBdr>
        <w:top w:val="none" w:sz="0" w:space="0" w:color="auto"/>
        <w:left w:val="none" w:sz="0" w:space="0" w:color="auto"/>
        <w:bottom w:val="none" w:sz="0" w:space="0" w:color="auto"/>
        <w:right w:val="none" w:sz="0" w:space="0" w:color="auto"/>
      </w:divBdr>
    </w:div>
    <w:div w:id="771440332">
      <w:bodyDiv w:val="1"/>
      <w:marLeft w:val="0"/>
      <w:marRight w:val="0"/>
      <w:marTop w:val="0"/>
      <w:marBottom w:val="0"/>
      <w:divBdr>
        <w:top w:val="none" w:sz="0" w:space="0" w:color="auto"/>
        <w:left w:val="none" w:sz="0" w:space="0" w:color="auto"/>
        <w:bottom w:val="none" w:sz="0" w:space="0" w:color="auto"/>
        <w:right w:val="none" w:sz="0" w:space="0" w:color="auto"/>
      </w:divBdr>
    </w:div>
    <w:div w:id="830800089">
      <w:bodyDiv w:val="1"/>
      <w:marLeft w:val="0"/>
      <w:marRight w:val="0"/>
      <w:marTop w:val="0"/>
      <w:marBottom w:val="0"/>
      <w:divBdr>
        <w:top w:val="none" w:sz="0" w:space="0" w:color="auto"/>
        <w:left w:val="none" w:sz="0" w:space="0" w:color="auto"/>
        <w:bottom w:val="none" w:sz="0" w:space="0" w:color="auto"/>
        <w:right w:val="none" w:sz="0" w:space="0" w:color="auto"/>
      </w:divBdr>
    </w:div>
    <w:div w:id="865870623">
      <w:bodyDiv w:val="1"/>
      <w:marLeft w:val="0"/>
      <w:marRight w:val="0"/>
      <w:marTop w:val="0"/>
      <w:marBottom w:val="0"/>
      <w:divBdr>
        <w:top w:val="none" w:sz="0" w:space="0" w:color="auto"/>
        <w:left w:val="none" w:sz="0" w:space="0" w:color="auto"/>
        <w:bottom w:val="none" w:sz="0" w:space="0" w:color="auto"/>
        <w:right w:val="none" w:sz="0" w:space="0" w:color="auto"/>
      </w:divBdr>
    </w:div>
    <w:div w:id="1049303027">
      <w:bodyDiv w:val="1"/>
      <w:marLeft w:val="0"/>
      <w:marRight w:val="0"/>
      <w:marTop w:val="0"/>
      <w:marBottom w:val="0"/>
      <w:divBdr>
        <w:top w:val="none" w:sz="0" w:space="0" w:color="auto"/>
        <w:left w:val="none" w:sz="0" w:space="0" w:color="auto"/>
        <w:bottom w:val="none" w:sz="0" w:space="0" w:color="auto"/>
        <w:right w:val="none" w:sz="0" w:space="0" w:color="auto"/>
      </w:divBdr>
    </w:div>
    <w:div w:id="1302685679">
      <w:bodyDiv w:val="1"/>
      <w:marLeft w:val="0"/>
      <w:marRight w:val="0"/>
      <w:marTop w:val="0"/>
      <w:marBottom w:val="0"/>
      <w:divBdr>
        <w:top w:val="none" w:sz="0" w:space="0" w:color="auto"/>
        <w:left w:val="none" w:sz="0" w:space="0" w:color="auto"/>
        <w:bottom w:val="none" w:sz="0" w:space="0" w:color="auto"/>
        <w:right w:val="none" w:sz="0" w:space="0" w:color="auto"/>
      </w:divBdr>
    </w:div>
    <w:div w:id="1505439242">
      <w:bodyDiv w:val="1"/>
      <w:marLeft w:val="0"/>
      <w:marRight w:val="0"/>
      <w:marTop w:val="0"/>
      <w:marBottom w:val="0"/>
      <w:divBdr>
        <w:top w:val="none" w:sz="0" w:space="0" w:color="auto"/>
        <w:left w:val="none" w:sz="0" w:space="0" w:color="auto"/>
        <w:bottom w:val="none" w:sz="0" w:space="0" w:color="auto"/>
        <w:right w:val="none" w:sz="0" w:space="0" w:color="auto"/>
      </w:divBdr>
      <w:divsChild>
        <w:div w:id="1829438131">
          <w:marLeft w:val="0"/>
          <w:marRight w:val="0"/>
          <w:marTop w:val="0"/>
          <w:marBottom w:val="0"/>
          <w:divBdr>
            <w:top w:val="single" w:sz="2" w:space="0" w:color="D9D9E3"/>
            <w:left w:val="single" w:sz="2" w:space="0" w:color="D9D9E3"/>
            <w:bottom w:val="single" w:sz="2" w:space="0" w:color="D9D9E3"/>
            <w:right w:val="single" w:sz="2" w:space="0" w:color="D9D9E3"/>
          </w:divBdr>
          <w:divsChild>
            <w:div w:id="1992174368">
              <w:marLeft w:val="0"/>
              <w:marRight w:val="0"/>
              <w:marTop w:val="0"/>
              <w:marBottom w:val="0"/>
              <w:divBdr>
                <w:top w:val="single" w:sz="2" w:space="0" w:color="D9D9E3"/>
                <w:left w:val="single" w:sz="2" w:space="0" w:color="D9D9E3"/>
                <w:bottom w:val="single" w:sz="2" w:space="0" w:color="D9D9E3"/>
                <w:right w:val="single" w:sz="2" w:space="0" w:color="D9D9E3"/>
              </w:divBdr>
              <w:divsChild>
                <w:div w:id="1158809847">
                  <w:marLeft w:val="0"/>
                  <w:marRight w:val="0"/>
                  <w:marTop w:val="0"/>
                  <w:marBottom w:val="0"/>
                  <w:divBdr>
                    <w:top w:val="single" w:sz="2" w:space="0" w:color="D9D9E3"/>
                    <w:left w:val="single" w:sz="2" w:space="0" w:color="D9D9E3"/>
                    <w:bottom w:val="single" w:sz="2" w:space="0" w:color="D9D9E3"/>
                    <w:right w:val="single" w:sz="2" w:space="0" w:color="D9D9E3"/>
                  </w:divBdr>
                  <w:divsChild>
                    <w:div w:id="1793816796">
                      <w:marLeft w:val="0"/>
                      <w:marRight w:val="0"/>
                      <w:marTop w:val="0"/>
                      <w:marBottom w:val="0"/>
                      <w:divBdr>
                        <w:top w:val="single" w:sz="2" w:space="0" w:color="D9D9E3"/>
                        <w:left w:val="single" w:sz="2" w:space="0" w:color="D9D9E3"/>
                        <w:bottom w:val="single" w:sz="2" w:space="0" w:color="D9D9E3"/>
                        <w:right w:val="single" w:sz="2" w:space="0" w:color="D9D9E3"/>
                      </w:divBdr>
                      <w:divsChild>
                        <w:div w:id="1059279790">
                          <w:marLeft w:val="0"/>
                          <w:marRight w:val="0"/>
                          <w:marTop w:val="0"/>
                          <w:marBottom w:val="0"/>
                          <w:divBdr>
                            <w:top w:val="single" w:sz="2" w:space="0" w:color="auto"/>
                            <w:left w:val="single" w:sz="2" w:space="0" w:color="auto"/>
                            <w:bottom w:val="single" w:sz="6" w:space="0" w:color="auto"/>
                            <w:right w:val="single" w:sz="2" w:space="0" w:color="auto"/>
                          </w:divBdr>
                          <w:divsChild>
                            <w:div w:id="918902305">
                              <w:marLeft w:val="0"/>
                              <w:marRight w:val="0"/>
                              <w:marTop w:val="100"/>
                              <w:marBottom w:val="100"/>
                              <w:divBdr>
                                <w:top w:val="single" w:sz="2" w:space="0" w:color="D9D9E3"/>
                                <w:left w:val="single" w:sz="2" w:space="0" w:color="D9D9E3"/>
                                <w:bottom w:val="single" w:sz="2" w:space="0" w:color="D9D9E3"/>
                                <w:right w:val="single" w:sz="2" w:space="0" w:color="D9D9E3"/>
                              </w:divBdr>
                              <w:divsChild>
                                <w:div w:id="1962804052">
                                  <w:marLeft w:val="0"/>
                                  <w:marRight w:val="0"/>
                                  <w:marTop w:val="0"/>
                                  <w:marBottom w:val="0"/>
                                  <w:divBdr>
                                    <w:top w:val="single" w:sz="2" w:space="0" w:color="D9D9E3"/>
                                    <w:left w:val="single" w:sz="2" w:space="0" w:color="D9D9E3"/>
                                    <w:bottom w:val="single" w:sz="2" w:space="0" w:color="D9D9E3"/>
                                    <w:right w:val="single" w:sz="2" w:space="0" w:color="D9D9E3"/>
                                  </w:divBdr>
                                  <w:divsChild>
                                    <w:div w:id="1860586814">
                                      <w:marLeft w:val="0"/>
                                      <w:marRight w:val="0"/>
                                      <w:marTop w:val="0"/>
                                      <w:marBottom w:val="0"/>
                                      <w:divBdr>
                                        <w:top w:val="single" w:sz="2" w:space="0" w:color="D9D9E3"/>
                                        <w:left w:val="single" w:sz="2" w:space="0" w:color="D9D9E3"/>
                                        <w:bottom w:val="single" w:sz="2" w:space="0" w:color="D9D9E3"/>
                                        <w:right w:val="single" w:sz="2" w:space="0" w:color="D9D9E3"/>
                                      </w:divBdr>
                                      <w:divsChild>
                                        <w:div w:id="2004353751">
                                          <w:marLeft w:val="0"/>
                                          <w:marRight w:val="0"/>
                                          <w:marTop w:val="0"/>
                                          <w:marBottom w:val="0"/>
                                          <w:divBdr>
                                            <w:top w:val="single" w:sz="2" w:space="0" w:color="D9D9E3"/>
                                            <w:left w:val="single" w:sz="2" w:space="0" w:color="D9D9E3"/>
                                            <w:bottom w:val="single" w:sz="2" w:space="0" w:color="D9D9E3"/>
                                            <w:right w:val="single" w:sz="2" w:space="0" w:color="D9D9E3"/>
                                          </w:divBdr>
                                          <w:divsChild>
                                            <w:div w:id="60446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25320731">
          <w:marLeft w:val="0"/>
          <w:marRight w:val="0"/>
          <w:marTop w:val="0"/>
          <w:marBottom w:val="0"/>
          <w:divBdr>
            <w:top w:val="none" w:sz="0" w:space="0" w:color="auto"/>
            <w:left w:val="none" w:sz="0" w:space="0" w:color="auto"/>
            <w:bottom w:val="none" w:sz="0" w:space="0" w:color="auto"/>
            <w:right w:val="none" w:sz="0" w:space="0" w:color="auto"/>
          </w:divBdr>
        </w:div>
      </w:divsChild>
    </w:div>
    <w:div w:id="1510175226">
      <w:bodyDiv w:val="1"/>
      <w:marLeft w:val="0"/>
      <w:marRight w:val="0"/>
      <w:marTop w:val="0"/>
      <w:marBottom w:val="0"/>
      <w:divBdr>
        <w:top w:val="none" w:sz="0" w:space="0" w:color="auto"/>
        <w:left w:val="none" w:sz="0" w:space="0" w:color="auto"/>
        <w:bottom w:val="none" w:sz="0" w:space="0" w:color="auto"/>
        <w:right w:val="none" w:sz="0" w:space="0" w:color="auto"/>
      </w:divBdr>
    </w:div>
    <w:div w:id="1764689314">
      <w:bodyDiv w:val="1"/>
      <w:marLeft w:val="0"/>
      <w:marRight w:val="0"/>
      <w:marTop w:val="0"/>
      <w:marBottom w:val="0"/>
      <w:divBdr>
        <w:top w:val="none" w:sz="0" w:space="0" w:color="auto"/>
        <w:left w:val="none" w:sz="0" w:space="0" w:color="auto"/>
        <w:bottom w:val="none" w:sz="0" w:space="0" w:color="auto"/>
        <w:right w:val="none" w:sz="0" w:space="0" w:color="auto"/>
      </w:divBdr>
    </w:div>
    <w:div w:id="188587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thingsurban.net/blog/What-is-Community-Engagement-and-Why-is-It-Crucial-for-Urban-Planning" TargetMode="External"/><Relationship Id="rId3" Type="http://schemas.openxmlformats.org/officeDocument/2006/relationships/styles" Target="styles.xml"/><Relationship Id="rId7" Type="http://schemas.openxmlformats.org/officeDocument/2006/relationships/hyperlink" Target="https://enterprisectr.org/blog/community-mapp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planning.extension.org/using-focus-groups-for-community-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MAA22</b:Tag>
    <b:SourceType>DocumentFromInternetSite</b:SourceType>
    <b:Guid>{317897B5-1386-4EE8-AF02-BB55733F1EC9}</b:Guid>
    <b:Author>
      <b:Author>
        <b:NameList>
          <b:Person>
            <b:Last>MAARIT KAHILA AND ANNA BROBERG</b:Last>
            <b:First>MAPTIONNAIRE</b:First>
          </b:Person>
        </b:NameList>
      </b:Author>
    </b:Author>
    <b:Title>What is Community Engagement and Why is It Crucial for Urban Planning?</b:Title>
    <b:InternetSiteTitle>All things Urban</b:InternetSiteTitle>
    <b:Year>2022</b:Year>
    <b:Month>September</b:Month>
    <b:Day>29</b:Day>
    <b:URL>https://www.allthingsurban.net/blog/What-is-Community-Engagement-and-Why-is-It-Crucial-for-Urban-Planning#:~:text=Community%20engagement%20is%20an%20array,development%20of%20their%20living%20environments.</b:URL>
    <b:RefOrder>1</b:RefOrder>
  </b:Source>
  <b:Source>
    <b:Tag>LWo13</b:Tag>
    <b:SourceType>JournalArticle</b:SourceType>
    <b:Guid>{11E42D14-7CB7-434F-852B-005555934C63}</b:Guid>
    <b:Title>PALAR as a methodology for community engagement by faculties of education</b:Title>
    <b:Year>2013</b:Year>
    <b:Author>
      <b:Author>
        <b:NameList>
          <b:Person>
            <b:Last>L Wood</b:Last>
            <b:First>O</b:First>
            <b:Middle>Zuber-Skerrit</b:Middle>
          </b:Person>
        </b:NameList>
      </b:Author>
    </b:Author>
    <b:JournalName>South African Journal of Education</b:JournalName>
    <b:RefOrder>2</b:RefOrder>
  </b:Source>
  <b:Source>
    <b:Tag>Ent16</b:Tag>
    <b:SourceType>InternetSite</b:SourceType>
    <b:Guid>{7E9177FF-EAA7-46DB-9085-A35DA59D2F5C}</b:Guid>
    <b:Title>Community Mapping</b:Title>
    <b:Year>2016</b:Year>
    <b:Author>
      <b:Author>
        <b:Corporate>Enterprise Centre</b:Corporate>
      </b:Author>
    </b:Author>
    <b:InternetSiteTitle>Enterprisectr</b:InternetSiteTitle>
    <b:Month>August</b:Month>
    <b:Day>30</b:Day>
    <b:URL>https://enterprisectr.org/blog/community-mapping/</b:URL>
    <b:RefOrder>3</b:RefOrder>
  </b:Source>
  <b:Source>
    <b:Tag>Ste21</b:Tag>
    <b:SourceType>Report</b:SourceType>
    <b:Guid>{F9C06178-195C-41B9-8109-3CBC0674543E}</b:Guid>
    <b:Title>Incorporating Photovoice Into a Community-Based Intervention With Latinx Families: Lessons Learned From Your Family, Your Neighborhood</b:Title>
    <b:Year>2021</b:Year>
    <b:Author>
      <b:Author>
        <b:NameList>
          <b:Person>
            <b:Last>Stephanie Lechuga-Peña</b:Last>
            <b:First>Felicia</b:First>
            <b:Middle>M. Mitchell, Charlene Poola, Mónica Gutiérrez</b:Middle>
          </b:Person>
        </b:NameList>
      </b:Author>
    </b:Author>
    <b:Publisher>ADVANCES IN SOCIAL WORK</b:Publisher>
    <b:RefOrder>4</b:RefOrder>
  </b:Source>
  <b:Source>
    <b:Tag>Pau19</b:Tag>
    <b:SourceType>DocumentFromInternetSite</b:SourceType>
    <b:Guid>{FBBE6BB6-7875-412D-831B-763BBF92AF38}</b:Guid>
    <b:Title>COMMUNITY PLANNING AND ZONING</b:Title>
    <b:Year>2019</b:Year>
    <b:Author>
      <b:Author>
        <b:NameList>
          <b:Person>
            <b:Last>Paul Lachapelle</b:Last>
            <b:First>Tara</b:First>
            <b:Middle>Mastel</b:Middle>
          </b:Person>
        </b:NameList>
      </b:Author>
    </b:Author>
    <b:InternetSiteTitle>Community Planning Extension</b:InternetSiteTitle>
    <b:Month>July</b:Month>
    <b:Day>25</b:Day>
    <b:URL>https://community-planning.extension.org/using-focus-groups-for-community-development/#:~:text=Focus%20groups%20provide%20an%20opportunity,solving%20and%20broad%20community%20support.</b:URL>
    <b:RefOrder>5</b:RefOrder>
  </b:Source>
</b:Sources>
</file>

<file path=customXml/itemProps1.xml><?xml version="1.0" encoding="utf-8"?>
<ds:datastoreItem xmlns:ds="http://schemas.openxmlformats.org/officeDocument/2006/customXml" ds:itemID="{EC87CE19-2273-48C5-9A02-B16E0CF9D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Rafeh</dc:creator>
  <cp:keywords/>
  <dc:description/>
  <cp:lastModifiedBy>DELL</cp:lastModifiedBy>
  <cp:revision>6</cp:revision>
  <dcterms:created xsi:type="dcterms:W3CDTF">2023-03-09T22:12:00Z</dcterms:created>
  <dcterms:modified xsi:type="dcterms:W3CDTF">2023-03-12T13:44:00Z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fa4ae03c-f0af-4b7b-9c94-2493b5aa7f5e</vt:lpwstr>
  </property>
</Properties>
</file>