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251F6" w14:textId="1D8AB3F6" w:rsidR="00DB4841" w:rsidRDefault="00B31674" w:rsidP="00DB4841">
      <w:pPr>
        <w:pStyle w:val="BodyA"/>
        <w:jc w:val="center"/>
        <w:rPr>
          <w:sz w:val="32"/>
          <w:szCs w:val="32"/>
        </w:rPr>
      </w:pPr>
      <w:r>
        <w:rPr>
          <w:sz w:val="32"/>
          <w:szCs w:val="32"/>
        </w:rPr>
        <w:t>ECAD6008 Assignment: Part 1</w:t>
      </w:r>
    </w:p>
    <w:p w14:paraId="6D269345" w14:textId="77ED1E4B" w:rsidR="008959D8" w:rsidRDefault="008959D8" w:rsidP="00DB4841">
      <w:pPr>
        <w:pStyle w:val="BodyA"/>
        <w:jc w:val="center"/>
        <w:rPr>
          <w:sz w:val="32"/>
          <w:szCs w:val="32"/>
        </w:rPr>
      </w:pPr>
      <w:r>
        <w:rPr>
          <w:sz w:val="32"/>
          <w:szCs w:val="32"/>
        </w:rPr>
        <w:t>Name: Annie Phillips</w:t>
      </w:r>
    </w:p>
    <w:p w14:paraId="5EB01DC1" w14:textId="15C215CD" w:rsidR="008959D8" w:rsidRDefault="008959D8" w:rsidP="00DB4841">
      <w:pPr>
        <w:pStyle w:val="BodyA"/>
        <w:jc w:val="center"/>
        <w:rPr>
          <w:sz w:val="32"/>
          <w:szCs w:val="32"/>
        </w:rPr>
      </w:pPr>
      <w:r>
        <w:rPr>
          <w:sz w:val="32"/>
          <w:szCs w:val="32"/>
        </w:rPr>
        <w:t>Student Number: 1802131</w:t>
      </w:r>
    </w:p>
    <w:p w14:paraId="16ED65C3" w14:textId="2C65A6C2" w:rsidR="000D1986" w:rsidRPr="000D1986" w:rsidRDefault="000D1986" w:rsidP="000D1986">
      <w:pPr>
        <w:rPr>
          <w:lang w:eastAsia="zh-CN"/>
        </w:rPr>
      </w:pPr>
    </w:p>
    <w:tbl>
      <w:tblPr>
        <w:tblpPr w:leftFromText="180" w:rightFromText="180" w:vertAnchor="text" w:horzAnchor="margin" w:tblpY="115"/>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0D1986" w14:paraId="5D62A0E6" w14:textId="77777777" w:rsidTr="000D1986">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DCD96" w14:textId="77777777" w:rsidR="000D1986" w:rsidRDefault="000D1986" w:rsidP="000D1986">
            <w:pPr>
              <w:pStyle w:val="Heading2"/>
              <w:jc w:val="center"/>
            </w:pPr>
            <w:r>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94BEA5" w14:textId="77777777" w:rsidR="000D1986" w:rsidRDefault="000D1986" w:rsidP="000D1986">
            <w:r>
              <w:t>Using traffic light stamps and Lesson Tweets (KS2)</w:t>
            </w:r>
          </w:p>
        </w:tc>
      </w:tr>
      <w:tr w:rsidR="000D1986" w14:paraId="0A683FC6" w14:textId="77777777" w:rsidTr="000D1986">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C3730B" w14:textId="77777777" w:rsidR="000D1986" w:rsidRDefault="000D1986" w:rsidP="000D1986">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213E86" w14:textId="77777777" w:rsidR="000D1986" w:rsidRDefault="000D1986" w:rsidP="000D1986">
            <w:pPr>
              <w:pStyle w:val="BodyA"/>
              <w:spacing w:after="0" w:line="240" w:lineRule="auto"/>
            </w:pPr>
            <w:r>
              <w:rPr>
                <w:rFonts w:ascii="Carlito" w:eastAsia="Carlito" w:hAnsi="Carlito" w:cs="Carlito"/>
                <w:b/>
                <w:bCs/>
                <w:color w:val="2E74B5"/>
                <w:sz w:val="28"/>
                <w:szCs w:val="28"/>
                <w:u w:color="2E74B5"/>
              </w:rPr>
              <w:t>Assessment for Learning</w:t>
            </w:r>
          </w:p>
        </w:tc>
      </w:tr>
      <w:tr w:rsidR="000D1986" w14:paraId="5901DB73" w14:textId="77777777" w:rsidTr="000D1986">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633F08" w14:textId="77777777" w:rsidR="000D1986" w:rsidRDefault="000D1986" w:rsidP="000D1986">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760745" w14:textId="77777777" w:rsidR="000D1986" w:rsidRDefault="000D1986" w:rsidP="000D1986">
            <w:r>
              <w:t xml:space="preserve">As Assessment for Learning (Afl) as one of the biggest factors taking place alongside learning in the classroom, I thought it was important to test the 4 different elements to Afl equally. For this experience, I focused on the aspects of self-assessment and dipped into feedback. The children had undertaken a collaborative Mathematics lesson where they worked table by table to draw different shapes, before passing this work onto the next table for them to be able to measure the shapes. Plenty of photographic evidence was taken as the activity was taken place, and this was later printed and stuck into each child’s book. A method I had begun to use after seeing it used well by the class teacher was the ‘Traffic Light Stamp’. At the end of each lesson, I would stamp each child’s book or work and they would colour the traffic light accordingly with how they felt they achieved in that lesson. For example, Red if they really didn’t understand, Amber if they thought it was ok but need more practice and Green for when they were happy with the work created and don’t need any more support. For this lesson, I added in a cut out of a ‘Lesson Tweet’ where the children were able to describe in a short sentence what they liked about the lesson or did not like and why. I included this because this is where I was able to check if the children were engaged. </w:t>
            </w:r>
          </w:p>
        </w:tc>
      </w:tr>
      <w:tr w:rsidR="000D1986" w14:paraId="1ABB0C80" w14:textId="77777777" w:rsidTr="000D1986">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4CAE82" w14:textId="77777777" w:rsidR="000D1986" w:rsidRDefault="000D1986" w:rsidP="000D1986">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CF8201" w14:textId="77777777" w:rsidR="000D1986" w:rsidRDefault="000D1986" w:rsidP="000D1986">
            <w:r>
              <w:t xml:space="preserve">I applied both Afl strategies because I believe it is important for the children to self-assess how they have done each lesson as well as provide feedback so the teacher can self-assess and make changes accordingly. Personally, I find both strategies work well in tandem or separately and I am confident that the children enjoy the strategies too. As these methods are steps of formative assessment, I have learned that it is important to have children engaging with these aspects of Afl as reflection on their learning can encourage learnings to move their development further.  Brown and Harris (2013) defined self-assessment </w:t>
            </w:r>
            <w:r>
              <w:lastRenderedPageBreak/>
              <w:t xml:space="preserve">as a ‘’descriptive and evaluative act carried out by the student concerning his or her own work and academic abilities’’ (p.368). This resonates with </w:t>
            </w:r>
            <w:proofErr w:type="gramStart"/>
            <w:r>
              <w:t>me</w:t>
            </w:r>
            <w:proofErr w:type="gramEnd"/>
            <w:r>
              <w:t xml:space="preserve"> and I believe that operating with these Afl strategies in the classroom, shows pedagogy moving forwards and constantly making the effort to clarify learning and development. </w:t>
            </w:r>
          </w:p>
        </w:tc>
      </w:tr>
      <w:tr w:rsidR="000D1986" w14:paraId="2E52E2EE" w14:textId="77777777" w:rsidTr="000D1986">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DB3D74" w14:textId="77777777" w:rsidR="000D1986" w:rsidRDefault="000D1986" w:rsidP="000D1986">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15266" w14:textId="77777777" w:rsidR="000D1986" w:rsidRDefault="000D1986" w:rsidP="000D1986">
            <w:r>
              <w:t xml:space="preserve">From this experience, I will continue to use these Afl strategies and begin to develop ideas of my own. I plan to use Afl in my future career as it is a simple element to use as a tool to constantly be reflecting on what is being taught and why. </w:t>
            </w:r>
          </w:p>
        </w:tc>
      </w:tr>
    </w:tbl>
    <w:p w14:paraId="52BB2DCD" w14:textId="71D8FCB1" w:rsidR="000D1986" w:rsidRPr="000D1986" w:rsidRDefault="000D1986" w:rsidP="000D1986">
      <w:pPr>
        <w:rPr>
          <w:lang w:eastAsia="zh-CN"/>
        </w:rPr>
      </w:pPr>
    </w:p>
    <w:p w14:paraId="2C630FBB" w14:textId="6F5F5578" w:rsidR="000D1986" w:rsidRPr="000D1986" w:rsidRDefault="000D1986" w:rsidP="000D1986">
      <w:pPr>
        <w:rPr>
          <w:lang w:eastAsia="zh-CN"/>
        </w:rPr>
      </w:pPr>
    </w:p>
    <w:p w14:paraId="375EC2F2" w14:textId="49699C8C" w:rsidR="000D1986" w:rsidRPr="000D1986" w:rsidRDefault="000D1986" w:rsidP="000D1986">
      <w:pPr>
        <w:rPr>
          <w:lang w:eastAsia="zh-CN"/>
        </w:rPr>
      </w:pPr>
    </w:p>
    <w:p w14:paraId="73A79081" w14:textId="7E5FA968" w:rsidR="000D1986" w:rsidRPr="000D1986" w:rsidRDefault="000D1986" w:rsidP="000D1986">
      <w:pPr>
        <w:rPr>
          <w:lang w:eastAsia="zh-CN"/>
        </w:rPr>
      </w:pPr>
    </w:p>
    <w:p w14:paraId="36F3076C" w14:textId="247091D4" w:rsidR="000D1986" w:rsidRPr="000D1986" w:rsidRDefault="000D1986" w:rsidP="000D1986">
      <w:pPr>
        <w:rPr>
          <w:lang w:eastAsia="zh-CN"/>
        </w:rPr>
      </w:pPr>
    </w:p>
    <w:p w14:paraId="0D973275" w14:textId="7C776E12" w:rsidR="000D1986" w:rsidRPr="000D1986" w:rsidRDefault="000D1986" w:rsidP="000D1986">
      <w:pPr>
        <w:rPr>
          <w:lang w:eastAsia="zh-CN"/>
        </w:rPr>
      </w:pPr>
    </w:p>
    <w:p w14:paraId="0CC691E4" w14:textId="38D79A4A" w:rsidR="000D1986" w:rsidRPr="000D1986" w:rsidRDefault="000D1986" w:rsidP="000D1986">
      <w:pPr>
        <w:rPr>
          <w:lang w:eastAsia="zh-CN"/>
        </w:rPr>
      </w:pPr>
    </w:p>
    <w:p w14:paraId="4246E725" w14:textId="351E3D40" w:rsidR="000D1986" w:rsidRPr="000D1986" w:rsidRDefault="000D1986" w:rsidP="000D1986">
      <w:pPr>
        <w:rPr>
          <w:lang w:eastAsia="zh-CN"/>
        </w:rPr>
      </w:pPr>
    </w:p>
    <w:p w14:paraId="64208CAD" w14:textId="4FC1AD2D" w:rsidR="000D1986" w:rsidRPr="000D1986" w:rsidRDefault="000D1986" w:rsidP="000D1986">
      <w:pPr>
        <w:rPr>
          <w:lang w:eastAsia="zh-CN"/>
        </w:rPr>
      </w:pPr>
    </w:p>
    <w:p w14:paraId="541D7981" w14:textId="09CB21C2" w:rsidR="000D1986" w:rsidRPr="000D1986" w:rsidRDefault="000D1986" w:rsidP="000D1986">
      <w:pPr>
        <w:rPr>
          <w:lang w:eastAsia="zh-CN"/>
        </w:rPr>
      </w:pPr>
    </w:p>
    <w:p w14:paraId="50DAC56D" w14:textId="73D4B80B" w:rsidR="000D1986" w:rsidRPr="000D1986" w:rsidRDefault="000D1986" w:rsidP="000D1986">
      <w:pPr>
        <w:rPr>
          <w:lang w:eastAsia="zh-CN"/>
        </w:rPr>
      </w:pPr>
    </w:p>
    <w:p w14:paraId="42A568D8" w14:textId="5EB40135" w:rsidR="000D1986" w:rsidRPr="000D1986" w:rsidRDefault="000D1986" w:rsidP="000D1986">
      <w:pPr>
        <w:rPr>
          <w:lang w:eastAsia="zh-CN"/>
        </w:rPr>
      </w:pPr>
    </w:p>
    <w:p w14:paraId="3A9F26D2" w14:textId="06A11498" w:rsidR="000D1986" w:rsidRPr="000D1986" w:rsidRDefault="000D1986" w:rsidP="000D1986">
      <w:pPr>
        <w:rPr>
          <w:lang w:eastAsia="zh-CN"/>
        </w:rPr>
      </w:pPr>
    </w:p>
    <w:p w14:paraId="6C9FB793" w14:textId="4652709F" w:rsidR="000D1986" w:rsidRPr="000D1986" w:rsidRDefault="000D1986" w:rsidP="000D1986">
      <w:pPr>
        <w:rPr>
          <w:lang w:eastAsia="zh-CN"/>
        </w:rPr>
      </w:pPr>
    </w:p>
    <w:p w14:paraId="63B76517" w14:textId="0DAE21B0" w:rsidR="000D1986" w:rsidRPr="000D1986" w:rsidRDefault="000D1986" w:rsidP="000D1986">
      <w:pPr>
        <w:rPr>
          <w:lang w:eastAsia="zh-CN"/>
        </w:rPr>
      </w:pPr>
    </w:p>
    <w:p w14:paraId="6C4F19DA" w14:textId="319FB3E3" w:rsidR="000D1986" w:rsidRPr="000D1986" w:rsidRDefault="000D1986" w:rsidP="000D1986">
      <w:pPr>
        <w:rPr>
          <w:lang w:eastAsia="zh-CN"/>
        </w:rPr>
      </w:pPr>
    </w:p>
    <w:p w14:paraId="56C4D053" w14:textId="5778D738" w:rsidR="000D1986" w:rsidRPr="000D1986" w:rsidRDefault="000D1986" w:rsidP="000D1986">
      <w:pPr>
        <w:rPr>
          <w:lang w:eastAsia="zh-CN"/>
        </w:rPr>
      </w:pPr>
    </w:p>
    <w:p w14:paraId="51E55BBB" w14:textId="66FCED59" w:rsidR="000D1986" w:rsidRPr="000D1986" w:rsidRDefault="000D1986" w:rsidP="000D1986">
      <w:pPr>
        <w:rPr>
          <w:lang w:eastAsia="zh-CN"/>
        </w:rPr>
      </w:pPr>
    </w:p>
    <w:p w14:paraId="102A5610" w14:textId="4334586A" w:rsidR="000D1986" w:rsidRPr="000D1986" w:rsidRDefault="000D1986" w:rsidP="000D1986">
      <w:pPr>
        <w:rPr>
          <w:lang w:eastAsia="zh-CN"/>
        </w:rPr>
      </w:pPr>
    </w:p>
    <w:p w14:paraId="4A30A19D" w14:textId="46B4EC56" w:rsidR="000D1986" w:rsidRPr="000D1986" w:rsidRDefault="000D1986" w:rsidP="000D1986">
      <w:pPr>
        <w:rPr>
          <w:lang w:eastAsia="zh-CN"/>
        </w:rPr>
      </w:pPr>
    </w:p>
    <w:p w14:paraId="25DB7317" w14:textId="6EDAF6A5" w:rsidR="000D1986" w:rsidRPr="000D1986" w:rsidRDefault="000D1986" w:rsidP="000D1986">
      <w:pPr>
        <w:rPr>
          <w:lang w:eastAsia="zh-CN"/>
        </w:rPr>
      </w:pPr>
    </w:p>
    <w:p w14:paraId="6135081B" w14:textId="4A84F0DD" w:rsidR="000D1986" w:rsidRPr="000D1986" w:rsidRDefault="000D1986" w:rsidP="000D1986">
      <w:pPr>
        <w:rPr>
          <w:lang w:eastAsia="zh-CN"/>
        </w:rPr>
      </w:pPr>
    </w:p>
    <w:p w14:paraId="69192E31" w14:textId="060DFAD3" w:rsidR="000D1986" w:rsidRPr="000D1986" w:rsidRDefault="000D1986" w:rsidP="000D1986">
      <w:pPr>
        <w:rPr>
          <w:lang w:eastAsia="zh-CN"/>
        </w:rPr>
      </w:pPr>
    </w:p>
    <w:p w14:paraId="615C2F24" w14:textId="288964A7" w:rsidR="000D1986" w:rsidRPr="000D1986" w:rsidRDefault="000D1986" w:rsidP="000D1986">
      <w:pPr>
        <w:rPr>
          <w:lang w:eastAsia="zh-CN"/>
        </w:rPr>
      </w:pPr>
    </w:p>
    <w:p w14:paraId="39E715B6" w14:textId="7138C60C" w:rsidR="000D1986" w:rsidRPr="000D1986" w:rsidRDefault="000D1986" w:rsidP="000D1986">
      <w:pPr>
        <w:rPr>
          <w:lang w:eastAsia="zh-CN"/>
        </w:rPr>
      </w:pPr>
    </w:p>
    <w:p w14:paraId="2A12BFE2" w14:textId="2C580EF4" w:rsidR="000D1986" w:rsidRPr="000D1986" w:rsidRDefault="000D1986" w:rsidP="000D1986">
      <w:pPr>
        <w:rPr>
          <w:lang w:eastAsia="zh-CN"/>
        </w:rPr>
      </w:pPr>
    </w:p>
    <w:p w14:paraId="494275EA" w14:textId="15B27298" w:rsidR="000D1986" w:rsidRPr="000D1986" w:rsidRDefault="000D1986" w:rsidP="000D1986">
      <w:pPr>
        <w:rPr>
          <w:lang w:eastAsia="zh-CN"/>
        </w:rPr>
      </w:pPr>
    </w:p>
    <w:p w14:paraId="79E2E9DD" w14:textId="1132A96A" w:rsidR="000D1986" w:rsidRPr="000D1986" w:rsidRDefault="000D1986" w:rsidP="000D1986">
      <w:pPr>
        <w:rPr>
          <w:lang w:eastAsia="zh-CN"/>
        </w:rPr>
      </w:pPr>
    </w:p>
    <w:p w14:paraId="5F9A1129" w14:textId="349140F0" w:rsidR="000D1986" w:rsidRPr="000D1986" w:rsidRDefault="000D1986" w:rsidP="000D1986">
      <w:pPr>
        <w:rPr>
          <w:lang w:eastAsia="zh-CN"/>
        </w:rPr>
      </w:pPr>
    </w:p>
    <w:p w14:paraId="4375185F" w14:textId="7E34BE8A" w:rsidR="000D1986" w:rsidRPr="000D1986" w:rsidRDefault="000D1986" w:rsidP="000D1986">
      <w:pPr>
        <w:rPr>
          <w:lang w:eastAsia="zh-CN"/>
        </w:rPr>
      </w:pPr>
    </w:p>
    <w:p w14:paraId="487E9FA8" w14:textId="3CBFBCAF" w:rsidR="000D1986" w:rsidRPr="000D1986" w:rsidRDefault="000D1986" w:rsidP="000D1986">
      <w:pPr>
        <w:rPr>
          <w:lang w:eastAsia="zh-CN"/>
        </w:rPr>
      </w:pPr>
    </w:p>
    <w:p w14:paraId="22B65872" w14:textId="486BE335" w:rsidR="000D1986" w:rsidRPr="000D1986" w:rsidRDefault="000D1986" w:rsidP="000D1986">
      <w:pPr>
        <w:rPr>
          <w:lang w:eastAsia="zh-CN"/>
        </w:rPr>
      </w:pPr>
    </w:p>
    <w:p w14:paraId="6DF84144" w14:textId="67ECC5D0" w:rsidR="000D1986" w:rsidRPr="000D1986" w:rsidRDefault="000D1986" w:rsidP="000D1986">
      <w:pPr>
        <w:rPr>
          <w:lang w:eastAsia="zh-CN"/>
        </w:rPr>
      </w:pPr>
    </w:p>
    <w:p w14:paraId="016D9D00" w14:textId="652CB3B5" w:rsidR="000D1986" w:rsidRPr="000D1986" w:rsidRDefault="000D1986" w:rsidP="000D1986">
      <w:pPr>
        <w:rPr>
          <w:lang w:eastAsia="zh-CN"/>
        </w:rPr>
      </w:pPr>
    </w:p>
    <w:p w14:paraId="7EF7151F" w14:textId="67F240EB" w:rsidR="000D1986" w:rsidRPr="000D1986" w:rsidRDefault="000D1986" w:rsidP="000D1986">
      <w:pPr>
        <w:rPr>
          <w:lang w:eastAsia="zh-CN"/>
        </w:rPr>
      </w:pPr>
    </w:p>
    <w:p w14:paraId="53B15E8C" w14:textId="5684FF45" w:rsidR="000D1986" w:rsidRPr="000D1986" w:rsidRDefault="000D1986" w:rsidP="000D1986">
      <w:pPr>
        <w:rPr>
          <w:lang w:eastAsia="zh-CN"/>
        </w:rPr>
      </w:pPr>
    </w:p>
    <w:p w14:paraId="4741CECF" w14:textId="42A7C5BF" w:rsidR="000D1986" w:rsidRPr="000D1986" w:rsidRDefault="000D1986" w:rsidP="000D1986">
      <w:pPr>
        <w:rPr>
          <w:lang w:eastAsia="zh-CN"/>
        </w:rPr>
      </w:pPr>
    </w:p>
    <w:p w14:paraId="395A1577" w14:textId="4FF65158" w:rsidR="000D1986" w:rsidRPr="000D1986" w:rsidRDefault="000D1986" w:rsidP="000D1986">
      <w:pPr>
        <w:rPr>
          <w:lang w:eastAsia="zh-CN"/>
        </w:rPr>
      </w:pPr>
    </w:p>
    <w:p w14:paraId="379B7203" w14:textId="6171BD25" w:rsidR="000D1986" w:rsidRPr="000D1986" w:rsidRDefault="000D1986" w:rsidP="000D1986">
      <w:pPr>
        <w:rPr>
          <w:lang w:eastAsia="zh-CN"/>
        </w:rPr>
      </w:pPr>
    </w:p>
    <w:p w14:paraId="743F4258" w14:textId="77777777" w:rsidR="000D1986" w:rsidRPr="000D1986" w:rsidRDefault="000D1986" w:rsidP="000D1986">
      <w:pPr>
        <w:rPr>
          <w:lang w:eastAsia="zh-CN"/>
        </w:rPr>
      </w:pPr>
    </w:p>
    <w:p w14:paraId="5ACCB18C" w14:textId="77777777" w:rsidR="000D1986" w:rsidRPr="000D1986" w:rsidRDefault="000D1986" w:rsidP="000D1986">
      <w:pPr>
        <w:rPr>
          <w:lang w:eastAsia="zh-CN"/>
        </w:rPr>
      </w:pPr>
    </w:p>
    <w:p w14:paraId="1F9B6FD1" w14:textId="77777777" w:rsidR="00C44B8C" w:rsidRDefault="00C44B8C">
      <w:pPr>
        <w:pStyle w:val="BodyA"/>
        <w:widowControl w:val="0"/>
        <w:spacing w:line="240" w:lineRule="auto"/>
        <w:ind w:left="108" w:hanging="108"/>
        <w:jc w:val="center"/>
        <w:rPr>
          <w:sz w:val="32"/>
          <w:szCs w:val="32"/>
        </w:rPr>
      </w:pPr>
    </w:p>
    <w:p w14:paraId="291D6F2E" w14:textId="77777777" w:rsidR="00C44B8C" w:rsidRDefault="00C44B8C">
      <w:pPr>
        <w:pStyle w:val="BodyA"/>
        <w:spacing w:line="240" w:lineRule="auto"/>
        <w:jc w:val="center"/>
        <w:rPr>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2C54AB41" w14:textId="77777777">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3F11C6" w14:textId="77777777" w:rsidR="00C44B8C" w:rsidRDefault="00B31674">
            <w:pPr>
              <w:pStyle w:val="Heading2"/>
              <w:jc w:val="center"/>
            </w:pPr>
            <w: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9BF82" w14:textId="0285A8B1" w:rsidR="00C44B8C" w:rsidRDefault="000D1986">
            <w:r>
              <w:t>Using ICT for lesson and enhanced provision</w:t>
            </w:r>
          </w:p>
        </w:tc>
      </w:tr>
      <w:tr w:rsidR="00C44B8C" w14:paraId="1CBD8F7B" w14:textId="77777777">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AABF6" w14:textId="77777777" w:rsidR="00C44B8C" w:rsidRDefault="00B31674">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3E3EB" w14:textId="77777777" w:rsidR="00C44B8C" w:rsidRDefault="00B31674">
            <w:pPr>
              <w:pStyle w:val="BodyA"/>
              <w:spacing w:after="0" w:line="240" w:lineRule="auto"/>
              <w:rPr>
                <w:rFonts w:ascii="Carlito" w:eastAsia="Carlito" w:hAnsi="Carlito" w:cs="Carlito"/>
                <w:b/>
                <w:bCs/>
                <w:color w:val="2E74B5"/>
                <w:sz w:val="28"/>
                <w:szCs w:val="28"/>
                <w:u w:color="2E74B5"/>
              </w:rPr>
            </w:pPr>
            <w:r>
              <w:rPr>
                <w:rFonts w:ascii="Carlito" w:eastAsia="Carlito" w:hAnsi="Carlito" w:cs="Carlito"/>
                <w:b/>
                <w:bCs/>
                <w:color w:val="2E74B5"/>
                <w:sz w:val="28"/>
                <w:szCs w:val="28"/>
                <w:u w:color="2E74B5"/>
              </w:rPr>
              <w:t xml:space="preserve">Employing a broad repertoire of teaching </w:t>
            </w:r>
          </w:p>
          <w:p w14:paraId="31AB8943" w14:textId="77777777" w:rsidR="00C44B8C" w:rsidRDefault="00B31674">
            <w:pPr>
              <w:pStyle w:val="BodyA"/>
              <w:spacing w:after="0" w:line="240" w:lineRule="auto"/>
            </w:pPr>
            <w:r>
              <w:rPr>
                <w:rFonts w:ascii="Carlito" w:eastAsia="Carlito" w:hAnsi="Carlito" w:cs="Carlito"/>
                <w:b/>
                <w:bCs/>
                <w:color w:val="2E74B5"/>
                <w:sz w:val="28"/>
                <w:szCs w:val="28"/>
                <w:u w:color="2E74B5"/>
              </w:rPr>
              <w:t>approaches</w:t>
            </w:r>
          </w:p>
        </w:tc>
      </w:tr>
      <w:tr w:rsidR="00C44B8C" w14:paraId="3FB803F3" w14:textId="77777777">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627BE" w14:textId="77777777" w:rsidR="00C44B8C" w:rsidRDefault="00B31674">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1184C" w14:textId="369DEB4E" w:rsidR="00C44B8C" w:rsidRPr="000D1986" w:rsidRDefault="000D1986" w:rsidP="000D1986">
            <w:pPr>
              <w:pStyle w:val="NormalWeb"/>
              <w:ind w:left="360"/>
              <w:jc w:val="both"/>
              <w:rPr>
                <w:rFonts w:ascii="Calibri" w:hAnsi="Calibri" w:cs="Calibri"/>
                <w:sz w:val="22"/>
                <w:szCs w:val="22"/>
              </w:rPr>
            </w:pPr>
            <w:r>
              <w:t xml:space="preserve">A target discussed from my PTE3 class mentor, was to try and incorporate more ICT into the classroom. In the beginning I was focusing more on the lesson aspect and making sure I had created digital resources such as power points and pictures to support visual learners. Although this was important and I continued to do this to support the different ways each child learns, with some research, I was able to link this experience with another of my targets which was to plan for the enhanced areas of the classroom. I decided to combine the two and use the iPads with specifically chosen (to match with the lesson) educational apps as well as making use of the interactive whiteboard which turned out to be a brilliant addition to the enhanced areas in the classroom. As I was working on developing these targets, the children were also working on developing their ICT skills and working alongside the DCF framework of becoming digitally competent. The Institute of Education University of London (2013) says that iPads support seamless learning, motivating and engaging pupils keeping them interested in content for longer. This piece of research was specific to the foundation phase Reception class I was teaching as the children found it difficult to focus for long periods of time because of their age. To conclude, I began to implement different methods of ICT around the classroom to develop both my personal targets as well as ensuring the children were experiencing a wide range of teaching approaches. </w:t>
            </w:r>
          </w:p>
          <w:p w14:paraId="4B9F777E" w14:textId="30E6A97E" w:rsidR="000D1986" w:rsidRPr="000D1986" w:rsidRDefault="000D1986" w:rsidP="000D1986">
            <w:pPr>
              <w:pStyle w:val="NormalWeb"/>
              <w:ind w:left="1080"/>
              <w:rPr>
                <w:rFonts w:ascii="Calibri" w:hAnsi="Calibri" w:cs="Calibri"/>
                <w:sz w:val="22"/>
                <w:szCs w:val="22"/>
              </w:rPr>
            </w:pPr>
          </w:p>
        </w:tc>
      </w:tr>
      <w:tr w:rsidR="00C44B8C" w14:paraId="37E678C3" w14:textId="77777777">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C5FB1" w14:textId="77777777" w:rsidR="00C44B8C" w:rsidRDefault="00B31674">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6FB7AE" w14:textId="42CD8E38" w:rsidR="000D1986" w:rsidRDefault="000D1986" w:rsidP="000D1986">
            <w:r>
              <w:t xml:space="preserve">I have learnt that employing a broad repertoire of teaching approaches creates a positive learning environment for all as there is support in place for every type of learner. I also have learnt and developed an opinion that when you conduct a classroom in this way it applies a pedagogical approach to the children’s learning which again has great emphasis on the importance of creative that supportive learning environment accessible for each pupil. </w:t>
            </w:r>
          </w:p>
        </w:tc>
      </w:tr>
      <w:tr w:rsidR="00C44B8C" w14:paraId="09B51CDB" w14:textId="77777777">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38FB5" w14:textId="77777777" w:rsidR="00C44B8C" w:rsidRDefault="00B31674">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9CD571" w14:textId="32DA2352" w:rsidR="00C44B8C" w:rsidRDefault="000D1986">
            <w:r>
              <w:t xml:space="preserve">Next, I look forward to developing this standard in more depth throughout my NQT year. I am now able to collate lots of teaching theories with strategies I have observed on my different placements and find out what works best for me and my teaching style, as well as the children I will hopefully be teaching. Teaching with a broad repertoire of teaching approaches will be a standard constantly being developed throughout any career as there is such a wide space for development and new things to learn and try out. </w:t>
            </w:r>
          </w:p>
        </w:tc>
      </w:tr>
    </w:tbl>
    <w:p w14:paraId="0420B802" w14:textId="77777777" w:rsidR="00C44B8C" w:rsidRDefault="00C44B8C">
      <w:pPr>
        <w:pStyle w:val="BodyA"/>
        <w:widowControl w:val="0"/>
        <w:spacing w:line="240" w:lineRule="auto"/>
        <w:ind w:left="108" w:hanging="108"/>
        <w:jc w:val="center"/>
        <w:rPr>
          <w:sz w:val="32"/>
          <w:szCs w:val="32"/>
        </w:rPr>
      </w:pPr>
    </w:p>
    <w:p w14:paraId="763FCBE9" w14:textId="77777777" w:rsidR="00C44B8C" w:rsidRDefault="00C44B8C">
      <w:pPr>
        <w:pStyle w:val="BodyA"/>
        <w:widowControl w:val="0"/>
        <w:spacing w:line="240" w:lineRule="auto"/>
        <w:jc w:val="center"/>
        <w:rPr>
          <w:sz w:val="32"/>
          <w:szCs w:val="32"/>
        </w:rPr>
      </w:pPr>
    </w:p>
    <w:p w14:paraId="087EA9C7" w14:textId="77777777" w:rsidR="00C44B8C" w:rsidRDefault="00C44B8C">
      <w:pPr>
        <w:pStyle w:val="BodyA"/>
      </w:pPr>
    </w:p>
    <w:p w14:paraId="7E43DBC8" w14:textId="77777777" w:rsidR="00C44B8C" w:rsidRDefault="00C44B8C">
      <w:pPr>
        <w:pStyle w:val="BodyA"/>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05B0D0A4"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3731B" w14:textId="77777777" w:rsidR="00C44B8C" w:rsidRDefault="00B31674">
            <w:pPr>
              <w:pStyle w:val="Heading2"/>
              <w:jc w:val="center"/>
            </w:pPr>
            <w: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39890" w14:textId="0107D82F" w:rsidR="00C44B8C" w:rsidRPr="000D1986" w:rsidRDefault="000D1986">
            <w:pPr>
              <w:rPr>
                <w:rFonts w:ascii="Arial" w:hAnsi="Arial" w:cs="Arial"/>
                <w:sz w:val="22"/>
                <w:szCs w:val="22"/>
              </w:rPr>
            </w:pPr>
            <w:r w:rsidRPr="000D1986">
              <w:rPr>
                <w:rFonts w:ascii="Arial" w:hAnsi="Arial" w:cs="Arial"/>
                <w:sz w:val="22"/>
                <w:szCs w:val="22"/>
              </w:rPr>
              <w:t xml:space="preserve">Creating a ‘Kindness Recipe’. </w:t>
            </w:r>
          </w:p>
        </w:tc>
      </w:tr>
      <w:tr w:rsidR="00C44B8C" w14:paraId="65266942"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40CEA9" w14:textId="77777777" w:rsidR="00C44B8C" w:rsidRDefault="00B31674">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5143E" w14:textId="77777777" w:rsidR="00C44B8C" w:rsidRPr="000D1986" w:rsidRDefault="00B31674">
            <w:pPr>
              <w:pStyle w:val="BodyA"/>
              <w:spacing w:after="0" w:line="240" w:lineRule="auto"/>
              <w:rPr>
                <w:rFonts w:ascii="Arial" w:hAnsi="Arial" w:cs="Arial"/>
              </w:rPr>
            </w:pPr>
            <w:r w:rsidRPr="000D1986">
              <w:rPr>
                <w:rFonts w:ascii="Arial" w:eastAsia="Carlito" w:hAnsi="Arial" w:cs="Arial"/>
                <w:b/>
                <w:bCs/>
                <w:color w:val="2E74B5"/>
                <w:u w:color="2E74B5"/>
              </w:rPr>
              <w:t xml:space="preserve">Real life authentic contexts </w:t>
            </w:r>
          </w:p>
        </w:tc>
      </w:tr>
      <w:tr w:rsidR="00C44B8C" w14:paraId="59B0AFD9"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107E9" w14:textId="77777777" w:rsidR="00C44B8C" w:rsidRDefault="00B31674">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91D94" w14:textId="0F572EDB" w:rsidR="00C44B8C" w:rsidRPr="000D1986" w:rsidRDefault="000D1986">
            <w:pPr>
              <w:rPr>
                <w:rFonts w:ascii="Arial" w:hAnsi="Arial" w:cs="Arial"/>
                <w:sz w:val="22"/>
                <w:szCs w:val="22"/>
              </w:rPr>
            </w:pPr>
            <w:r w:rsidRPr="000D1986">
              <w:rPr>
                <w:rFonts w:ascii="Arial" w:hAnsi="Arial" w:cs="Arial"/>
                <w:sz w:val="22"/>
                <w:szCs w:val="22"/>
              </w:rPr>
              <w:t xml:space="preserve">This professional experience took place on the final PTE3. It was a lesson designed specifically to employ a whole class learning element to the concept of ‘What is in my heart?’. The children had been reading different books such as ‘The Colour Monster’, ‘Have you filled a bucket today’ and finally moved onto ‘What is in my heart?’. These books provided many opportunities to enhance the learning with real life authentic contexts and </w:t>
            </w:r>
            <w:r>
              <w:rPr>
                <w:rFonts w:ascii="Arial" w:hAnsi="Arial" w:cs="Arial"/>
                <w:sz w:val="22"/>
                <w:szCs w:val="22"/>
              </w:rPr>
              <w:t>because of this as a</w:t>
            </w:r>
            <w:r w:rsidRPr="000D1986">
              <w:rPr>
                <w:rFonts w:ascii="Arial" w:hAnsi="Arial" w:cs="Arial"/>
                <w:sz w:val="22"/>
                <w:szCs w:val="22"/>
              </w:rPr>
              <w:t xml:space="preserve"> class we worked together to create a class kindness recipe. The children were keen that they wanted to collaborate on these recipe instructions (classroom rules) together so that they could then add these into the daily running of the classroom. As I was referring to it as a </w:t>
            </w:r>
            <w:r w:rsidRPr="000D1986">
              <w:rPr>
                <w:rFonts w:ascii="Arial" w:hAnsi="Arial" w:cs="Arial"/>
                <w:i/>
                <w:iCs/>
                <w:sz w:val="22"/>
                <w:szCs w:val="22"/>
              </w:rPr>
              <w:t>recipe</w:t>
            </w:r>
            <w:r w:rsidRPr="000D1986">
              <w:rPr>
                <w:rFonts w:ascii="Arial" w:hAnsi="Arial" w:cs="Arial"/>
                <w:sz w:val="22"/>
                <w:szCs w:val="22"/>
              </w:rPr>
              <w:t>, the children learnt a lot about the</w:t>
            </w:r>
            <w:r>
              <w:rPr>
                <w:rFonts w:ascii="Arial" w:hAnsi="Arial" w:cs="Arial"/>
                <w:sz w:val="22"/>
                <w:szCs w:val="22"/>
              </w:rPr>
              <w:t xml:space="preserve"> pros and cons</w:t>
            </w:r>
            <w:r w:rsidRPr="000D1986">
              <w:rPr>
                <w:rFonts w:ascii="Arial" w:hAnsi="Arial" w:cs="Arial"/>
                <w:sz w:val="22"/>
                <w:szCs w:val="22"/>
              </w:rPr>
              <w:t xml:space="preserve"> of how to make a recipe. We discussed whether there needed to be lots of steps (rules) or short but important ones. We discussed what is important for our class and our friends and the children became confident that different classrooms might require different rules just like vegans or gluten free might need different recipe steps. Together, we created 6 class kindness rules for our recipe. After this, the actual recipe itself was created. The children were able to use their art skills to draw an interpretation of their own heart, decorate it in whichever way and write their name next to it. After everybody worked together to create the physical structure of the Kindness Recipe, we had a ceremony where it was put up onto a display board and each child undertook a promise that they would try their best to remember each part of the recipe, and to follow the recipe every day. The plenary of this creation took place to show the children the purpose of why it was created. It gave the children something to </w:t>
            </w:r>
            <w:r>
              <w:rPr>
                <w:rFonts w:ascii="Arial" w:hAnsi="Arial" w:cs="Arial"/>
                <w:sz w:val="22"/>
                <w:szCs w:val="22"/>
              </w:rPr>
              <w:t xml:space="preserve">use as a guide and it became an important factor in everyone’s day. </w:t>
            </w:r>
          </w:p>
        </w:tc>
      </w:tr>
      <w:tr w:rsidR="00C44B8C" w14:paraId="5AA8CB2E"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7060D" w14:textId="77777777" w:rsidR="00C44B8C" w:rsidRDefault="00B31674">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9001FB" w14:textId="61881368" w:rsidR="000D1986" w:rsidRDefault="000D1986">
            <w:r>
              <w:t xml:space="preserve">I have learned that creating a project like this, using real life authentic context adds a lot more value and purpose to the stimuli behind the lesson plan/concept itself.  Vygotsky (1962) suggests that learning takes place through the interactions students have with their peers and a kindness recipe collaborated on together, massively promotes good relationships throughout the class. Vygotsky (1962) argues that culture is the primary determining factor for our knowledge construction and that is why I used real life authentic contexts in this way as our concept was encouraging kindness, positive relationships, and support throughout the class. </w:t>
            </w:r>
          </w:p>
        </w:tc>
      </w:tr>
      <w:tr w:rsidR="00C44B8C" w14:paraId="04E317CB"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78B1D" w14:textId="77777777" w:rsidR="00C44B8C" w:rsidRDefault="00B31674">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F0A47D" w14:textId="1EA33FA5" w:rsidR="000D1986" w:rsidRDefault="000D1986">
            <w:r>
              <w:t xml:space="preserve">Next, I plan to look for even more strategies to involve showing the learners authentic contexts. I would like to develop more ideas suitable for KS2 ages as I believe Vygotsky’s research should be remembered throughout all phases as it can be applicable at any age. </w:t>
            </w:r>
          </w:p>
        </w:tc>
      </w:tr>
    </w:tbl>
    <w:p w14:paraId="17148C0F" w14:textId="77777777" w:rsidR="00C44B8C" w:rsidRDefault="00C44B8C">
      <w:pPr>
        <w:pStyle w:val="BodyA"/>
        <w:widowControl w:val="0"/>
        <w:spacing w:line="240" w:lineRule="auto"/>
        <w:ind w:left="108" w:hanging="108"/>
      </w:pPr>
    </w:p>
    <w:p w14:paraId="0A4DCF9A" w14:textId="77777777" w:rsidR="00C44B8C" w:rsidRDefault="00C44B8C">
      <w:pPr>
        <w:pStyle w:val="BodyA"/>
        <w:widowControl w:val="0"/>
        <w:spacing w:line="240" w:lineRule="auto"/>
      </w:pPr>
    </w:p>
    <w:p w14:paraId="66220A9B" w14:textId="77777777" w:rsidR="00C44B8C" w:rsidRDefault="00C44B8C">
      <w:pPr>
        <w:pStyle w:val="BodyA"/>
      </w:pPr>
    </w:p>
    <w:p w14:paraId="42FDB6F9" w14:textId="77777777" w:rsidR="00C44B8C" w:rsidRDefault="00C44B8C">
      <w:pPr>
        <w:pStyle w:val="BodyA"/>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6908EC92" w14:textId="7777777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61400E" w14:textId="77777777" w:rsidR="00C44B8C" w:rsidRDefault="00B31674">
            <w:pPr>
              <w:pStyle w:val="Heading2"/>
              <w:jc w:val="center"/>
            </w:pPr>
            <w: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32B82" w14:textId="001C7A8C" w:rsidR="00C44B8C" w:rsidRDefault="000D1986">
            <w:r>
              <w:t xml:space="preserve">Mathematics and DCF Skills </w:t>
            </w:r>
          </w:p>
        </w:tc>
      </w:tr>
      <w:tr w:rsidR="00C44B8C" w14:paraId="0E3AF3A9" w14:textId="7777777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688EC8" w14:textId="77777777" w:rsidR="00C44B8C" w:rsidRDefault="00B31674">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A5E28" w14:textId="77777777" w:rsidR="00C44B8C" w:rsidRDefault="00B31674">
            <w:pPr>
              <w:pStyle w:val="BodyA"/>
              <w:spacing w:after="0" w:line="240" w:lineRule="auto"/>
            </w:pPr>
            <w:r>
              <w:rPr>
                <w:rFonts w:ascii="Carlito" w:eastAsia="Carlito" w:hAnsi="Carlito" w:cs="Carlito"/>
                <w:b/>
                <w:bCs/>
                <w:color w:val="2E74B5"/>
                <w:sz w:val="28"/>
                <w:szCs w:val="28"/>
                <w:u w:color="2E74B5"/>
              </w:rPr>
              <w:t>Cross-curricular themes</w:t>
            </w:r>
          </w:p>
        </w:tc>
      </w:tr>
      <w:tr w:rsidR="00C44B8C" w14:paraId="78BA9E75" w14:textId="7777777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246AE" w14:textId="77777777" w:rsidR="00C44B8C" w:rsidRDefault="00B31674">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E421A" w14:textId="7422CF8F" w:rsidR="000D1986" w:rsidRDefault="000D1986">
            <w:r>
              <w:t xml:space="preserve">For this PET, the children were delving deeper and exploring shapes with 3 and 4 sides. The task for the lesson was to embark on a shape hunt. I planned this sort of interactive lesson to provide a real-life context for the children so that they could see for themselves that our buildings are made up of shapes. The children were in small groups, and we had a short carpet session with a refresher of the shapes they would be hunting for and then the hunt began. The children had an iPad between them and were tasked with finding as many shape objects they can. The children then had plenty of opportunities to take photos of the shape objects themselves, or to be in the photo whilst it was taken by a peer or the adult supervising the activity. I thought it was good to incorporate the DCF skills into a Mathematics lesson to add more differentiation and access levels to children with lower abilities. I noticed that the children with the lower ability found the shape objects much easier to recognize once the photograph was in front of them on the iPad. This meant the lesson was able to be tailored to different abilities as well as exploring cross curricular areas at the same time. </w:t>
            </w:r>
          </w:p>
        </w:tc>
      </w:tr>
      <w:tr w:rsidR="00C44B8C" w14:paraId="1906B970" w14:textId="7777777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DE57E" w14:textId="77777777" w:rsidR="00C44B8C" w:rsidRDefault="00B31674">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9D755" w14:textId="1C929BCF" w:rsidR="000D1986" w:rsidRPr="000D1986" w:rsidRDefault="000D1986" w:rsidP="000D1986">
            <w:r>
              <w:t>I have learnt that wherever possible, linking ideas across the curricular is important because it provides a vaster range of learning opportunities. I have also learnt that having the skill of linking subjects naturally provides creative ways to develop the children understand and skills. Crossing subject boundaries allows for investigation that engages the children’s imagination and for this PET the children were able to decide independently how they interpreted the learning. Linking Mathematics and DCF for this session also promoted lots of discussion throughout the class as they were sharing ideas and giving each other feedback throughout.</w:t>
            </w:r>
          </w:p>
        </w:tc>
      </w:tr>
      <w:tr w:rsidR="00C44B8C" w14:paraId="590F8CDC" w14:textId="7777777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4C459" w14:textId="77777777" w:rsidR="00C44B8C" w:rsidRDefault="00B31674">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D48D2" w14:textId="76DEAAEA" w:rsidR="00C44B8C" w:rsidRDefault="000D1986">
            <w:r>
              <w:t xml:space="preserve">Promoting cross-curricular links is something I will always want to develop throughout my teaching career. I think it is an important skill to continue to develop as teaching cross-auricularly links directly to the pedagogical principles and it allows teachers to be expressive in how they teach but connects to the reasons on why we are teaching it. </w:t>
            </w:r>
          </w:p>
        </w:tc>
      </w:tr>
    </w:tbl>
    <w:p w14:paraId="449BB567" w14:textId="77777777" w:rsidR="00C44B8C" w:rsidRDefault="00C44B8C">
      <w:pPr>
        <w:pStyle w:val="BodyA"/>
        <w:widowControl w:val="0"/>
        <w:spacing w:line="240" w:lineRule="auto"/>
        <w:ind w:left="108" w:hanging="108"/>
      </w:pPr>
    </w:p>
    <w:p w14:paraId="248B1653" w14:textId="77777777" w:rsidR="00C44B8C" w:rsidRDefault="00C44B8C">
      <w:pPr>
        <w:pStyle w:val="BodyA"/>
        <w:widowControl w:val="0"/>
        <w:spacing w:line="240" w:lineRule="auto"/>
      </w:pPr>
    </w:p>
    <w:p w14:paraId="1F3664C8" w14:textId="2793BB55" w:rsidR="00DB4841" w:rsidRPr="00842DAF" w:rsidRDefault="00DB4841" w:rsidP="00DB4841">
      <w:pPr>
        <w:pStyle w:val="BodyA"/>
        <w:rPr>
          <w:rFonts w:ascii="Arial" w:hAnsi="Arial" w:cs="Arial"/>
          <w:sz w:val="24"/>
          <w:szCs w:val="24"/>
        </w:rPr>
      </w:pPr>
      <w:r w:rsidRPr="00842DAF">
        <w:rPr>
          <w:rFonts w:ascii="Arial" w:hAnsi="Arial" w:cs="Arial"/>
          <w:b/>
          <w:bCs/>
          <w:sz w:val="24"/>
          <w:szCs w:val="24"/>
          <w:u w:val="single"/>
        </w:rPr>
        <w:lastRenderedPageBreak/>
        <w:t xml:space="preserve">Target 1 </w:t>
      </w:r>
      <w:r w:rsidR="00842DAF" w:rsidRPr="00842DAF">
        <w:rPr>
          <w:rFonts w:ascii="Arial" w:hAnsi="Arial" w:cs="Arial"/>
          <w:b/>
          <w:bCs/>
          <w:sz w:val="24"/>
          <w:szCs w:val="24"/>
          <w:u w:val="single"/>
        </w:rPr>
        <w:t>–</w:t>
      </w:r>
      <w:r w:rsidRPr="00842DAF">
        <w:rPr>
          <w:rFonts w:ascii="Arial" w:hAnsi="Arial" w:cs="Arial"/>
          <w:b/>
          <w:bCs/>
          <w:sz w:val="24"/>
          <w:szCs w:val="24"/>
          <w:u w:val="single"/>
        </w:rPr>
        <w:t xml:space="preserve"> </w:t>
      </w:r>
      <w:r w:rsidR="00842DAF" w:rsidRPr="00842DAF">
        <w:rPr>
          <w:rFonts w:ascii="Arial" w:hAnsi="Arial" w:cs="Arial"/>
          <w:sz w:val="24"/>
          <w:szCs w:val="24"/>
        </w:rPr>
        <w:t>Referencing</w:t>
      </w:r>
    </w:p>
    <w:p w14:paraId="615A52DF" w14:textId="6221212E" w:rsidR="00842DAF" w:rsidRPr="00842DAF" w:rsidRDefault="00842DAF" w:rsidP="00DB4841">
      <w:pPr>
        <w:pStyle w:val="BodyA"/>
        <w:rPr>
          <w:rFonts w:ascii="Arial" w:hAnsi="Arial" w:cs="Arial"/>
          <w:sz w:val="24"/>
          <w:szCs w:val="24"/>
        </w:rPr>
      </w:pPr>
      <w:r w:rsidRPr="00842DAF">
        <w:rPr>
          <w:rFonts w:ascii="Arial" w:hAnsi="Arial" w:cs="Arial"/>
          <w:b/>
          <w:bCs/>
          <w:sz w:val="24"/>
          <w:szCs w:val="24"/>
          <w:u w:val="single"/>
        </w:rPr>
        <w:t>Target 2</w:t>
      </w:r>
      <w:r w:rsidRPr="00842DAF">
        <w:rPr>
          <w:rFonts w:ascii="Arial" w:hAnsi="Arial" w:cs="Arial"/>
          <w:sz w:val="24"/>
          <w:szCs w:val="24"/>
        </w:rPr>
        <w:t xml:space="preserve"> – </w:t>
      </w:r>
      <w:r w:rsidRPr="00842DAF">
        <w:rPr>
          <w:rFonts w:ascii="Arial" w:hAnsi="Arial" w:cs="Arial"/>
          <w:color w:val="283041"/>
          <w:sz w:val="24"/>
          <w:szCs w:val="24"/>
          <w:shd w:val="clear" w:color="auto" w:fill="FFFFFF"/>
        </w:rPr>
        <w:t>To ‘</w:t>
      </w:r>
      <w:r w:rsidRPr="00842DAF">
        <w:rPr>
          <w:rFonts w:ascii="Arial" w:hAnsi="Arial" w:cs="Arial"/>
          <w:color w:val="283041"/>
          <w:sz w:val="24"/>
          <w:szCs w:val="24"/>
          <w:shd w:val="clear" w:color="auto" w:fill="FFFFFF"/>
        </w:rPr>
        <w:t xml:space="preserve">consider wider reading, such as </w:t>
      </w:r>
      <w:r w:rsidRPr="00842DAF">
        <w:rPr>
          <w:rFonts w:ascii="Arial" w:hAnsi="Arial" w:cs="Arial"/>
          <w:color w:val="283041"/>
          <w:sz w:val="24"/>
          <w:szCs w:val="24"/>
          <w:shd w:val="clear" w:color="auto" w:fill="FFFFFF"/>
        </w:rPr>
        <w:t>Eystyn</w:t>
      </w:r>
      <w:r w:rsidRPr="00842DAF">
        <w:rPr>
          <w:rFonts w:ascii="Arial" w:hAnsi="Arial" w:cs="Arial"/>
          <w:color w:val="283041"/>
          <w:sz w:val="24"/>
          <w:szCs w:val="24"/>
          <w:shd w:val="clear" w:color="auto" w:fill="FFFFFF"/>
        </w:rPr>
        <w:t xml:space="preserve"> case studies and journal articles - these will help you to further argue your strategies</w:t>
      </w:r>
      <w:r w:rsidRPr="00842DAF">
        <w:rPr>
          <w:rFonts w:ascii="Arial" w:hAnsi="Arial" w:cs="Arial"/>
          <w:color w:val="283041"/>
          <w:sz w:val="24"/>
          <w:szCs w:val="24"/>
          <w:shd w:val="clear" w:color="auto" w:fill="FFFFFF"/>
        </w:rPr>
        <w:t xml:space="preserve">’. </w:t>
      </w:r>
    </w:p>
    <w:p w14:paraId="17A5475E" w14:textId="77777777" w:rsidR="00DB4841" w:rsidRDefault="00DB4841" w:rsidP="00DB4841">
      <w:pPr>
        <w:pStyle w:val="BodyA"/>
        <w:jc w:val="center"/>
        <w:rPr>
          <w:rFonts w:ascii="Arial" w:hAnsi="Arial" w:cs="Arial"/>
          <w:b/>
          <w:bCs/>
          <w:sz w:val="24"/>
          <w:szCs w:val="24"/>
          <w:u w:val="single"/>
        </w:rPr>
      </w:pPr>
    </w:p>
    <w:p w14:paraId="7E0AC29A" w14:textId="77777777" w:rsidR="00DB4841" w:rsidRPr="00842DAF" w:rsidRDefault="00DB4841" w:rsidP="00842DAF">
      <w:pPr>
        <w:pStyle w:val="BodyA"/>
        <w:spacing w:line="360" w:lineRule="auto"/>
        <w:jc w:val="center"/>
        <w:rPr>
          <w:rFonts w:ascii="Times New Roman" w:hAnsi="Times New Roman" w:cs="Times New Roman"/>
          <w:b/>
          <w:bCs/>
          <w:sz w:val="24"/>
          <w:szCs w:val="24"/>
          <w:u w:val="single"/>
        </w:rPr>
      </w:pPr>
    </w:p>
    <w:p w14:paraId="7918ED16" w14:textId="3AAF9C44" w:rsidR="00C44B8C" w:rsidRPr="00842DAF" w:rsidRDefault="00DB4841" w:rsidP="00842DAF">
      <w:pPr>
        <w:pStyle w:val="BodyA"/>
        <w:spacing w:line="360" w:lineRule="auto"/>
        <w:jc w:val="center"/>
        <w:rPr>
          <w:rFonts w:ascii="Times New Roman" w:hAnsi="Times New Roman" w:cs="Times New Roman"/>
          <w:b/>
          <w:bCs/>
          <w:sz w:val="24"/>
          <w:szCs w:val="24"/>
          <w:u w:val="single"/>
        </w:rPr>
      </w:pPr>
      <w:r w:rsidRPr="00842DAF">
        <w:rPr>
          <w:rFonts w:ascii="Times New Roman" w:hAnsi="Times New Roman" w:cs="Times New Roman"/>
          <w:b/>
          <w:bCs/>
          <w:sz w:val="24"/>
          <w:szCs w:val="24"/>
          <w:u w:val="single"/>
        </w:rPr>
        <w:t>ECAD6008 Assignment Part 2</w:t>
      </w:r>
    </w:p>
    <w:p w14:paraId="381EBBB1" w14:textId="2C02D660" w:rsidR="00DB4841" w:rsidRPr="00842DAF" w:rsidRDefault="00DB4841" w:rsidP="00842DAF">
      <w:pPr>
        <w:pStyle w:val="NormalWeb"/>
        <w:spacing w:line="360" w:lineRule="auto"/>
        <w:jc w:val="center"/>
        <w:rPr>
          <w:b/>
          <w:bCs/>
          <w:sz w:val="22"/>
          <w:szCs w:val="22"/>
          <w:u w:val="single"/>
        </w:rPr>
      </w:pPr>
      <w:r w:rsidRPr="00842DAF">
        <w:rPr>
          <w:b/>
          <w:bCs/>
          <w:sz w:val="22"/>
          <w:szCs w:val="22"/>
          <w:u w:val="single"/>
        </w:rPr>
        <w:t>Critically reflect on your progress in planning, preparing, and teaching lessons that incorporate specific pedagogical principles. (This evidence should be taken from you Professional Learning Passport –PLP.) Identify up to three of these pedagogical principles as an area for development and justify the next steps in your development.</w:t>
      </w:r>
    </w:p>
    <w:p w14:paraId="0E134AF2" w14:textId="77777777" w:rsidR="00DB4841" w:rsidRDefault="00DB4841" w:rsidP="00DB4841">
      <w:pPr>
        <w:jc w:val="both"/>
      </w:pPr>
    </w:p>
    <w:p w14:paraId="152EF0FF" w14:textId="5663592C" w:rsidR="00DB4841" w:rsidRPr="00AD3314" w:rsidRDefault="00DB4841" w:rsidP="00842DAF">
      <w:pPr>
        <w:spacing w:line="360" w:lineRule="auto"/>
        <w:jc w:val="both"/>
      </w:pPr>
      <w:r w:rsidRPr="00AD3314">
        <w:t xml:space="preserve">In this part of the assignment, I aim to reflect on the progress and development I have made throughout my planning, preparation, and teaching time. Each of the four pedagogical principal templates evidenced resonate greatly with me and throughout each of my Professional Teaching Experiences (PTE) I have been fortunate enough to test and develop strategies in line with the standards, some of which I will expand on throughout this piece of writing. For this assignment, I will be </w:t>
      </w:r>
      <w:r w:rsidRPr="00AD3314">
        <w:t>focusing</w:t>
      </w:r>
      <w:r w:rsidRPr="00AD3314">
        <w:t xml:space="preserve"> on the Pedagogical Principle of Creating authentic contexts for learning with the QTS standard detailing: Real life authentic contexts. I have chosen this aspect of </w:t>
      </w:r>
      <w:r w:rsidRPr="00AD3314">
        <w:t>practice</w:t>
      </w:r>
      <w:r w:rsidRPr="00AD3314">
        <w:t xml:space="preserve"> as for my third year Professional Teacher Experience (PTE) I was placed within a Foundation Phase (FP) classroom. The children were ages 4 to 5 and I found I was able to link a lot of my teaching to real life contexts, which helped with their progress throughout my placement and their overall understanding. Within a FP classroom, the children are encouraged to do so much of their learning through play and in simple terms it is positive way to enrich the learners by linking learning through play with authentic contexts. Learning through play has a lot of potential if used in the right way, Bruce (1987) and Anning (1991) revealed that through their analysis play has been elevated for the way of learning in early childhood, but there are some disagreements among educators. Froebel’s philosophy supports an informally structured approach, whereas Montessori and Steiner suggest greater degrees of formality (Bruce 1987). </w:t>
      </w:r>
    </w:p>
    <w:p w14:paraId="44E01A43" w14:textId="77777777" w:rsidR="00DB4841" w:rsidRPr="00AD3314" w:rsidRDefault="00DB4841" w:rsidP="00842DAF">
      <w:pPr>
        <w:spacing w:line="360" w:lineRule="auto"/>
        <w:jc w:val="both"/>
      </w:pPr>
      <w:r w:rsidRPr="00AD3314">
        <w:t xml:space="preserve">Free play is regarded differently, and although it is possible to somewhat enhance free play with authentic contexts (by for example, providing specific roleplay areas </w:t>
      </w:r>
      <w:proofErr w:type="spellStart"/>
      <w:r w:rsidRPr="00AD3314">
        <w:t>etc</w:t>
      </w:r>
      <w:proofErr w:type="spellEnd"/>
      <w:r w:rsidRPr="00AD3314">
        <w:t xml:space="preserve">), I think that using different types of resources, teaching methods, and applying those authentic contexts give the learning a developmental structure with a better purpose. </w:t>
      </w:r>
    </w:p>
    <w:p w14:paraId="645C5BF2" w14:textId="77777777" w:rsidR="00DB4841" w:rsidRPr="00AD3314" w:rsidRDefault="00DB4841" w:rsidP="00842DAF">
      <w:pPr>
        <w:spacing w:line="360" w:lineRule="auto"/>
        <w:jc w:val="both"/>
      </w:pPr>
    </w:p>
    <w:p w14:paraId="46404A6D" w14:textId="77777777" w:rsidR="00DB4841" w:rsidRPr="00AD3314" w:rsidRDefault="00DB4841" w:rsidP="00842DAF">
      <w:pPr>
        <w:pStyle w:val="NormalWeb"/>
        <w:spacing w:line="360" w:lineRule="auto"/>
        <w:jc w:val="both"/>
      </w:pPr>
      <w:r w:rsidRPr="00AD3314">
        <w:t xml:space="preserve">A lot of schools’ practises providing real life authentic contexts for their pupils where possible as it is built into the new Curriculum for Wales (Welsh Government, 2020). Within the first few weeks of my PTE3 I was fortunate enough to observe several classes ranging from Foundation phase to Key Stage 2 (KS2). In this time, I was able to take time to watch each teacher’s different take on providing real life authentic contexts for their classes. Although the different methods were varied throughout the school, it seemed important to the school ethos that every teacher was providing the opportunity for the children to expand their learning through real life authentic contexts. The school is situated in a rural area of South Wales and the whole school philosophy was about providing that well-rounded education for every child. Authentic learning environments provide skills and knowledge that will be used in real life. Real life authentic contexts resemble the world as well as the worlds complexity and limitations. Authentic learning provides options and possibilities that are also present in real life (Herrington &amp; Oliver, 2000). Authentic environments provide a rich and realistic context to an authentic task (Herrington &amp; Oliver, 2000). The purpose of providing real life authentic contexts is to help guide the learners in Wales towards developing competencies that are relevant for their future careers and daily lives. There are a lot of positive aspects to this pedagogical principle and strand because when authentic learning contexts are provided children are going to get more confident in trying new things, reflecting, and learning on their mistakes as well as the use of language becoming richer as they explore their own experiences and worlds. Across Wales, the four purposes are used as drivers for learners in Wales to become Ambitious, Enterprising, Ethical, and Healthy. Professor Donaldson (2023) recommends that building on the six ‘Areas of Learning and Experience’ would then in turn, help to build on the precedent of the Foundation Phase. As we build, the concept in schools begin to recognise the value of learning through experiences. Linking real life authentic contexts with the four purposes seems to be key in the ongoing progression for the new Curriculum for Wales. Throughout each of my PTE’s the four purposes have been essential drivers for the development of the school and its pupils. Education, according to Horace Mann (2018), is the ‘’great equalizer”. Although the world and education has changed, providing pupils with the best education possible will always sit at the forefront of many practitioners’ minds. ‘’An important characteristic of authentic learning is that there are multiple outcomes or solutions, rather than a single correct answer” (Stenger, 2018). In my opinion, the culture behind this quote is becoming more apparent in Primary School classrooms across Wales. There are new schemes invented for children to explore their </w:t>
      </w:r>
      <w:r w:rsidRPr="00AD3314">
        <w:lastRenderedPageBreak/>
        <w:t>learning which have more than one ‘correct’ answer. For example, my final placement school used the White Rose Maths scheme. I enjoyed using this scheme because it provided authentic contexts for the children as well as its purpose to encourage independent learning. The White Rose Maths scheme is easily adaptable for differentiation which meant as the teacher I was able to ensure concrete changes were mind for that child’s learning during Mathematics each week. In addition to this, providing authentic contexts, whether in Mathematics or other AoLEs, authentic learning fosters intrinsic motivation (Lee, 2023). Naturally, providing children with real life authentic contexts, as well as giving them the freedom to explore their learning will in turn motivate the children with their independent development. This is a great outcome for providing real life authentic contexts as the children are learning to ‘</w:t>
      </w:r>
      <w:r w:rsidRPr="00AD3314">
        <w:rPr>
          <w:b/>
          <w:bCs/>
        </w:rPr>
        <w:t>do’</w:t>
      </w:r>
      <w:r w:rsidRPr="00AD3314">
        <w:t xml:space="preserve"> themselves, as they would throughout their own careers. Authentic learning is recommended as the best way of learning for students. It is solidly grounded by the theories of learning and cognition, in a batch of theories so called the constructivist learning, which refers to the theory of cognitive development by Jean Piaget (1986-1980), discovery learning by Jerome Seymour Bruner (1915</w:t>
      </w:r>
      <w:r>
        <w:t>-</w:t>
      </w:r>
      <w:r w:rsidRPr="00AD3314">
        <w:t xml:space="preserve">), and constructivist learning by Lev Semyonovich Vygotsky (1896-1934). </w:t>
      </w:r>
    </w:p>
    <w:p w14:paraId="2B740693" w14:textId="77777777" w:rsidR="00DB4841" w:rsidRDefault="00DB4841" w:rsidP="00842DAF">
      <w:pPr>
        <w:pStyle w:val="NormalWeb"/>
        <w:spacing w:line="360" w:lineRule="auto"/>
        <w:jc w:val="both"/>
      </w:pPr>
      <w:r w:rsidRPr="00AD3314">
        <w:rPr>
          <w:sz w:val="22"/>
          <w:szCs w:val="22"/>
        </w:rPr>
        <w:br/>
      </w:r>
      <w:r w:rsidRPr="00AD3314">
        <w:t>Although there are no</w:t>
      </w:r>
      <w:r>
        <w:t xml:space="preserve"> well-known or recognised</w:t>
      </w:r>
      <w:r w:rsidRPr="00AD3314">
        <w:t xml:space="preserve"> arguments that providing real life authentic contexts will have a negative impact on education, there are a few limitations. Firstly, research suggests that authentic learning best suites pupils learning styles in a large group. Looking at some statistics in Wales, there is an average of 22-26 pupils in each class, in each school across Wales (WG, 2021). Whilst it may be possible in some schools to accommodate working in large groups, some schools may lack funding or the presence of staff and would not be able to provide that experience. Another area to investigate is where schools may come face to face with a serious lack of funding. There are a lot of factors when planning and preparing for providing authentic contexts for your class. This could be preparing resources, inviting guest speakers and visitors, arranging class trips, or gathering materials to enhance the lesson further across the curriculum. It is important to remember that funding is a detrimental factor in schools that plan to provide real life authentic contexts for their pupils learning. A report completed by Ofsted in 2019 concluded that rising pupils’ needs have had a big impact on financial pressure that schools are facing (Ofsted, 2019). Whilst budget cuts and funding issues influence the number of staff available at schools, there is also a rise in the type of support staff needed for children who suffer with Additional Learning Needs, of which there are so many. With a percentage of around 15.8% of children of pupils with additional learning or special education </w:t>
      </w:r>
      <w:r w:rsidRPr="00AD3314">
        <w:lastRenderedPageBreak/>
        <w:t>needs in maintained schools (WG, 2022) it is important to remember the different effect this could have in the classroom when it comes to whole class learning or learning in groups. Fortunately, FP classrooms are managed by the teacher and quite often a Teaching Assistant (TA) or a Learning Support Assistant (LSA) and because of this dynamic, the class teacher can plan appropriately and cater for every child’s need in the class. However, there could be possibilities when that extra member of staff become</w:t>
      </w:r>
      <w:r>
        <w:t>s</w:t>
      </w:r>
      <w:r w:rsidRPr="00AD3314">
        <w:t xml:space="preserve"> unavailable to support and here is when it is fundamental that any authentic lessons planned can be changed or adapted to suit the needs of not only the learners but the way in which the class teacher is able to deliver it too. From previous experience, it can be damaging when things do not end up being delivered as planned as majority of the time, </w:t>
      </w:r>
      <w:r>
        <w:t>lesson</w:t>
      </w:r>
      <w:r w:rsidRPr="00AD3314">
        <w:t xml:space="preserve"> plans are </w:t>
      </w:r>
      <w:r>
        <w:t>designed</w:t>
      </w:r>
      <w:r w:rsidRPr="00AD3314">
        <w:t xml:space="preserve"> to be in relation with one another to support development in as many places as possible. A limitation for planning lessons with authentic learning contexts at the forefront could mean that a lot of extra planning would need to be in place for the learners and teachers. Although this is not necessarily a bad thing, it is a </w:t>
      </w:r>
      <w:r>
        <w:t>small hitch</w:t>
      </w:r>
      <w:r w:rsidRPr="00AD3314">
        <w:t xml:space="preserve"> to keep in mind when planning larger scale authentic lessons. Another point to reflect </w:t>
      </w:r>
      <w:r>
        <w:t xml:space="preserve">on is that </w:t>
      </w:r>
      <w:r w:rsidRPr="00AD3314">
        <w:t xml:space="preserve">providing authentic learning contexts prepare pupils for their future careers. Research shows that early interventions can bring a lasting impact on children’s development and the way they interpret different jobs (Howard et al. 2015). There are benefits to introducing learners to learning about careers as it could encourage the child to develop a high level of perseverance throughout their school life which would be constructive for their education. However, it is important to consider that introducing added pressures such as these could have a negative effect on the learner. Children could feel pressurised during lesson times if they do not understand what you are asking of them and children with ALN could need further support in this area of understanding. When planning, preparing, and teaching lessons that are planned to provide authentic contexts, </w:t>
      </w:r>
      <w:r>
        <w:t xml:space="preserve">I have learnt that </w:t>
      </w:r>
      <w:r w:rsidRPr="00AD3314">
        <w:t xml:space="preserve">it is vital to keep in mind the level of expectation for the outcomes you have for the children. Lessons with authentic learning are in place for the children to experience a different way of developing new skills and learning about a new topic, not to cause distress to the child, or pressure. A 2017 survey of primary school headteachers for The Key (a support service for school leaders) discovered that eight out of ten reported an increase in children presenting with mental health issues due to changes in curriculum, assessments, and overall pressure to achieve. The results say that almost 80% of those who participated said that had noticed an increase in stress, anxiety and panic attacks in pupils ranging from </w:t>
      </w:r>
      <w:r>
        <w:t xml:space="preserve">ages of the </w:t>
      </w:r>
      <w:r w:rsidRPr="00AD3314">
        <w:t>Foundation Phase to Key Stage 2. The report also concluded that 76% of participants had seen an increase in fear of academic failure (The Key, 2017). Whilst this in</w:t>
      </w:r>
      <w:r w:rsidRPr="00AD3314">
        <w:lastRenderedPageBreak/>
        <w:t xml:space="preserve">formation suggests remaining cautious around testing and assessment, it could also be worthwhile to remain alert when delivering planned lessons with real life authentic contexts to ensure they are enjoyable and fun, not instilling any extra weight </w:t>
      </w:r>
      <w:r>
        <w:t xml:space="preserve">or added </w:t>
      </w:r>
      <w:r w:rsidRPr="00AD3314">
        <w:t xml:space="preserve">stress to the learners. Finally, to conclude the </w:t>
      </w:r>
      <w:r>
        <w:t xml:space="preserve">possible </w:t>
      </w:r>
      <w:r w:rsidRPr="00AD3314">
        <w:t xml:space="preserve">limitations to providing authentic contexts for the children is the </w:t>
      </w:r>
      <w:r>
        <w:t xml:space="preserve">level </w:t>
      </w:r>
      <w:r w:rsidRPr="00AD3314">
        <w:t xml:space="preserve">of parental involvement. Parental involvement is seen as an important strategy for the advancement of the quality of education (BERA, 2005). Expanding the involvement of parents in a school setting for the education of their children has recently been viewed as an imperative strategy to advance the effectiveness and improve the quality of education (Epstein, 1995; Chrispeels, 1996; Schreerens &amp; Bosker, 1997). </w:t>
      </w:r>
      <w:r>
        <w:t xml:space="preserve">The partnership between school and parents are often well established in the pupils’ early months of education. This partnership shows a link with Epstein’s theory of overlapping spheres of influence (Epstein, 1987, 1995; Epstein &amp; Saunders, 2000). With this theory in mind, it is often a core purpose of any school to ensure that parents and/or guardians are informed and on board with every aspect their child’s learning.  Some teaching practitioners could face negative questioning about whether any extracurricular, or authentic educational lessons add any value to their child’s education. After watching parent and teacher interactions at different schools, it seemed majority of parents are supportive of their child’s education and have trust in the teacher to deliver this. However, some parents could need more information on what and why adding real life authentic contextual lessons are essential for their child’s progression. Educating and explaining to parents about what is planned and why it is important will keep a good rapport with the parental involvement and could also enhance additional support for the children within their home. </w:t>
      </w:r>
    </w:p>
    <w:p w14:paraId="1D2CFA1D" w14:textId="77777777" w:rsidR="00DB4841" w:rsidRDefault="00DB4841" w:rsidP="00842DAF">
      <w:pPr>
        <w:pStyle w:val="NormalWeb"/>
        <w:spacing w:line="360" w:lineRule="auto"/>
        <w:jc w:val="both"/>
      </w:pPr>
      <w:r w:rsidRPr="002739A6">
        <w:t xml:space="preserve">As </w:t>
      </w:r>
      <w:r>
        <w:t>briefly discussed previously,</w:t>
      </w:r>
      <w:r w:rsidRPr="002739A6">
        <w:t xml:space="preserve"> I was placed in a Reception aged class for my final placement and because of this I was fortunate to </w:t>
      </w:r>
      <w:r>
        <w:t xml:space="preserve">be able to </w:t>
      </w:r>
      <w:r w:rsidRPr="002739A6">
        <w:t xml:space="preserve">deliver </w:t>
      </w:r>
      <w:r>
        <w:t xml:space="preserve">lessons where the children enjoyed authentic contexts and experiences. Referring to the template filled out in Part 1, I had planned a lesson creating a ‘Kindness Recipe’ as a class with a small focus section of one-to-one support too. The lesson linked directly to the current terms concept of being kind to one another, it also linked directly to the books the children had been reading – ‘Have you filled a bucket today?’ Written by Carol Mcloud, and ‘The colour monster’ written by Anna Llenas. The ages of 4 and 5 are where the children begin to make connections between different emotions and learn how to regulate these emotions. Due to the nature of the class, I believed it was important to create a project together for each child to feel part of a team and create unification throughout the class. Early Years Foundation Stage (EYFS) framework says that strong, warm, and supportive relationships with adults enable children to learn understanding of their own feeling and those </w:t>
      </w:r>
      <w:r>
        <w:lastRenderedPageBreak/>
        <w:t xml:space="preserve">of others (WG, 2021). I used this guidance along with the theory created by Vygotsky (1962) where he suggests that learning takes place through the interactions to create a lesson where the children participate as a class to come up with daily rules and reminders that could be used to help us become a kinder class. The children were able to lead the lesson with very little support from myself as the class teacher and this promoted a time where the children were exposed to social interaction to develop their cognition (Vygotsky, 1978). Vygotsky believed strongly that community plays a central role in the process of “making meaning.’’ (Mcleod, 2023) and unlike Piaget’s view that children’s development must precede their learning, Vygotsky argued, “learning is a necessary and universal aspect of the process of developing culturally organised, specifically human psychological function” (1978, p.90) Simplified, this means Vygotsky believed social learning needs to come before development which is why implementing a lesson timed this way was valuable to this class. The kindness recipe allowed the children to explore a whole host of why recipes are important and what we use them for. I planned for areas in the enhanced provision where the children could follow different steps to completing a final product which also expanded their knowledge about following instructions. This lesson became a great way to show an authentic learning experience to the children because together we were creating a product that we would display and use each day, meaning that there was an abundance of value to our kindness recipe. This template along with other experiences from my PTE’s sparked my interest for providing real life authentic contexts in as research shows that students are motivated by solving real-world problems and express their preference for </w:t>
      </w:r>
      <w:r w:rsidRPr="009622E3">
        <w:rPr>
          <w:i/>
          <w:iCs/>
        </w:rPr>
        <w:t xml:space="preserve">doing </w:t>
      </w:r>
      <w:r w:rsidRPr="009622E3">
        <w:t>rather</w:t>
      </w:r>
      <w:r>
        <w:t xml:space="preserve"> than </w:t>
      </w:r>
      <w:r w:rsidRPr="009622E3">
        <w:rPr>
          <w:i/>
          <w:iCs/>
        </w:rPr>
        <w:t>listening</w:t>
      </w:r>
      <w:r>
        <w:rPr>
          <w:i/>
          <w:iCs/>
        </w:rPr>
        <w:t xml:space="preserve"> </w:t>
      </w:r>
      <w:r>
        <w:t xml:space="preserve">(Lombardi, 2007). This statement is important to me because it applies that providing authentic contexts to children of all ages will enable every child to have a fairer chance at education. This is something I will look to develop thoroughly throughout my professional learning progression. </w:t>
      </w:r>
    </w:p>
    <w:p w14:paraId="6183F3AA" w14:textId="77777777" w:rsidR="00DB4841" w:rsidRDefault="00DB4841" w:rsidP="00842DAF">
      <w:pPr>
        <w:pStyle w:val="NormalWeb"/>
        <w:spacing w:line="360" w:lineRule="auto"/>
        <w:jc w:val="both"/>
      </w:pPr>
      <w:r>
        <w:t xml:space="preserve">This assignment has enabled me to reflect and critically analyse the way in which I incorporate different pedagogical principles to my lessons. Kolb (1984) says that the process of learning is to refrain and synthesise new experiences, whereas Merriam and Caffarella (1999) and Merriam and Bierema (2014) describe it as the change learning has on participants, as a whole or individually. Changes could include progress in knowledge, attitudes, and behaviours. I chose to reflect on the principle of providing real life and authentic contexts and I have been able to conclude my reflection with key points. The use of this principle has impacted my professional learning as a student teacher because it has taught me new things to consider as well as brought a new repertoire of tools to use throughout my future career. Firstly, it has taught me that </w:t>
      </w:r>
      <w:r>
        <w:lastRenderedPageBreak/>
        <w:t xml:space="preserve">providing authentic contexts and real-life experiences for children is a brilliant way in ensuring each child receives a well-rounded education. These experiences can make lessons fun and engaging and provide a wealth of knowledge. Teaching in this way then provides diverse methods for the children to experience. Information taken from a TED talk delivered by Ken Robinson (2006) says that “if the purpose of education is treated solely to prepare students to enter the workforce, we risk hindering the vibrant, healthy and productive environments that education succeeds to achieve” (Robinson, 2006). This expresses to me that creativity in the classroom is paramount when providing the same level of education for learners where there is a variety of backgrounds and abilities. Exploring this principle in depth has also taught me how planning and preparation for lessons with this principle in mind can be harder to achieve. Although the organisation and considerations for this principle could be of a bigger load, I have learnt that it is positive to enhance my professional learning in this way. This is because it pushes me to achieve more for my personal progression. Personal development and progression in my professional learning is something I will strive to achieve, especially when developing the quality of my planning and preparation of lessons. In the future, I will continue to work on developing my progression around the pedagogical principles as well as to consider wider reflections on what the best things we can do to prepare young people to cope and survive in an uncertain future (Donaldson, 2017). </w:t>
      </w:r>
    </w:p>
    <w:p w14:paraId="1E27A564" w14:textId="77777777" w:rsidR="00DB4841" w:rsidRDefault="00DB4841" w:rsidP="00842DAF">
      <w:pPr>
        <w:pStyle w:val="NormalWeb"/>
        <w:shd w:val="clear" w:color="auto" w:fill="FFFFFF"/>
        <w:spacing w:before="0" w:beforeAutospacing="0" w:after="240" w:afterAutospacing="0" w:line="360" w:lineRule="auto"/>
        <w:rPr>
          <w:color w:val="000000"/>
          <w:sz w:val="36"/>
          <w:szCs w:val="36"/>
        </w:rPr>
      </w:pPr>
    </w:p>
    <w:p w14:paraId="72009EA1" w14:textId="77777777" w:rsidR="00DB4841" w:rsidRDefault="00DB4841" w:rsidP="00DB4841">
      <w:pPr>
        <w:pStyle w:val="NormalWeb"/>
        <w:shd w:val="clear" w:color="auto" w:fill="FFFFFF"/>
        <w:spacing w:before="0" w:beforeAutospacing="0" w:after="240" w:afterAutospacing="0" w:line="540" w:lineRule="atLeast"/>
        <w:rPr>
          <w:color w:val="000000"/>
          <w:sz w:val="36"/>
          <w:szCs w:val="36"/>
        </w:rPr>
      </w:pPr>
    </w:p>
    <w:p w14:paraId="1CD27443" w14:textId="77777777" w:rsidR="00DB4841" w:rsidRDefault="00DB4841" w:rsidP="00DB4841">
      <w:pPr>
        <w:pStyle w:val="NormalWeb"/>
        <w:shd w:val="clear" w:color="auto" w:fill="FFFFFF"/>
        <w:spacing w:before="0" w:beforeAutospacing="0" w:after="240" w:afterAutospacing="0" w:line="540" w:lineRule="atLeast"/>
        <w:rPr>
          <w:color w:val="000000"/>
          <w:sz w:val="36"/>
          <w:szCs w:val="36"/>
        </w:rPr>
      </w:pPr>
    </w:p>
    <w:p w14:paraId="50C2E5DC" w14:textId="77777777" w:rsidR="00DB4841" w:rsidRDefault="00DB4841" w:rsidP="00DB4841">
      <w:pPr>
        <w:pStyle w:val="NormalWeb"/>
        <w:shd w:val="clear" w:color="auto" w:fill="FFFFFF"/>
        <w:spacing w:before="0" w:beforeAutospacing="0" w:after="240" w:afterAutospacing="0" w:line="540" w:lineRule="atLeast"/>
        <w:rPr>
          <w:color w:val="000000"/>
          <w:sz w:val="36"/>
          <w:szCs w:val="36"/>
        </w:rPr>
      </w:pPr>
    </w:p>
    <w:p w14:paraId="5FF9199D" w14:textId="77777777" w:rsidR="00DB4841" w:rsidRDefault="00DB4841" w:rsidP="00DB4841">
      <w:pPr>
        <w:pStyle w:val="NormalWeb"/>
        <w:shd w:val="clear" w:color="auto" w:fill="FFFFFF"/>
        <w:spacing w:before="0" w:beforeAutospacing="0" w:after="240" w:afterAutospacing="0" w:line="540" w:lineRule="atLeast"/>
        <w:rPr>
          <w:color w:val="000000"/>
          <w:sz w:val="36"/>
          <w:szCs w:val="36"/>
        </w:rPr>
      </w:pPr>
    </w:p>
    <w:p w14:paraId="72587D11" w14:textId="77777777" w:rsidR="00DB4841" w:rsidRDefault="00DB4841" w:rsidP="00DB4841">
      <w:pPr>
        <w:pStyle w:val="NormalWeb"/>
        <w:shd w:val="clear" w:color="auto" w:fill="FFFFFF"/>
        <w:spacing w:before="0" w:beforeAutospacing="0" w:after="240" w:afterAutospacing="0" w:line="540" w:lineRule="atLeast"/>
        <w:rPr>
          <w:color w:val="000000"/>
          <w:sz w:val="36"/>
          <w:szCs w:val="36"/>
        </w:rPr>
      </w:pPr>
    </w:p>
    <w:p w14:paraId="47C2D7A2" w14:textId="77777777" w:rsidR="00DB4841" w:rsidRDefault="00DB4841" w:rsidP="00DB4841">
      <w:pPr>
        <w:pStyle w:val="NormalWeb"/>
        <w:shd w:val="clear" w:color="auto" w:fill="FFFFFF"/>
        <w:spacing w:before="0" w:beforeAutospacing="0" w:after="240" w:afterAutospacing="0" w:line="540" w:lineRule="atLeast"/>
        <w:rPr>
          <w:color w:val="000000"/>
          <w:sz w:val="36"/>
          <w:szCs w:val="36"/>
        </w:rPr>
      </w:pPr>
    </w:p>
    <w:p w14:paraId="79712D45" w14:textId="77777777" w:rsidR="008959D8" w:rsidRDefault="008959D8" w:rsidP="00DB4841">
      <w:pPr>
        <w:pStyle w:val="NormalWeb"/>
        <w:shd w:val="clear" w:color="auto" w:fill="FFFFFF"/>
        <w:spacing w:before="0" w:beforeAutospacing="0" w:after="240" w:afterAutospacing="0" w:line="540" w:lineRule="atLeast"/>
        <w:rPr>
          <w:color w:val="000000"/>
          <w:sz w:val="36"/>
          <w:szCs w:val="36"/>
        </w:rPr>
      </w:pPr>
    </w:p>
    <w:p w14:paraId="0E3F5737" w14:textId="51CB25AD" w:rsidR="00DB4841" w:rsidRPr="00DB4841" w:rsidRDefault="00DB4841" w:rsidP="00DB4841">
      <w:pPr>
        <w:pStyle w:val="NormalWeb"/>
        <w:shd w:val="clear" w:color="auto" w:fill="FFFFFF"/>
        <w:spacing w:before="0" w:beforeAutospacing="0" w:after="240" w:afterAutospacing="0" w:line="540" w:lineRule="atLeast"/>
        <w:rPr>
          <w:b/>
          <w:bCs/>
          <w:color w:val="000000"/>
          <w:sz w:val="36"/>
          <w:szCs w:val="36"/>
          <w:u w:val="single"/>
        </w:rPr>
      </w:pPr>
      <w:r w:rsidRPr="00DB4841">
        <w:rPr>
          <w:b/>
          <w:bCs/>
          <w:color w:val="000000"/>
          <w:sz w:val="36"/>
          <w:szCs w:val="36"/>
          <w:u w:val="single"/>
        </w:rPr>
        <w:lastRenderedPageBreak/>
        <w:t>Reference list</w:t>
      </w:r>
    </w:p>
    <w:p w14:paraId="2F019333"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Andrade, H.L. (2019). A Critical Review of Research on Student Self-Assessment.</w:t>
      </w:r>
      <w:r>
        <w:rPr>
          <w:rStyle w:val="apple-converted-space"/>
          <w:color w:val="000000"/>
        </w:rPr>
        <w:t> </w:t>
      </w:r>
      <w:r>
        <w:rPr>
          <w:i/>
          <w:iCs/>
          <w:color w:val="000000"/>
        </w:rPr>
        <w:t>Frontiers in Education</w:t>
      </w:r>
      <w:r>
        <w:rPr>
          <w:color w:val="000000"/>
        </w:rPr>
        <w:t xml:space="preserve">, [online] 4(87), pp.1–13. </w:t>
      </w:r>
      <w:proofErr w:type="gramStart"/>
      <w:r>
        <w:rPr>
          <w:color w:val="000000"/>
        </w:rPr>
        <w:t>doi:https://doi.org/10.3389/feduc.2019.00087</w:t>
      </w:r>
      <w:proofErr w:type="gramEnd"/>
      <w:r>
        <w:rPr>
          <w:color w:val="000000"/>
        </w:rPr>
        <w:t>.</w:t>
      </w:r>
    </w:p>
    <w:p w14:paraId="6A78EA89"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Bandura, A. (1977).</w:t>
      </w:r>
      <w:r>
        <w:rPr>
          <w:rStyle w:val="apple-converted-space"/>
          <w:color w:val="000000"/>
        </w:rPr>
        <w:t> </w:t>
      </w:r>
      <w:r>
        <w:rPr>
          <w:i/>
          <w:iCs/>
          <w:color w:val="000000"/>
        </w:rPr>
        <w:t>Social learning theory</w:t>
      </w:r>
      <w:r>
        <w:rPr>
          <w:color w:val="000000"/>
        </w:rPr>
        <w:t>. Englewood Cliffs, N.J. Prentice-Hall.</w:t>
      </w:r>
    </w:p>
    <w:p w14:paraId="3BCA6FE6"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 xml:space="preserve">Bandura, </w:t>
      </w:r>
      <w:proofErr w:type="gramStart"/>
      <w:r>
        <w:rPr>
          <w:color w:val="000000"/>
        </w:rPr>
        <w:t>A.</w:t>
      </w:r>
      <w:proofErr w:type="gramEnd"/>
      <w:r>
        <w:rPr>
          <w:color w:val="000000"/>
        </w:rPr>
        <w:t xml:space="preserve"> and Walters, R.H. (1964).</w:t>
      </w:r>
      <w:r>
        <w:rPr>
          <w:rStyle w:val="apple-converted-space"/>
          <w:color w:val="000000"/>
        </w:rPr>
        <w:t> </w:t>
      </w:r>
      <w:r>
        <w:rPr>
          <w:i/>
          <w:iCs/>
          <w:color w:val="000000"/>
        </w:rPr>
        <w:t>Social learning and personality development, Albert Bandura, Richard H. Walters.</w:t>
      </w:r>
      <w:r>
        <w:rPr>
          <w:rStyle w:val="apple-converted-space"/>
          <w:color w:val="000000"/>
        </w:rPr>
        <w:t> </w:t>
      </w:r>
      <w:r>
        <w:rPr>
          <w:color w:val="000000"/>
        </w:rPr>
        <w:t>New York: Holt.</w:t>
      </w:r>
    </w:p>
    <w:p w14:paraId="60339422" w14:textId="482EE318" w:rsidR="00DB4841" w:rsidRDefault="00DB4841" w:rsidP="00DB4841">
      <w:pPr>
        <w:pStyle w:val="NormalWeb"/>
        <w:shd w:val="clear" w:color="auto" w:fill="FFFFFF"/>
        <w:spacing w:before="0" w:beforeAutospacing="0" w:after="240" w:afterAutospacing="0" w:line="360" w:lineRule="atLeast"/>
        <w:rPr>
          <w:color w:val="000000"/>
        </w:rPr>
      </w:pPr>
      <w:r>
        <w:rPr>
          <w:color w:val="000000"/>
        </w:rPr>
        <w:t>Bennett, N., Wood, E. and Rogers, S. (1997).</w:t>
      </w:r>
      <w:r>
        <w:rPr>
          <w:rStyle w:val="apple-converted-space"/>
          <w:color w:val="000000"/>
        </w:rPr>
        <w:t> </w:t>
      </w:r>
      <w:r>
        <w:rPr>
          <w:i/>
          <w:iCs/>
          <w:color w:val="000000"/>
        </w:rPr>
        <w:t xml:space="preserve">Teaching through </w:t>
      </w:r>
      <w:r>
        <w:rPr>
          <w:i/>
          <w:iCs/>
          <w:color w:val="000000"/>
        </w:rPr>
        <w:t>play:</w:t>
      </w:r>
      <w:r>
        <w:rPr>
          <w:i/>
          <w:iCs/>
          <w:color w:val="000000"/>
        </w:rPr>
        <w:t xml:space="preserve"> teachers’ thinking and classroom practice</w:t>
      </w:r>
      <w:r>
        <w:rPr>
          <w:color w:val="000000"/>
        </w:rPr>
        <w:t xml:space="preserve">. </w:t>
      </w:r>
      <w:r>
        <w:rPr>
          <w:color w:val="000000"/>
        </w:rPr>
        <w:t>Buckingham;</w:t>
      </w:r>
      <w:r>
        <w:rPr>
          <w:color w:val="000000"/>
        </w:rPr>
        <w:t xml:space="preserve"> Philadelphia: Open University Press.</w:t>
      </w:r>
    </w:p>
    <w:p w14:paraId="35C6C46E"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Cambridge Assessment International Education (2011).</w:t>
      </w:r>
      <w:r>
        <w:rPr>
          <w:rStyle w:val="apple-converted-space"/>
          <w:color w:val="000000"/>
        </w:rPr>
        <w:t> </w:t>
      </w:r>
      <w:r>
        <w:rPr>
          <w:i/>
          <w:iCs/>
          <w:color w:val="000000"/>
        </w:rPr>
        <w:t>Getting Started with Assessment for Learning</w:t>
      </w:r>
      <w:r>
        <w:rPr>
          <w:color w:val="000000"/>
        </w:rPr>
        <w:t>. [online] Cambridge-community.org.uk. Available at: https://cambridge-community.org.uk/professional-development/gswafl/index.html.</w:t>
      </w:r>
    </w:p>
    <w:p w14:paraId="256A6EE7" w14:textId="24DF4DE7" w:rsidR="00DB4841" w:rsidRDefault="00DB4841" w:rsidP="00DB4841">
      <w:pPr>
        <w:pStyle w:val="NormalWeb"/>
        <w:shd w:val="clear" w:color="auto" w:fill="FFFFFF"/>
        <w:spacing w:before="0" w:beforeAutospacing="0" w:after="240" w:afterAutospacing="0" w:line="360" w:lineRule="atLeast"/>
        <w:rPr>
          <w:color w:val="000000"/>
        </w:rPr>
      </w:pPr>
      <w:r>
        <w:rPr>
          <w:color w:val="000000"/>
        </w:rPr>
        <w:t>Cohen, D. (2018).</w:t>
      </w:r>
      <w:r>
        <w:rPr>
          <w:rStyle w:val="apple-converted-space"/>
          <w:color w:val="000000"/>
        </w:rPr>
        <w:t> </w:t>
      </w:r>
      <w:r>
        <w:rPr>
          <w:i/>
          <w:iCs/>
          <w:color w:val="000000"/>
        </w:rPr>
        <w:t>How the child’s mind develops</w:t>
      </w:r>
      <w:r>
        <w:rPr>
          <w:color w:val="000000"/>
        </w:rPr>
        <w:t xml:space="preserve">. Abingdon, </w:t>
      </w:r>
      <w:proofErr w:type="gramStart"/>
      <w:r>
        <w:rPr>
          <w:color w:val="000000"/>
        </w:rPr>
        <w:t>Oxon ;</w:t>
      </w:r>
      <w:proofErr w:type="gramEnd"/>
      <w:r>
        <w:rPr>
          <w:color w:val="000000"/>
        </w:rPr>
        <w:t xml:space="preserve"> New York, Ny: Routledge, An Imprint </w:t>
      </w:r>
      <w:r>
        <w:rPr>
          <w:color w:val="000000"/>
        </w:rPr>
        <w:t>of</w:t>
      </w:r>
      <w:r>
        <w:rPr>
          <w:color w:val="000000"/>
        </w:rPr>
        <w:t xml:space="preserve"> Taylor &amp; Francis Group.</w:t>
      </w:r>
    </w:p>
    <w:p w14:paraId="7F2D5D92" w14:textId="073E3255" w:rsidR="00DB4841" w:rsidRDefault="00DB4841" w:rsidP="00DB4841">
      <w:pPr>
        <w:pStyle w:val="NormalWeb"/>
        <w:shd w:val="clear" w:color="auto" w:fill="FFFFFF"/>
        <w:spacing w:before="0" w:beforeAutospacing="0" w:after="240" w:afterAutospacing="0" w:line="360" w:lineRule="atLeast"/>
        <w:rPr>
          <w:color w:val="000000"/>
        </w:rPr>
      </w:pPr>
      <w:r>
        <w:rPr>
          <w:color w:val="000000"/>
        </w:rPr>
        <w:t>Daniels, H. (2016).</w:t>
      </w:r>
      <w:r>
        <w:rPr>
          <w:rStyle w:val="apple-converted-space"/>
          <w:color w:val="000000"/>
        </w:rPr>
        <w:t> </w:t>
      </w:r>
      <w:r>
        <w:rPr>
          <w:i/>
          <w:iCs/>
          <w:color w:val="000000"/>
        </w:rPr>
        <w:t>Vygotsky and pedagogy</w:t>
      </w:r>
      <w:r>
        <w:rPr>
          <w:color w:val="000000"/>
        </w:rPr>
        <w:t xml:space="preserve">. Abingdon, </w:t>
      </w:r>
      <w:r>
        <w:rPr>
          <w:color w:val="000000"/>
        </w:rPr>
        <w:t>Oxon;</w:t>
      </w:r>
      <w:r>
        <w:rPr>
          <w:color w:val="000000"/>
        </w:rPr>
        <w:t xml:space="preserve"> New York, Ny: Routledge.</w:t>
      </w:r>
    </w:p>
    <w:p w14:paraId="0A6B9916"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Dewey, J. (2007).</w:t>
      </w:r>
      <w:r>
        <w:rPr>
          <w:rStyle w:val="apple-converted-space"/>
          <w:color w:val="000000"/>
        </w:rPr>
        <w:t> </w:t>
      </w:r>
      <w:r>
        <w:rPr>
          <w:i/>
          <w:iCs/>
          <w:color w:val="000000"/>
        </w:rPr>
        <w:t>Experience And Education.</w:t>
      </w:r>
      <w:r>
        <w:rPr>
          <w:rStyle w:val="apple-converted-space"/>
          <w:color w:val="000000"/>
        </w:rPr>
        <w:t> </w:t>
      </w:r>
      <w:r>
        <w:rPr>
          <w:color w:val="000000"/>
        </w:rPr>
        <w:t>Riverside: Free Press.</w:t>
      </w:r>
    </w:p>
    <w:p w14:paraId="5CDC9BF6"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Dewey, J. (2015).</w:t>
      </w:r>
      <w:r>
        <w:rPr>
          <w:rStyle w:val="apple-converted-space"/>
          <w:color w:val="000000"/>
        </w:rPr>
        <w:t> </w:t>
      </w:r>
      <w:r>
        <w:rPr>
          <w:i/>
          <w:iCs/>
          <w:color w:val="000000"/>
        </w:rPr>
        <w:t>John Dewey on education</w:t>
      </w:r>
      <w:r>
        <w:rPr>
          <w:color w:val="000000"/>
        </w:rPr>
        <w:t xml:space="preserve">. New Delhi: Life Span Publishers </w:t>
      </w:r>
      <w:proofErr w:type="gramStart"/>
      <w:r>
        <w:rPr>
          <w:color w:val="000000"/>
        </w:rPr>
        <w:t>And</w:t>
      </w:r>
      <w:proofErr w:type="gramEnd"/>
      <w:r>
        <w:rPr>
          <w:color w:val="000000"/>
        </w:rPr>
        <w:t xml:space="preserve"> Distributors.</w:t>
      </w:r>
    </w:p>
    <w:p w14:paraId="16580456"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Driessen, G., Smit, F. and Sleegers, P. (2005). Parental Involvement and Educational Achievement.</w:t>
      </w:r>
      <w:r>
        <w:rPr>
          <w:rStyle w:val="apple-converted-space"/>
          <w:color w:val="000000"/>
        </w:rPr>
        <w:t> </w:t>
      </w:r>
      <w:r>
        <w:rPr>
          <w:i/>
          <w:iCs/>
          <w:color w:val="000000"/>
        </w:rPr>
        <w:t>British Educational Research Journal</w:t>
      </w:r>
      <w:r>
        <w:rPr>
          <w:color w:val="000000"/>
        </w:rPr>
        <w:t xml:space="preserve">, [online] 31(4), pp.509–532. </w:t>
      </w:r>
      <w:proofErr w:type="gramStart"/>
      <w:r>
        <w:rPr>
          <w:color w:val="000000"/>
        </w:rPr>
        <w:t>doi:https://doi.org/10.1080/01411920500148713</w:t>
      </w:r>
      <w:proofErr w:type="gramEnd"/>
      <w:r>
        <w:rPr>
          <w:color w:val="000000"/>
        </w:rPr>
        <w:t>.</w:t>
      </w:r>
    </w:p>
    <w:p w14:paraId="49AB1429"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Government, W. (2018).</w:t>
      </w:r>
      <w:r>
        <w:rPr>
          <w:rStyle w:val="apple-converted-space"/>
          <w:color w:val="000000"/>
        </w:rPr>
        <w:t> </w:t>
      </w:r>
      <w:r>
        <w:rPr>
          <w:i/>
          <w:iCs/>
          <w:color w:val="000000"/>
        </w:rPr>
        <w:t>Digital Competence Framework Your questions answered</w:t>
      </w:r>
      <w:r>
        <w:rPr>
          <w:color w:val="000000"/>
        </w:rPr>
        <w:t>. [online] Available at: https://hwb.gov.wales/storage/85f69bca-0134-426d-bff1-c46b4c1d067b/digital-competence-framework-your.</w:t>
      </w:r>
    </w:p>
    <w:p w14:paraId="43313638" w14:textId="6FA84A9E" w:rsidR="00DB4841" w:rsidRDefault="00DB4841" w:rsidP="00DB4841">
      <w:pPr>
        <w:pStyle w:val="NormalWeb"/>
        <w:shd w:val="clear" w:color="auto" w:fill="FFFFFF"/>
        <w:spacing w:before="0" w:beforeAutospacing="0" w:after="240" w:afterAutospacing="0" w:line="360" w:lineRule="atLeast"/>
        <w:rPr>
          <w:color w:val="000000"/>
        </w:rPr>
      </w:pPr>
      <w:r>
        <w:rPr>
          <w:color w:val="000000"/>
        </w:rPr>
        <w:t>Gulikers, J.T.M., Bastiaens, T.J. and Martens, R.L. (2005). The surplus value of an authentic learning environment.</w:t>
      </w:r>
      <w:r>
        <w:rPr>
          <w:rStyle w:val="apple-converted-space"/>
          <w:color w:val="000000"/>
        </w:rPr>
        <w:t> </w:t>
      </w:r>
      <w:r>
        <w:rPr>
          <w:i/>
          <w:iCs/>
          <w:color w:val="000000"/>
        </w:rPr>
        <w:t xml:space="preserve">Computers in Human </w:t>
      </w:r>
      <w:r>
        <w:rPr>
          <w:i/>
          <w:iCs/>
          <w:color w:val="000000"/>
        </w:rPr>
        <w:t>Behaviour</w:t>
      </w:r>
      <w:r>
        <w:rPr>
          <w:color w:val="000000"/>
        </w:rPr>
        <w:t xml:space="preserve">, 21(3), pp.509–521. </w:t>
      </w:r>
      <w:proofErr w:type="gramStart"/>
      <w:r>
        <w:rPr>
          <w:color w:val="000000"/>
        </w:rPr>
        <w:t>doi:https://doi.org/10.1016/j.chb.2004.10.028</w:t>
      </w:r>
      <w:proofErr w:type="gramEnd"/>
      <w:r>
        <w:rPr>
          <w:color w:val="000000"/>
        </w:rPr>
        <w:t>.</w:t>
      </w:r>
    </w:p>
    <w:p w14:paraId="51F9ED91" w14:textId="0C5A7050" w:rsidR="00DB4841" w:rsidRDefault="00DB4841" w:rsidP="00DB4841">
      <w:pPr>
        <w:pStyle w:val="NormalWeb"/>
        <w:shd w:val="clear" w:color="auto" w:fill="FFFFFF"/>
        <w:spacing w:before="0" w:beforeAutospacing="0" w:after="240" w:afterAutospacing="0" w:line="360" w:lineRule="atLeast"/>
        <w:rPr>
          <w:color w:val="000000"/>
        </w:rPr>
      </w:pPr>
      <w:r>
        <w:rPr>
          <w:color w:val="000000"/>
        </w:rPr>
        <w:t>Kashefpakdel, D</w:t>
      </w:r>
      <w:r>
        <w:rPr>
          <w:color w:val="000000"/>
        </w:rPr>
        <w:t>r E</w:t>
      </w:r>
      <w:r>
        <w:rPr>
          <w:color w:val="000000"/>
        </w:rPr>
        <w:t>. (2019).</w:t>
      </w:r>
      <w:r>
        <w:rPr>
          <w:rStyle w:val="apple-converted-space"/>
          <w:color w:val="000000"/>
        </w:rPr>
        <w:t> </w:t>
      </w:r>
      <w:r>
        <w:rPr>
          <w:i/>
          <w:iCs/>
          <w:color w:val="000000"/>
        </w:rPr>
        <w:t>Career related learning in Primary</w:t>
      </w:r>
      <w:r>
        <w:rPr>
          <w:color w:val="000000"/>
        </w:rPr>
        <w:t>.</w:t>
      </w:r>
      <w:r>
        <w:rPr>
          <w:rStyle w:val="apple-converted-space"/>
          <w:color w:val="000000"/>
        </w:rPr>
        <w:t> </w:t>
      </w:r>
      <w:r>
        <w:rPr>
          <w:i/>
          <w:iCs/>
          <w:color w:val="000000"/>
        </w:rPr>
        <w:t>https://cica.org.au/wp-content/uploads/Education-and-Employers-Teach-First-AKO-Foundation-The-role-of-primary-teachers-and-schools-in-preparing-children-for-the-future-January-2019.pdf</w:t>
      </w:r>
      <w:r>
        <w:rPr>
          <w:color w:val="000000"/>
        </w:rPr>
        <w:t>.</w:t>
      </w:r>
    </w:p>
    <w:p w14:paraId="7C1BAABD" w14:textId="77777777" w:rsidR="00DB4841" w:rsidRDefault="00DB4841" w:rsidP="00DB4841">
      <w:pPr>
        <w:pStyle w:val="NormalWeb"/>
        <w:shd w:val="clear" w:color="auto" w:fill="FFFFFF"/>
        <w:spacing w:before="0" w:beforeAutospacing="0" w:after="240" w:afterAutospacing="0" w:line="360" w:lineRule="atLeast"/>
        <w:rPr>
          <w:color w:val="000000"/>
        </w:rPr>
      </w:pPr>
      <w:proofErr w:type="spellStart"/>
      <w:r>
        <w:rPr>
          <w:color w:val="000000"/>
        </w:rPr>
        <w:lastRenderedPageBreak/>
        <w:t>LaVelle</w:t>
      </w:r>
      <w:proofErr w:type="spellEnd"/>
      <w:r>
        <w:rPr>
          <w:color w:val="000000"/>
        </w:rPr>
        <w:t xml:space="preserve">, J.M., Lovato, </w:t>
      </w:r>
      <w:proofErr w:type="gramStart"/>
      <w:r>
        <w:rPr>
          <w:color w:val="000000"/>
        </w:rPr>
        <w:t>C.</w:t>
      </w:r>
      <w:proofErr w:type="gramEnd"/>
      <w:r>
        <w:rPr>
          <w:color w:val="000000"/>
        </w:rPr>
        <w:t xml:space="preserve"> and Stephenson, C.L. (2020). Pedagogical considerations for the teaching of evaluation.</w:t>
      </w:r>
      <w:r>
        <w:rPr>
          <w:rStyle w:val="apple-converted-space"/>
          <w:color w:val="000000"/>
        </w:rPr>
        <w:t> </w:t>
      </w:r>
      <w:r>
        <w:rPr>
          <w:i/>
          <w:iCs/>
          <w:color w:val="000000"/>
        </w:rPr>
        <w:t>Evaluation and Program Planning</w:t>
      </w:r>
      <w:r>
        <w:rPr>
          <w:color w:val="000000"/>
        </w:rPr>
        <w:t xml:space="preserve">, 79, p.101786. </w:t>
      </w:r>
      <w:proofErr w:type="gramStart"/>
      <w:r>
        <w:rPr>
          <w:color w:val="000000"/>
        </w:rPr>
        <w:t>doi:https://doi.org/10.1016/j.evalprogplan.2020.101786</w:t>
      </w:r>
      <w:proofErr w:type="gramEnd"/>
      <w:r>
        <w:rPr>
          <w:color w:val="000000"/>
        </w:rPr>
        <w:t>.</w:t>
      </w:r>
    </w:p>
    <w:p w14:paraId="4C721769"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Lloyd, P. and Fernyhough, C. (1999).</w:t>
      </w:r>
      <w:r>
        <w:rPr>
          <w:rStyle w:val="apple-converted-space"/>
          <w:color w:val="000000"/>
        </w:rPr>
        <w:t> </w:t>
      </w:r>
      <w:r>
        <w:rPr>
          <w:i/>
          <w:iCs/>
          <w:color w:val="000000"/>
        </w:rPr>
        <w:t xml:space="preserve">Lev Vygotsky. Vol. </w:t>
      </w:r>
      <w:proofErr w:type="gramStart"/>
      <w:r>
        <w:rPr>
          <w:i/>
          <w:iCs/>
          <w:color w:val="000000"/>
        </w:rPr>
        <w:t>1 :</w:t>
      </w:r>
      <w:proofErr w:type="gramEnd"/>
      <w:r>
        <w:rPr>
          <w:i/>
          <w:iCs/>
          <w:color w:val="000000"/>
        </w:rPr>
        <w:t xml:space="preserve"> critical assessments</w:t>
      </w:r>
      <w:r>
        <w:rPr>
          <w:color w:val="000000"/>
        </w:rPr>
        <w:t>. London: Routledge.</w:t>
      </w:r>
    </w:p>
    <w:p w14:paraId="4FF8EFA2"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Lombardi Edited, M. and Oblinger, D. (2007).</w:t>
      </w:r>
      <w:r>
        <w:rPr>
          <w:rStyle w:val="apple-converted-space"/>
          <w:color w:val="000000"/>
        </w:rPr>
        <w:t> </w:t>
      </w:r>
      <w:r>
        <w:rPr>
          <w:i/>
          <w:iCs/>
          <w:color w:val="000000"/>
        </w:rPr>
        <w:t>Authentic Learning for the 21st Century: An Overview</w:t>
      </w:r>
      <w:r>
        <w:rPr>
          <w:color w:val="000000"/>
        </w:rPr>
        <w:t>. [online] Available at: http://alicechristie.org/classes/530/EduCause.pdf.</w:t>
      </w:r>
    </w:p>
    <w:p w14:paraId="1C0E078D"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Main, P. (n.d.).</w:t>
      </w:r>
      <w:r>
        <w:rPr>
          <w:rStyle w:val="apple-converted-space"/>
          <w:color w:val="000000"/>
        </w:rPr>
        <w:t> </w:t>
      </w:r>
      <w:r>
        <w:rPr>
          <w:i/>
          <w:iCs/>
          <w:color w:val="000000"/>
        </w:rPr>
        <w:t>Pedagogy for teaching: A classroom guide</w:t>
      </w:r>
      <w:r>
        <w:rPr>
          <w:color w:val="000000"/>
        </w:rPr>
        <w:t>. [online] www.structural-learning.com. Available at: https://www.structural-learning.com/post/pedagogy-for-teaching-a-classroom-guide.</w:t>
      </w:r>
    </w:p>
    <w:p w14:paraId="61445CB3"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 xml:space="preserve">Mallette, M.H. and Barone, D. (2014). Interesting Ways to Use iPads in the </w:t>
      </w:r>
      <w:proofErr w:type="gramStart"/>
      <w:r>
        <w:rPr>
          <w:color w:val="000000"/>
        </w:rPr>
        <w:t>Classroom</w:t>
      </w:r>
      <w:proofErr w:type="gramEnd"/>
      <w:r>
        <w:rPr>
          <w:color w:val="000000"/>
        </w:rPr>
        <w:t>.</w:t>
      </w:r>
      <w:r>
        <w:rPr>
          <w:rStyle w:val="apple-converted-space"/>
          <w:color w:val="000000"/>
        </w:rPr>
        <w:t> </w:t>
      </w:r>
      <w:r>
        <w:rPr>
          <w:i/>
          <w:iCs/>
          <w:color w:val="000000"/>
        </w:rPr>
        <w:t>The Reading Teacher</w:t>
      </w:r>
      <w:r>
        <w:rPr>
          <w:color w:val="000000"/>
        </w:rPr>
        <w:t xml:space="preserve">, 67(8), pp.621–625. </w:t>
      </w:r>
      <w:proofErr w:type="gramStart"/>
      <w:r>
        <w:rPr>
          <w:color w:val="000000"/>
        </w:rPr>
        <w:t>doi:https://doi.org/10.1002/trtr.1264</w:t>
      </w:r>
      <w:proofErr w:type="gramEnd"/>
      <w:r>
        <w:rPr>
          <w:color w:val="000000"/>
        </w:rPr>
        <w:t>.</w:t>
      </w:r>
    </w:p>
    <w:p w14:paraId="16A52CE0"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Mills, J. (2002).</w:t>
      </w:r>
      <w:r>
        <w:rPr>
          <w:rStyle w:val="apple-converted-space"/>
          <w:color w:val="000000"/>
        </w:rPr>
        <w:t> </w:t>
      </w:r>
      <w:r>
        <w:rPr>
          <w:i/>
          <w:iCs/>
          <w:color w:val="000000"/>
        </w:rPr>
        <w:t>A pedagogy of becoming</w:t>
      </w:r>
      <w:r>
        <w:rPr>
          <w:color w:val="000000"/>
        </w:rPr>
        <w:t xml:space="preserve">. </w:t>
      </w:r>
      <w:proofErr w:type="gramStart"/>
      <w:r>
        <w:rPr>
          <w:color w:val="000000"/>
        </w:rPr>
        <w:t>Amsterdam ;</w:t>
      </w:r>
      <w:proofErr w:type="gramEnd"/>
      <w:r>
        <w:rPr>
          <w:color w:val="000000"/>
        </w:rPr>
        <w:t xml:space="preserve"> New York, Ny: Rodopi.</w:t>
      </w:r>
    </w:p>
    <w:p w14:paraId="59B74BCA"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Mindfulness in Schools Project. (2019).</w:t>
      </w:r>
      <w:r>
        <w:rPr>
          <w:rStyle w:val="apple-converted-space"/>
          <w:color w:val="000000"/>
        </w:rPr>
        <w:t> </w:t>
      </w:r>
      <w:r>
        <w:rPr>
          <w:i/>
          <w:iCs/>
          <w:color w:val="000000"/>
        </w:rPr>
        <w:t>Mindfulness as part of the Curriculum for Wales 2022</w:t>
      </w:r>
      <w:r>
        <w:rPr>
          <w:color w:val="000000"/>
        </w:rPr>
        <w:t>. [online] Available at: https://mindfulnessinschools.org/mindfulness-as-part-of-the-curriculum-for-wales-2022/.</w:t>
      </w:r>
    </w:p>
    <w:p w14:paraId="67E369FC"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Neff, L. (2019).</w:t>
      </w:r>
      <w:r>
        <w:rPr>
          <w:rStyle w:val="apple-converted-space"/>
          <w:color w:val="000000"/>
        </w:rPr>
        <w:t> </w:t>
      </w:r>
      <w:r>
        <w:rPr>
          <w:i/>
          <w:iCs/>
          <w:color w:val="000000"/>
        </w:rPr>
        <w:t>Lev Vygotsky and Social Learning Theories</w:t>
      </w:r>
      <w:r>
        <w:rPr>
          <w:color w:val="000000"/>
        </w:rPr>
        <w:t>. [online] Nau.edu. Available at: https://jan.ucc.nau.edu/lsn/educator/edtech/learningtheorieswebsite/vygotsky.htm.</w:t>
      </w:r>
    </w:p>
    <w:p w14:paraId="1A65CE14"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OFSTED (2020).</w:t>
      </w:r>
      <w:r>
        <w:rPr>
          <w:rStyle w:val="apple-converted-space"/>
          <w:color w:val="000000"/>
        </w:rPr>
        <w:t> </w:t>
      </w:r>
      <w:r>
        <w:rPr>
          <w:i/>
          <w:iCs/>
          <w:color w:val="000000"/>
        </w:rPr>
        <w:t>Making the cut: how schools respond when they are under financial pressure</w:t>
      </w:r>
      <w:r>
        <w:rPr>
          <w:color w:val="000000"/>
        </w:rPr>
        <w:t>. pp.11–25.</w:t>
      </w:r>
    </w:p>
    <w:p w14:paraId="4E9F8D76"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Piaget, J. (1923).</w:t>
      </w:r>
      <w:r>
        <w:rPr>
          <w:rStyle w:val="apple-converted-space"/>
          <w:color w:val="000000"/>
        </w:rPr>
        <w:t> </w:t>
      </w:r>
      <w:r>
        <w:rPr>
          <w:i/>
          <w:iCs/>
          <w:color w:val="000000"/>
        </w:rPr>
        <w:t>Language and thought of the child.</w:t>
      </w:r>
      <w:r>
        <w:rPr>
          <w:rStyle w:val="apple-converted-space"/>
          <w:color w:val="000000"/>
        </w:rPr>
        <w:t> </w:t>
      </w:r>
      <w:r>
        <w:rPr>
          <w:color w:val="000000"/>
        </w:rPr>
        <w:t>Routledge.</w:t>
      </w:r>
    </w:p>
    <w:p w14:paraId="5A02CA8C"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 xml:space="preserve">Piaget, J., </w:t>
      </w:r>
      <w:proofErr w:type="spellStart"/>
      <w:r>
        <w:rPr>
          <w:color w:val="000000"/>
        </w:rPr>
        <w:t>Bärbel</w:t>
      </w:r>
      <w:proofErr w:type="spellEnd"/>
      <w:r>
        <w:rPr>
          <w:color w:val="000000"/>
        </w:rPr>
        <w:t xml:space="preserve"> </w:t>
      </w:r>
      <w:proofErr w:type="spellStart"/>
      <w:r>
        <w:rPr>
          <w:color w:val="000000"/>
        </w:rPr>
        <w:t>Inhelder</w:t>
      </w:r>
      <w:proofErr w:type="spellEnd"/>
      <w:r>
        <w:rPr>
          <w:color w:val="000000"/>
        </w:rPr>
        <w:t xml:space="preserve"> and Weaver, H. (2000).</w:t>
      </w:r>
      <w:r>
        <w:rPr>
          <w:rStyle w:val="apple-converted-space"/>
          <w:color w:val="000000"/>
        </w:rPr>
        <w:t> </w:t>
      </w:r>
      <w:r>
        <w:rPr>
          <w:i/>
          <w:iCs/>
          <w:color w:val="000000"/>
        </w:rPr>
        <w:t>Psychology of the Child.</w:t>
      </w:r>
      <w:r>
        <w:rPr>
          <w:rStyle w:val="apple-converted-space"/>
          <w:color w:val="000000"/>
        </w:rPr>
        <w:t> </w:t>
      </w:r>
      <w:r>
        <w:rPr>
          <w:color w:val="000000"/>
        </w:rPr>
        <w:t>Basic.</w:t>
      </w:r>
    </w:p>
    <w:p w14:paraId="38213F2B"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Rogers, S. (2010).</w:t>
      </w:r>
      <w:r>
        <w:rPr>
          <w:rStyle w:val="apple-converted-space"/>
          <w:color w:val="000000"/>
        </w:rPr>
        <w:t> </w:t>
      </w:r>
      <w:r>
        <w:rPr>
          <w:i/>
          <w:iCs/>
          <w:color w:val="000000"/>
        </w:rPr>
        <w:t xml:space="preserve">Rethinking play and pedagogy in early childhood </w:t>
      </w:r>
      <w:proofErr w:type="gramStart"/>
      <w:r>
        <w:rPr>
          <w:i/>
          <w:iCs/>
          <w:color w:val="000000"/>
        </w:rPr>
        <w:t>education :</w:t>
      </w:r>
      <w:proofErr w:type="gramEnd"/>
      <w:r>
        <w:rPr>
          <w:i/>
          <w:iCs/>
          <w:color w:val="000000"/>
        </w:rPr>
        <w:t xml:space="preserve"> concepts, contexts and cultures</w:t>
      </w:r>
      <w:r>
        <w:rPr>
          <w:color w:val="000000"/>
        </w:rPr>
        <w:t xml:space="preserve">. </w:t>
      </w:r>
      <w:proofErr w:type="gramStart"/>
      <w:r>
        <w:rPr>
          <w:color w:val="000000"/>
        </w:rPr>
        <w:t>London ;</w:t>
      </w:r>
      <w:proofErr w:type="gramEnd"/>
      <w:r>
        <w:rPr>
          <w:color w:val="000000"/>
        </w:rPr>
        <w:t xml:space="preserve"> New York: Routledge.</w:t>
      </w:r>
    </w:p>
    <w:p w14:paraId="6E811415"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Sawyer, R.K. (2006). Educating for innovation.</w:t>
      </w:r>
      <w:r>
        <w:rPr>
          <w:rStyle w:val="apple-converted-space"/>
          <w:color w:val="000000"/>
        </w:rPr>
        <w:t> </w:t>
      </w:r>
      <w:r>
        <w:rPr>
          <w:i/>
          <w:iCs/>
          <w:color w:val="000000"/>
        </w:rPr>
        <w:t>Thinking Skills and Creativity</w:t>
      </w:r>
      <w:r>
        <w:rPr>
          <w:color w:val="000000"/>
        </w:rPr>
        <w:t xml:space="preserve">, 1(1), pp.41–48. </w:t>
      </w:r>
      <w:proofErr w:type="gramStart"/>
      <w:r>
        <w:rPr>
          <w:color w:val="000000"/>
        </w:rPr>
        <w:t>doi:https://doi.org/10.1016/j.tsc.2005.08.001</w:t>
      </w:r>
      <w:proofErr w:type="gramEnd"/>
      <w:r>
        <w:rPr>
          <w:color w:val="000000"/>
        </w:rPr>
        <w:t>.</w:t>
      </w:r>
    </w:p>
    <w:p w14:paraId="68EC640F"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Sellars, M. (2018).</w:t>
      </w:r>
      <w:r>
        <w:rPr>
          <w:rStyle w:val="apple-converted-space"/>
          <w:color w:val="000000"/>
        </w:rPr>
        <w:t> </w:t>
      </w:r>
      <w:r>
        <w:rPr>
          <w:i/>
          <w:iCs/>
          <w:color w:val="000000"/>
        </w:rPr>
        <w:t xml:space="preserve">Numeracy in Authentic </w:t>
      </w:r>
      <w:proofErr w:type="gramStart"/>
      <w:r>
        <w:rPr>
          <w:i/>
          <w:iCs/>
          <w:color w:val="000000"/>
        </w:rPr>
        <w:t>Contexts :</w:t>
      </w:r>
      <w:proofErr w:type="gramEnd"/>
      <w:r>
        <w:rPr>
          <w:i/>
          <w:iCs/>
          <w:color w:val="000000"/>
        </w:rPr>
        <w:t xml:space="preserve"> Making Meaning Across the Curriculum</w:t>
      </w:r>
      <w:r>
        <w:rPr>
          <w:color w:val="000000"/>
        </w:rPr>
        <w:t>. Singapore: Springer Singapore.</w:t>
      </w:r>
    </w:p>
    <w:p w14:paraId="4FC78C28"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lastRenderedPageBreak/>
        <w:t>UNICEF (2018).</w:t>
      </w:r>
      <w:r>
        <w:rPr>
          <w:rStyle w:val="apple-converted-space"/>
          <w:color w:val="000000"/>
        </w:rPr>
        <w:t> </w:t>
      </w:r>
      <w:r>
        <w:rPr>
          <w:i/>
          <w:iCs/>
          <w:color w:val="000000"/>
        </w:rPr>
        <w:t>Learning through play: Strengthening learning through play in early childhood education programmes</w:t>
      </w:r>
      <w:r>
        <w:rPr>
          <w:color w:val="000000"/>
        </w:rPr>
        <w:t>. [online] Available at: https://www.unicef.org/sites/default/files/2018-12/UNICEF-Lego-Foundation-Learning-through-Play.pdf [Accessed 1 Apr. 2023].</w:t>
      </w:r>
    </w:p>
    <w:p w14:paraId="3558CC46" w14:textId="77777777" w:rsidR="00DB4841" w:rsidRDefault="00DB4841" w:rsidP="00DB4841">
      <w:pPr>
        <w:pStyle w:val="NormalWeb"/>
        <w:shd w:val="clear" w:color="auto" w:fill="FFFFFF"/>
        <w:spacing w:before="0" w:beforeAutospacing="0" w:after="240" w:afterAutospacing="0" w:line="360" w:lineRule="atLeast"/>
        <w:rPr>
          <w:color w:val="000000"/>
        </w:rPr>
      </w:pPr>
      <w:proofErr w:type="spellStart"/>
      <w:r>
        <w:rPr>
          <w:color w:val="000000"/>
        </w:rPr>
        <w:t>Vygotskiĭ</w:t>
      </w:r>
      <w:proofErr w:type="spellEnd"/>
      <w:r>
        <w:rPr>
          <w:color w:val="000000"/>
        </w:rPr>
        <w:t>, L.S., Knox, J.E. and Stevens, C.B. (1993).</w:t>
      </w:r>
      <w:r>
        <w:rPr>
          <w:rStyle w:val="apple-converted-space"/>
          <w:color w:val="000000"/>
        </w:rPr>
        <w:t> </w:t>
      </w:r>
      <w:r>
        <w:rPr>
          <w:i/>
          <w:iCs/>
          <w:color w:val="000000"/>
        </w:rPr>
        <w:t xml:space="preserve">The fundamentals of </w:t>
      </w:r>
      <w:proofErr w:type="spellStart"/>
      <w:proofErr w:type="gramStart"/>
      <w:r>
        <w:rPr>
          <w:i/>
          <w:iCs/>
          <w:color w:val="000000"/>
        </w:rPr>
        <w:t>defectology</w:t>
      </w:r>
      <w:proofErr w:type="spellEnd"/>
      <w:r>
        <w:rPr>
          <w:i/>
          <w:iCs/>
          <w:color w:val="000000"/>
        </w:rPr>
        <w:t xml:space="preserve"> :</w:t>
      </w:r>
      <w:proofErr w:type="gramEnd"/>
      <w:r>
        <w:rPr>
          <w:i/>
          <w:iCs/>
          <w:color w:val="000000"/>
        </w:rPr>
        <w:t xml:space="preserve"> abnormal psychology and learning disabilities</w:t>
      </w:r>
      <w:r>
        <w:rPr>
          <w:color w:val="000000"/>
        </w:rPr>
        <w:t>. New York: Plenum Press.</w:t>
      </w:r>
    </w:p>
    <w:p w14:paraId="2AA168EE"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Vygotsky, L. (1978).</w:t>
      </w:r>
      <w:r>
        <w:rPr>
          <w:rStyle w:val="apple-converted-space"/>
          <w:color w:val="000000"/>
        </w:rPr>
        <w:t> </w:t>
      </w:r>
      <w:r>
        <w:rPr>
          <w:i/>
          <w:iCs/>
          <w:color w:val="000000"/>
        </w:rPr>
        <w:t>Mind in Society: The Development of Higher Psychological Processes</w:t>
      </w:r>
      <w:r>
        <w:rPr>
          <w:color w:val="000000"/>
        </w:rPr>
        <w:t>. Cambridge: Harvard University Press.</w:t>
      </w:r>
    </w:p>
    <w:p w14:paraId="0D434197"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Welsh Government (2012).</w:t>
      </w:r>
      <w:r>
        <w:rPr>
          <w:rStyle w:val="apple-converted-space"/>
          <w:color w:val="000000"/>
        </w:rPr>
        <w:t> </w:t>
      </w:r>
      <w:r>
        <w:rPr>
          <w:i/>
          <w:iCs/>
          <w:color w:val="000000"/>
        </w:rPr>
        <w:t>Practical approaches to behaviour management in the classroom A handbook for classroom teachers in primary schools Information</w:t>
      </w:r>
      <w:r>
        <w:rPr>
          <w:color w:val="000000"/>
        </w:rPr>
        <w:t>. [online] Available at: https://www.gov.wales/sites/default/files/publications/2018-12/practical-approaches-to-behaviour-management-in-the-classroom-a-handbook-for-classroom-teachers-in-primary-schools.pdf.</w:t>
      </w:r>
    </w:p>
    <w:p w14:paraId="6837EA23" w14:textId="77777777" w:rsidR="00DB4841" w:rsidRDefault="00DB4841" w:rsidP="00DB4841">
      <w:pPr>
        <w:pStyle w:val="NormalWeb"/>
        <w:shd w:val="clear" w:color="auto" w:fill="FFFFFF"/>
        <w:spacing w:before="0" w:beforeAutospacing="0" w:after="240" w:afterAutospacing="0" w:line="360" w:lineRule="atLeast"/>
        <w:rPr>
          <w:color w:val="000000"/>
        </w:rPr>
      </w:pPr>
      <w:r>
        <w:rPr>
          <w:color w:val="000000"/>
        </w:rPr>
        <w:t>www.estyn.gov.wales. (n.d.).</w:t>
      </w:r>
      <w:r>
        <w:rPr>
          <w:rStyle w:val="apple-converted-space"/>
          <w:color w:val="000000"/>
        </w:rPr>
        <w:t> </w:t>
      </w:r>
      <w:r>
        <w:rPr>
          <w:i/>
          <w:iCs/>
          <w:color w:val="000000"/>
        </w:rPr>
        <w:t>Learning through play in a real-life context | Estyn</w:t>
      </w:r>
      <w:r>
        <w:rPr>
          <w:color w:val="000000"/>
        </w:rPr>
        <w:t>. [online] Available at: https://www.estyn.gov.wales/effective-practice/learning-through-play-real-life-context.</w:t>
      </w:r>
    </w:p>
    <w:p w14:paraId="441E27F7" w14:textId="77777777" w:rsidR="00DB4841" w:rsidRDefault="00DB4841" w:rsidP="00DB4841">
      <w:pPr>
        <w:pStyle w:val="NormalWeb"/>
        <w:spacing w:line="360" w:lineRule="auto"/>
        <w:jc w:val="both"/>
      </w:pPr>
      <w:r>
        <w:rPr>
          <w:color w:val="000000"/>
          <w:shd w:val="clear" w:color="auto" w:fill="FFFFFF"/>
        </w:rPr>
        <w:t>‌</w:t>
      </w:r>
    </w:p>
    <w:p w14:paraId="2B5FAF11" w14:textId="720B573D" w:rsidR="00C44B8C" w:rsidRDefault="00C44B8C">
      <w:pPr>
        <w:pStyle w:val="BodyA"/>
      </w:pPr>
    </w:p>
    <w:sectPr w:rsidR="00C44B8C">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D1430" w14:textId="77777777" w:rsidR="008E1CE6" w:rsidRDefault="008E1CE6">
      <w:r>
        <w:separator/>
      </w:r>
    </w:p>
  </w:endnote>
  <w:endnote w:type="continuationSeparator" w:id="0">
    <w:p w14:paraId="53CFF29C" w14:textId="77777777" w:rsidR="008E1CE6" w:rsidRDefault="008E1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rlito">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4A510" w14:textId="77777777" w:rsidR="008E1CE6" w:rsidRDefault="008E1CE6">
      <w:r>
        <w:separator/>
      </w:r>
    </w:p>
  </w:footnote>
  <w:footnote w:type="continuationSeparator" w:id="0">
    <w:p w14:paraId="3074BE75" w14:textId="77777777" w:rsidR="008E1CE6" w:rsidRDefault="008E1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20A60"/>
    <w:multiLevelType w:val="multilevel"/>
    <w:tmpl w:val="730E6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A7A4F"/>
    <w:multiLevelType w:val="multilevel"/>
    <w:tmpl w:val="F7F284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D2BC7"/>
    <w:multiLevelType w:val="multilevel"/>
    <w:tmpl w:val="3C8C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647FC1"/>
    <w:multiLevelType w:val="hybridMultilevel"/>
    <w:tmpl w:val="11229F9E"/>
    <w:lvl w:ilvl="0" w:tplc="4946867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6498E"/>
    <w:multiLevelType w:val="multilevel"/>
    <w:tmpl w:val="1E2AA346"/>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4799532">
    <w:abstractNumId w:val="1"/>
  </w:num>
  <w:num w:numId="2" w16cid:durableId="260719478">
    <w:abstractNumId w:val="2"/>
  </w:num>
  <w:num w:numId="3" w16cid:durableId="953707970">
    <w:abstractNumId w:val="0"/>
  </w:num>
  <w:num w:numId="4" w16cid:durableId="2014869597">
    <w:abstractNumId w:val="4"/>
  </w:num>
  <w:num w:numId="5" w16cid:durableId="1277834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8C"/>
    <w:rsid w:val="000D1986"/>
    <w:rsid w:val="00842DAF"/>
    <w:rsid w:val="008959D8"/>
    <w:rsid w:val="008E1CE6"/>
    <w:rsid w:val="00B31674"/>
    <w:rsid w:val="00BF6EEF"/>
    <w:rsid w:val="00C44B8C"/>
    <w:rsid w:val="00DB4841"/>
    <w:rsid w:val="00EE03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89B1"/>
  <w15:docId w15:val="{709DEAB5-800C-4932-95EB-D1CBB93B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40" w:line="360" w:lineRule="auto"/>
      <w:outlineLvl w:val="1"/>
    </w:pPr>
    <w:rPr>
      <w:rFonts w:ascii="Carlito" w:eastAsia="Carlito" w:hAnsi="Carlito" w:cs="Carlito"/>
      <w:b/>
      <w:bCs/>
      <w:color w:val="1F4E79"/>
      <w:sz w:val="28"/>
      <w:szCs w:val="28"/>
      <w:u w:color="1F4E79"/>
      <w:lang w:val="en-US"/>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line="360" w:lineRule="auto"/>
      <w:outlineLvl w:val="2"/>
    </w:pPr>
    <w:rPr>
      <w:rFonts w:ascii="Carlito" w:eastAsia="Carlito" w:hAnsi="Carlito" w:cs="Carlito"/>
      <w:b/>
      <w:bCs/>
      <w:color w:val="1F4D78"/>
      <w:sz w:val="24"/>
      <w:szCs w:val="24"/>
      <w:u w:color="1F4D78"/>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character" w:customStyle="1" w:styleId="apple-converted-space">
    <w:name w:val="apple-converted-space"/>
    <w:basedOn w:val="DefaultParagraphFont"/>
    <w:rsid w:val="000D1986"/>
  </w:style>
  <w:style w:type="paragraph" w:styleId="Header">
    <w:name w:val="header"/>
    <w:basedOn w:val="Normal"/>
    <w:link w:val="HeaderChar"/>
    <w:uiPriority w:val="99"/>
    <w:unhideWhenUsed/>
    <w:rsid w:val="000D1986"/>
    <w:pPr>
      <w:tabs>
        <w:tab w:val="center" w:pos="4513"/>
        <w:tab w:val="right" w:pos="9026"/>
      </w:tabs>
    </w:pPr>
  </w:style>
  <w:style w:type="character" w:customStyle="1" w:styleId="HeaderChar">
    <w:name w:val="Header Char"/>
    <w:basedOn w:val="DefaultParagraphFont"/>
    <w:link w:val="Header"/>
    <w:uiPriority w:val="99"/>
    <w:rsid w:val="000D1986"/>
    <w:rPr>
      <w:sz w:val="24"/>
      <w:szCs w:val="24"/>
      <w:lang w:val="en-US" w:eastAsia="en-US"/>
    </w:rPr>
  </w:style>
  <w:style w:type="paragraph" w:styleId="Footer">
    <w:name w:val="footer"/>
    <w:basedOn w:val="Normal"/>
    <w:link w:val="FooterChar"/>
    <w:uiPriority w:val="99"/>
    <w:unhideWhenUsed/>
    <w:rsid w:val="000D1986"/>
    <w:pPr>
      <w:tabs>
        <w:tab w:val="center" w:pos="4513"/>
        <w:tab w:val="right" w:pos="9026"/>
      </w:tabs>
    </w:pPr>
  </w:style>
  <w:style w:type="character" w:customStyle="1" w:styleId="FooterChar">
    <w:name w:val="Footer Char"/>
    <w:basedOn w:val="DefaultParagraphFont"/>
    <w:link w:val="Footer"/>
    <w:uiPriority w:val="99"/>
    <w:rsid w:val="000D1986"/>
    <w:rPr>
      <w:sz w:val="24"/>
      <w:szCs w:val="24"/>
      <w:lang w:val="en-US" w:eastAsia="en-US"/>
    </w:rPr>
  </w:style>
  <w:style w:type="paragraph" w:styleId="NormalWeb">
    <w:name w:val="Normal (Web)"/>
    <w:basedOn w:val="Normal"/>
    <w:uiPriority w:val="99"/>
    <w:unhideWhenUsed/>
    <w:rsid w:val="000D198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nchor-text">
    <w:name w:val="anchor-text"/>
    <w:basedOn w:val="DefaultParagraphFont"/>
    <w:rsid w:val="00DB4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568356">
      <w:bodyDiv w:val="1"/>
      <w:marLeft w:val="0"/>
      <w:marRight w:val="0"/>
      <w:marTop w:val="0"/>
      <w:marBottom w:val="0"/>
      <w:divBdr>
        <w:top w:val="none" w:sz="0" w:space="0" w:color="auto"/>
        <w:left w:val="none" w:sz="0" w:space="0" w:color="auto"/>
        <w:bottom w:val="none" w:sz="0" w:space="0" w:color="auto"/>
        <w:right w:val="none" w:sz="0" w:space="0" w:color="auto"/>
      </w:divBdr>
    </w:div>
    <w:div w:id="1375038111">
      <w:bodyDiv w:val="1"/>
      <w:marLeft w:val="0"/>
      <w:marRight w:val="0"/>
      <w:marTop w:val="0"/>
      <w:marBottom w:val="0"/>
      <w:divBdr>
        <w:top w:val="none" w:sz="0" w:space="0" w:color="auto"/>
        <w:left w:val="none" w:sz="0" w:space="0" w:color="auto"/>
        <w:bottom w:val="none" w:sz="0" w:space="0" w:color="auto"/>
        <w:right w:val="none" w:sz="0" w:space="0" w:color="auto"/>
      </w:divBdr>
      <w:divsChild>
        <w:div w:id="1284650510">
          <w:marLeft w:val="0"/>
          <w:marRight w:val="0"/>
          <w:marTop w:val="0"/>
          <w:marBottom w:val="0"/>
          <w:divBdr>
            <w:top w:val="none" w:sz="0" w:space="0" w:color="auto"/>
            <w:left w:val="none" w:sz="0" w:space="0" w:color="auto"/>
            <w:bottom w:val="none" w:sz="0" w:space="0" w:color="auto"/>
            <w:right w:val="none" w:sz="0" w:space="0" w:color="auto"/>
          </w:divBdr>
          <w:divsChild>
            <w:div w:id="325330041">
              <w:marLeft w:val="0"/>
              <w:marRight w:val="0"/>
              <w:marTop w:val="0"/>
              <w:marBottom w:val="0"/>
              <w:divBdr>
                <w:top w:val="none" w:sz="0" w:space="0" w:color="auto"/>
                <w:left w:val="none" w:sz="0" w:space="0" w:color="auto"/>
                <w:bottom w:val="none" w:sz="0" w:space="0" w:color="auto"/>
                <w:right w:val="none" w:sz="0" w:space="0" w:color="auto"/>
              </w:divBdr>
              <w:divsChild>
                <w:div w:id="109694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9737">
      <w:bodyDiv w:val="1"/>
      <w:marLeft w:val="0"/>
      <w:marRight w:val="0"/>
      <w:marTop w:val="0"/>
      <w:marBottom w:val="0"/>
      <w:divBdr>
        <w:top w:val="none" w:sz="0" w:space="0" w:color="auto"/>
        <w:left w:val="none" w:sz="0" w:space="0" w:color="auto"/>
        <w:bottom w:val="none" w:sz="0" w:space="0" w:color="auto"/>
        <w:right w:val="none" w:sz="0" w:space="0" w:color="auto"/>
      </w:divBdr>
      <w:divsChild>
        <w:div w:id="656809302">
          <w:marLeft w:val="0"/>
          <w:marRight w:val="0"/>
          <w:marTop w:val="0"/>
          <w:marBottom w:val="0"/>
          <w:divBdr>
            <w:top w:val="none" w:sz="0" w:space="0" w:color="auto"/>
            <w:left w:val="none" w:sz="0" w:space="0" w:color="auto"/>
            <w:bottom w:val="none" w:sz="0" w:space="0" w:color="auto"/>
            <w:right w:val="none" w:sz="0" w:space="0" w:color="auto"/>
          </w:divBdr>
          <w:divsChild>
            <w:div w:id="924263778">
              <w:marLeft w:val="0"/>
              <w:marRight w:val="0"/>
              <w:marTop w:val="0"/>
              <w:marBottom w:val="0"/>
              <w:divBdr>
                <w:top w:val="none" w:sz="0" w:space="0" w:color="auto"/>
                <w:left w:val="none" w:sz="0" w:space="0" w:color="auto"/>
                <w:bottom w:val="none" w:sz="0" w:space="0" w:color="auto"/>
                <w:right w:val="none" w:sz="0" w:space="0" w:color="auto"/>
              </w:divBdr>
              <w:divsChild>
                <w:div w:id="11510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5279</Words>
  <Characters>30094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Annie Phillips (1802131)</cp:lastModifiedBy>
  <cp:revision>3</cp:revision>
  <dcterms:created xsi:type="dcterms:W3CDTF">2023-04-06T18:37:00Z</dcterms:created>
  <dcterms:modified xsi:type="dcterms:W3CDTF">2023-04-06T18:38:00Z</dcterms:modified>
</cp:coreProperties>
</file>