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CD5942">
      <w:pPr>
        <w:pStyle w:val="2"/>
        <w:keepNext w:val="0"/>
        <w:keepLines w:val="0"/>
        <w:widowControl/>
        <w:suppressLineNumbers w:val="0"/>
        <w:rPr>
          <w:rFonts w:hint="eastAsia" w:ascii="Times New Roman" w:hAnsi="宋体" w:eastAsia="微软雅黑" w:cs="宋体"/>
          <w:b/>
          <w:bCs/>
          <w:kern w:val="0"/>
          <w:sz w:val="27"/>
          <w:szCs w:val="27"/>
          <w:lang w:val="en-US" w:eastAsia="zh-CN" w:bidi="ar"/>
        </w:rPr>
      </w:pPr>
    </w:p>
    <w:p w14:paraId="549BFEED">
      <w:pPr>
        <w:pStyle w:val="2"/>
        <w:keepNext w:val="0"/>
        <w:keepLines w:val="0"/>
        <w:widowControl/>
        <w:suppressLineNumbers w:val="0"/>
        <w:rPr>
          <w:rFonts w:hint="default" w:ascii="Calibri" w:hAnsi="Calibri" w:eastAsia="微软雅黑" w:cs="Calibri"/>
          <w:kern w:val="0"/>
          <w:sz w:val="24"/>
          <w:szCs w:val="24"/>
          <w:lang w:val="en-US" w:eastAsia="zh-CN" w:bidi="ar"/>
        </w:rPr>
      </w:pPr>
      <w:r>
        <w:rPr>
          <w:rFonts w:hint="default" w:ascii="Calibri" w:hAnsi="Calibri" w:eastAsia="微软雅黑" w:cs="Calibri"/>
          <w:kern w:val="0"/>
          <w:sz w:val="44"/>
          <w:szCs w:val="44"/>
          <w:lang w:val="en-US" w:eastAsia="zh-CN" w:bidi="ar"/>
        </w:rPr>
        <w:t xml:space="preserve">"Visualizing </w:t>
      </w:r>
      <w:r>
        <w:rPr>
          <w:rFonts w:hint="eastAsia" w:ascii="Calibri" w:hAnsi="Calibri" w:eastAsia="微软雅黑" w:cs="Calibri"/>
          <w:kern w:val="0"/>
          <w:sz w:val="44"/>
          <w:szCs w:val="44"/>
          <w:lang w:val="en-US" w:eastAsia="zh-CN" w:bidi="ar"/>
        </w:rPr>
        <w:t>Qi yun</w:t>
      </w:r>
      <w:r>
        <w:rPr>
          <w:rFonts w:hint="default" w:ascii="Calibri" w:hAnsi="Calibri" w:eastAsia="微软雅黑" w:cs="Calibri"/>
          <w:kern w:val="0"/>
          <w:sz w:val="44"/>
          <w:szCs w:val="44"/>
          <w:lang w:val="en-US" w:eastAsia="zh-CN" w:bidi="ar"/>
        </w:rPr>
        <w:t>: Interactive Art in Chinese Landscape Painting Education"</w:t>
      </w:r>
      <w:r>
        <w:rPr>
          <w:rFonts w:hint="default" w:ascii="Calibri" w:hAnsi="Calibri" w:eastAsia="微软雅黑" w:cs="Calibri"/>
          <w:kern w:val="0"/>
          <w:sz w:val="24"/>
          <w:szCs w:val="24"/>
          <w:lang w:val="en-US" w:eastAsia="zh-CN" w:bidi="ar"/>
        </w:rPr>
        <w:t xml:space="preserve"> </w:t>
      </w:r>
    </w:p>
    <w:p w14:paraId="065E16BE">
      <w:pPr>
        <w:rPr>
          <w:rFonts w:hint="default" w:ascii="Calibri" w:hAnsi="Calibri" w:cs="Calibri"/>
          <w:lang w:val="en-US" w:eastAsia="zh-CN"/>
        </w:rPr>
      </w:pPr>
    </w:p>
    <w:p w14:paraId="3B81296E">
      <w:pPr>
        <w:pStyle w:val="2"/>
        <w:keepNext w:val="0"/>
        <w:keepLines w:val="0"/>
        <w:widowControl/>
        <w:suppressLineNumbers w:val="0"/>
        <w:rPr>
          <w:rFonts w:hint="default" w:ascii="Calibri" w:hAnsi="Calibri" w:cs="Calibri"/>
          <w:sz w:val="28"/>
          <w:szCs w:val="28"/>
          <w:lang w:val="en-US" w:eastAsia="zh-CN"/>
        </w:rPr>
      </w:pPr>
      <w:r>
        <w:rPr>
          <w:rFonts w:hint="default" w:ascii="Calibri" w:hAnsi="Calibri" w:eastAsia="微软雅黑" w:cs="Calibri"/>
          <w:b/>
          <w:bCs/>
          <w:kern w:val="0"/>
          <w:sz w:val="28"/>
          <w:szCs w:val="28"/>
          <w:lang w:val="en-US" w:eastAsia="zh-CN" w:bidi="ar"/>
        </w:rPr>
        <w:t>Introduction</w:t>
      </w:r>
    </w:p>
    <w:p w14:paraId="4052F92C">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 xml:space="preserve">I am a student majoring in Chinese landscape painting and also serve as a lecturer at a Chinese university, currently pursuing a PhD in Art and Design in the UK. My research topic, "Visualizing </w:t>
      </w:r>
      <w:r>
        <w:rPr>
          <w:rFonts w:hint="eastAsia" w:ascii="Calibri" w:hAnsi="Calibri" w:eastAsia="微软雅黑" w:cs="Calibri"/>
          <w:kern w:val="0"/>
          <w:sz w:val="24"/>
          <w:szCs w:val="24"/>
          <w:lang w:val="en-US" w:eastAsia="zh-CN" w:bidi="ar"/>
        </w:rPr>
        <w:t>Qi yun</w:t>
      </w:r>
      <w:r>
        <w:rPr>
          <w:rFonts w:hint="default" w:ascii="Calibri" w:hAnsi="Calibri" w:eastAsia="微软雅黑" w:cs="Calibri"/>
          <w:kern w:val="0"/>
          <w:sz w:val="24"/>
          <w:szCs w:val="24"/>
          <w:lang w:val="en-US" w:eastAsia="zh-CN" w:bidi="ar"/>
        </w:rPr>
        <w:t>: Interactive Art in Chinese Landscape Painting Education" stems from this dual identity. I stand between the artistic cultures of two countries: inheriting the Chinese ink tradition that shaped my artistic training, while also being immersed in the contemporary British environment of art and design studies and museums. This paper elucidates how my ontological stance, epistemological attitude, and values guide my thinking, creative practice, and research design.</w:t>
      </w:r>
    </w:p>
    <w:p w14:paraId="21EAA327">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 xml:space="preserve">I focus on </w:t>
      </w:r>
      <w:r>
        <w:rPr>
          <w:rFonts w:hint="eastAsia" w:ascii="Calibri" w:hAnsi="Calibri" w:eastAsia="微软雅黑" w:cs="Calibri"/>
          <w:kern w:val="0"/>
          <w:sz w:val="24"/>
          <w:szCs w:val="24"/>
          <w:lang w:val="en-US" w:eastAsia="zh-CN" w:bidi="ar"/>
        </w:rPr>
        <w:t>Qi yun</w:t>
      </w:r>
      <w:r>
        <w:rPr>
          <w:rFonts w:hint="default" w:ascii="Calibri" w:hAnsi="Calibri" w:eastAsia="微软雅黑" w:cs="Calibri"/>
          <w:kern w:val="0"/>
          <w:sz w:val="24"/>
          <w:szCs w:val="24"/>
          <w:lang w:val="en-US" w:eastAsia="zh-CN" w:bidi="ar"/>
        </w:rPr>
        <w:t xml:space="preserve"> (</w:t>
      </w:r>
      <w:r>
        <w:rPr>
          <w:rFonts w:hint="eastAsia" w:ascii="Calibri" w:hAnsi="Calibri" w:eastAsia="微软雅黑" w:cs="Calibri"/>
          <w:kern w:val="0"/>
          <w:sz w:val="24"/>
          <w:szCs w:val="24"/>
          <w:lang w:val="en-US" w:eastAsia="zh-CN" w:bidi="ar"/>
        </w:rPr>
        <w:t>Qi yun</w:t>
      </w:r>
      <w:r>
        <w:rPr>
          <w:rFonts w:hint="default" w:ascii="Calibri" w:hAnsi="Calibri" w:eastAsia="微软雅黑" w:cs="Calibri"/>
          <w:kern w:val="0"/>
          <w:sz w:val="24"/>
          <w:szCs w:val="24"/>
          <w:lang w:val="en-US" w:eastAsia="zh-CN" w:bidi="ar"/>
        </w:rPr>
        <w:t xml:space="preserve">), often translated as "spiritual resonance" or "life rhythm," which has long been regarded as the highest principle in Chinese painting theory (Xie He's "First Rule"). Contemporary scholars describe </w:t>
      </w:r>
      <w:r>
        <w:rPr>
          <w:rFonts w:hint="eastAsia" w:ascii="Calibri" w:hAnsi="Calibri" w:eastAsia="微软雅黑" w:cs="Calibri"/>
          <w:kern w:val="0"/>
          <w:sz w:val="24"/>
          <w:szCs w:val="24"/>
          <w:lang w:val="en-US" w:eastAsia="zh-CN" w:bidi="ar"/>
        </w:rPr>
        <w:t>Qi yun</w:t>
      </w:r>
      <w:r>
        <w:rPr>
          <w:rFonts w:hint="default" w:ascii="Calibri" w:hAnsi="Calibri" w:eastAsia="微软雅黑" w:cs="Calibri"/>
          <w:kern w:val="0"/>
          <w:sz w:val="24"/>
          <w:szCs w:val="24"/>
          <w:lang w:val="en-US" w:eastAsia="zh-CN" w:bidi="ar"/>
        </w:rPr>
        <w:t xml:space="preserve"> as a subtle quality that connects brushwork, inner cultivation, and cosmology. It is both material and spiritual: it concerns the energy in brushstrokes as well as the moral and emotional states of the painter and the viewer (Hu, 2016; Hu, 2021; Sernell, 2021).</w:t>
      </w:r>
    </w:p>
    <w:p w14:paraId="7C4589FE">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My experience of learning Chinese painting in China was steeped in traditional atmosphere. Most classes involved teachers lecturing and demonstrating, while students copied ancient paintings. This one-way teaching model resembled assembly-line work: teachers demonstrated, students imitated. There was almost no space for dialogue in class, lacking interactive elements and making it difficult to form new mental frameworks. Although this method honed my hand-eye coordination, it always felt like mechanical repetition. It wasn't until my studies in the UK that I gradually came to appreciate the diversity of art. Through experiencing various classroom formats, participating in critical seminars, engaging in museum education activities, and studying art education literature, I began to reflect on the limitations of my early teaching approach (Hein, 1998; Biggs &amp; Tang, 2011).</w:t>
      </w:r>
    </w:p>
    <w:p w14:paraId="4FC2CF4C">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Meanwhile, I continue to teach Chinese painting courses at art colleges in China. Through exchanges with students, I learned that they also find those purely demonstrative classes and mechanical copying assignments tedious. They yearn for more experimental opportunities and hope to explore artistic concepts and engage with more interactive and modern art forms. Some students mentioned that they often follow new media art and installation works online, hoping such creations will appear in our studios or exhibitions. These conversations made me realize that my project is not only a reflection of personal interest but also a response to the students' urgent demand for a more dialogic, participatory, and conceptually profound approach to Chinese painting education (Buffington, 2005; Zhao, 2018).</w:t>
      </w:r>
    </w:p>
    <w:p w14:paraId="73236DFB">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During my first year of study in the UK, I visited numerous museums and art galleries. I noticed that Chinese landscape paintings were often appreciated as decorative items or exotic scenery, with few viewers pausing to savor them or actively responding. This experience prompted me to consider how to make the aura more tangible for contemporary audiences and students (Hopper-Greenhill, 2000; Watermeier, 2012). In the second semester, I created a triptych installation as a course project: one side was a mirror, the other a traditional ink landscape, and the third a magnetic collage surface with movable fragments of mountains and waters. Viewers could rearrange the mountains, trees, and mist, seeing their reflections in the reconstructed landscapes. Although this work was not included in my doctoral research, it became an experiment to test how interaction could support new experiences of the aura.</w:t>
      </w:r>
    </w:p>
    <w:p w14:paraId="0EB43EF7">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 xml:space="preserve">In the third semester, I began systematically considering how to introduce the new interactive teaching concept into China's higher education. The specific plan included: conducting A/B group teaching experiments in the landscape painting course (16 undergraduates, 8 in the interactive group and 8 in the traditional group), and interviewing eight professors and experts in China's landscape painting to discuss their understanding of </w:t>
      </w:r>
      <w:r>
        <w:rPr>
          <w:rFonts w:hint="eastAsia" w:ascii="Calibri" w:hAnsi="Calibri" w:eastAsia="微软雅黑" w:cs="Calibri"/>
          <w:kern w:val="0"/>
          <w:sz w:val="24"/>
          <w:szCs w:val="24"/>
          <w:lang w:val="en-US" w:eastAsia="zh-CN" w:bidi="ar"/>
        </w:rPr>
        <w:t>Qi yun</w:t>
      </w:r>
      <w:r>
        <w:rPr>
          <w:rFonts w:hint="default" w:ascii="Calibri" w:hAnsi="Calibri" w:eastAsia="微软雅黑" w:cs="Calibri"/>
          <w:kern w:val="0"/>
          <w:sz w:val="24"/>
          <w:szCs w:val="24"/>
          <w:lang w:val="en-US" w:eastAsia="zh-CN" w:bidi="ar"/>
        </w:rPr>
        <w:t xml:space="preserve"> and teaching methods. Although these are future plans rather than completed research, they have gradually formed my teaching philosophy system.</w:t>
      </w:r>
    </w:p>
    <w:p w14:paraId="06F73528">
      <w:pPr>
        <w:pStyle w:val="5"/>
        <w:keepNext w:val="0"/>
        <w:keepLines w:val="0"/>
        <w:widowControl/>
        <w:suppressLineNumbers w:val="0"/>
        <w:rPr>
          <w:rFonts w:hint="default" w:ascii="Calibri" w:hAnsi="Calibri" w:cs="Calibri"/>
        </w:rPr>
      </w:pPr>
      <w:r>
        <w:rPr>
          <w:rFonts w:hint="default" w:ascii="Calibri" w:hAnsi="Calibri" w:eastAsia="微软雅黑" w:cs="Calibri"/>
          <w:kern w:val="0"/>
          <w:sz w:val="24"/>
          <w:szCs w:val="24"/>
          <w:lang w:val="en-US" w:eastAsia="zh-CN" w:bidi="ar"/>
        </w:rPr>
        <w:t>In the following sections, I will elaborate on my ontological stance (understanding reality and fate), epistemological stance (what constitutes knowledge and how we acquire it), and core values (as an artist and researcher). I will then integrate these foundational theories with the planned research methodology, including my screen-based creative practice and future A/B teaching design. Finally, I will examine reliability, validity (or "credibility"), bias, standpoint, and ethical considerations, demonstrating how these elements shape my research design, implementation, and reflective process.</w:t>
      </w:r>
    </w:p>
    <w:p w14:paraId="19BC8A1C">
      <w:pPr>
        <w:pStyle w:val="2"/>
        <w:keepNext w:val="0"/>
        <w:keepLines w:val="0"/>
        <w:widowControl/>
        <w:suppressLineNumbers w:val="0"/>
        <w:rPr>
          <w:rFonts w:hint="default" w:ascii="Calibri" w:hAnsi="Calibri" w:eastAsia="宋体" w:cs="Calibri"/>
          <w:sz w:val="28"/>
          <w:szCs w:val="28"/>
          <w:lang w:eastAsia="zh-CN"/>
        </w:rPr>
      </w:pPr>
      <w:r>
        <w:rPr>
          <w:rFonts w:hint="default" w:ascii="Calibri" w:hAnsi="Calibri" w:eastAsia="微软雅黑" w:cs="Calibri"/>
          <w:b/>
          <w:bCs/>
          <w:kern w:val="0"/>
          <w:sz w:val="28"/>
          <w:szCs w:val="28"/>
          <w:lang w:val="en-US" w:eastAsia="zh-CN" w:bidi="ar"/>
        </w:rPr>
        <w:t>Ontological Position:Qi Movement is a Body Field, not a Static Object</w:t>
      </w:r>
    </w:p>
    <w:p w14:paraId="07D8FB22">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 xml:space="preserve">From an ontological perspective, I do not regard painting as a flat object inherently imbued with meaning. Instead, I view </w:t>
      </w:r>
      <w:r>
        <w:rPr>
          <w:rFonts w:hint="eastAsia" w:ascii="Calibri" w:hAnsi="Calibri" w:eastAsia="微软雅黑" w:cs="Calibri"/>
          <w:kern w:val="0"/>
          <w:sz w:val="24"/>
          <w:szCs w:val="24"/>
          <w:lang w:val="en-US" w:eastAsia="zh-CN" w:bidi="ar"/>
        </w:rPr>
        <w:t>Qi yun</w:t>
      </w:r>
      <w:r>
        <w:rPr>
          <w:rFonts w:hint="default" w:ascii="Calibri" w:hAnsi="Calibri" w:eastAsia="微软雅黑" w:cs="Calibri"/>
          <w:kern w:val="0"/>
          <w:sz w:val="24"/>
          <w:szCs w:val="24"/>
          <w:lang w:val="en-US" w:eastAsia="zh-CN" w:bidi="ar"/>
        </w:rPr>
        <w:t xml:space="preserve"> (vital energy and rhythm) as a dynamic process arising from the interaction between the body, imagery, and environment. This perspective draws on Merleau-Ponty's phenomenological theory of perception, which posits that perception is not a mechanical reproduction of the world but an interactive process actively engaged by the body (Merleau-Ponty, 2012). He introduced the concept of "body schema" —a flexible, preconception-free mode of bodily perception that enables us to stretch freely, walk, paint, and respond to space without continuous conscious calculation.</w:t>
      </w:r>
    </w:p>
    <w:p w14:paraId="68B2BE3F">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 xml:space="preserve">On this basis, </w:t>
      </w:r>
      <w:r>
        <w:rPr>
          <w:rFonts w:hint="eastAsia" w:ascii="Calibri" w:hAnsi="Calibri" w:eastAsia="微软雅黑" w:cs="Calibri"/>
          <w:kern w:val="0"/>
          <w:sz w:val="24"/>
          <w:szCs w:val="24"/>
          <w:lang w:val="en-US" w:eastAsia="zh-CN" w:bidi="ar"/>
        </w:rPr>
        <w:t>Qi yun</w:t>
      </w:r>
      <w:r>
        <w:rPr>
          <w:rFonts w:hint="default" w:ascii="Calibri" w:hAnsi="Calibri" w:eastAsia="微软雅黑" w:cs="Calibri"/>
          <w:kern w:val="0"/>
          <w:sz w:val="24"/>
          <w:szCs w:val="24"/>
          <w:lang w:val="en-US" w:eastAsia="zh-CN" w:bidi="ar"/>
        </w:rPr>
        <w:t xml:space="preserve"> is not a hidden attribute sealed in the ink, but a perceptual effect that emerges when the viewer's bodily schema meets the landscape image. The viewer does not simply "gaze" at the landscape, but guides the body into the rhythm of breathing, movement, and perception through composition. This aligns with certain theories of China: Hu (2016) pointed out that </w:t>
      </w:r>
      <w:r>
        <w:rPr>
          <w:rFonts w:hint="eastAsia" w:ascii="Calibri" w:hAnsi="Calibri" w:eastAsia="微软雅黑" w:cs="Calibri"/>
          <w:kern w:val="0"/>
          <w:sz w:val="24"/>
          <w:szCs w:val="24"/>
          <w:lang w:val="en-US" w:eastAsia="zh-CN" w:bidi="ar"/>
        </w:rPr>
        <w:t>Qi yun</w:t>
      </w:r>
      <w:r>
        <w:rPr>
          <w:rFonts w:hint="default" w:ascii="Calibri" w:hAnsi="Calibri" w:eastAsia="微软雅黑" w:cs="Calibri"/>
          <w:kern w:val="0"/>
          <w:sz w:val="24"/>
          <w:szCs w:val="24"/>
          <w:lang w:val="en-US" w:eastAsia="zh-CN" w:bidi="ar"/>
        </w:rPr>
        <w:t xml:space="preserve"> contains a kind of "life movement" (vitality), where the energy of brush and ink resonates with the viewer's life energy.</w:t>
      </w:r>
    </w:p>
    <w:p w14:paraId="5DA9FCD8">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The "embodied cognition" theory proposed by Varela, Thompson, and Rausch corroborates this perspective. They argue that cognition is dynamic: it does not reside solely within the brain but emerges through the sensorimotor coupling between the organism and its environment (Varela et al., 1991). In my artistic practice, qi-yun (vital energy) can be viewed as a specific dynamic field generated by the interplay between the artist, brush, ink, paper, audience, and space. The mirrored installation in the three-panel screen experiment implicitly embodies this concept: viewers can intuitively perceive how their movements, gestures, and facial expressions merge with the artwork and its dynamic fragments.</w:t>
      </w:r>
    </w:p>
    <w:p w14:paraId="050ED5D8">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This ontological stance rejects both the stark dichotomy between mind and body and the absolute separation between the "subject" (the viewer) and the "object" (the painting). Painting is not a passive object but an extension system that incorporates bodily habits, cultural training, and spatial composition. This resonates with Bourdieu's concept of "habitus" —a system of embodied tendencies that subtly shapes our artistic practices, modes of perception, and value judgments (Bourdieu, 1977).</w:t>
      </w:r>
    </w:p>
    <w:p w14:paraId="7000F32E">
      <w:pPr>
        <w:pStyle w:val="3"/>
        <w:keepNext w:val="0"/>
        <w:keepLines w:val="0"/>
        <w:widowControl/>
        <w:suppressLineNumbers w:val="0"/>
        <w:rPr>
          <w:rFonts w:hint="default" w:ascii="Calibri" w:hAnsi="Calibri" w:eastAsia="宋体" w:cs="Calibri"/>
          <w:sz w:val="28"/>
          <w:szCs w:val="28"/>
          <w:lang w:eastAsia="zh-CN"/>
        </w:rPr>
      </w:pPr>
      <w:r>
        <w:rPr>
          <w:rFonts w:hint="default" w:ascii="Calibri" w:hAnsi="Calibri" w:eastAsia="微软雅黑" w:cs="Calibri"/>
          <w:b/>
          <w:bCs/>
          <w:kern w:val="0"/>
          <w:sz w:val="28"/>
          <w:szCs w:val="28"/>
          <w:lang w:val="en-US" w:eastAsia="zh-CN" w:bidi="ar"/>
        </w:rPr>
        <w:t>The Moral Dimension of "</w:t>
      </w:r>
      <w:r>
        <w:rPr>
          <w:rFonts w:hint="eastAsia" w:ascii="Calibri" w:hAnsi="Calibri" w:eastAsia="微软雅黑" w:cs="Calibri"/>
          <w:b/>
          <w:bCs/>
          <w:kern w:val="0"/>
          <w:sz w:val="28"/>
          <w:szCs w:val="28"/>
          <w:lang w:val="en-US" w:eastAsia="zh-CN" w:bidi="ar"/>
        </w:rPr>
        <w:t>Qi yun</w:t>
      </w:r>
      <w:r>
        <w:rPr>
          <w:rFonts w:hint="default" w:ascii="Calibri" w:hAnsi="Calibri" w:eastAsia="微软雅黑" w:cs="Calibri"/>
          <w:b/>
          <w:bCs/>
          <w:kern w:val="0"/>
          <w:sz w:val="28"/>
          <w:szCs w:val="28"/>
          <w:lang w:val="en-US" w:eastAsia="zh-CN" w:bidi="ar"/>
        </w:rPr>
        <w:t>" and Existence</w:t>
      </w:r>
    </w:p>
    <w:p w14:paraId="6749EE5C">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Recent academic research reveals that the "</w:t>
      </w:r>
      <w:r>
        <w:rPr>
          <w:rFonts w:hint="eastAsia" w:ascii="Calibri" w:hAnsi="Calibri" w:eastAsia="微软雅黑" w:cs="Calibri"/>
          <w:kern w:val="0"/>
          <w:sz w:val="24"/>
          <w:szCs w:val="24"/>
          <w:lang w:val="en-US" w:eastAsia="zh-CN" w:bidi="ar"/>
        </w:rPr>
        <w:t>Qi yun</w:t>
      </w:r>
      <w:r>
        <w:rPr>
          <w:rFonts w:hint="default" w:ascii="Calibri" w:hAnsi="Calibri" w:eastAsia="微软雅黑" w:cs="Calibri"/>
          <w:kern w:val="0"/>
          <w:sz w:val="24"/>
          <w:szCs w:val="24"/>
          <w:lang w:val="en-US" w:eastAsia="zh-CN" w:bidi="ar"/>
        </w:rPr>
        <w:t xml:space="preserve">" (vital energy and rhythm) in Chinese landscape painting carries distinct moral implications. Hu (2021) posits that </w:t>
      </w:r>
      <w:r>
        <w:rPr>
          <w:rFonts w:hint="eastAsia" w:ascii="Calibri" w:hAnsi="Calibri" w:eastAsia="微软雅黑" w:cs="Calibri"/>
          <w:kern w:val="0"/>
          <w:sz w:val="24"/>
          <w:szCs w:val="24"/>
          <w:lang w:val="en-US" w:eastAsia="zh-CN" w:bidi="ar"/>
        </w:rPr>
        <w:t>Qi yun</w:t>
      </w:r>
      <w:r>
        <w:rPr>
          <w:rFonts w:hint="default" w:ascii="Calibri" w:hAnsi="Calibri" w:eastAsia="微软雅黑" w:cs="Calibri"/>
          <w:kern w:val="0"/>
          <w:sz w:val="24"/>
          <w:szCs w:val="24"/>
          <w:lang w:val="en-US" w:eastAsia="zh-CN" w:bidi="ar"/>
        </w:rPr>
        <w:t xml:space="preserve"> not only reflects moral sincerity and alignment with the Dao, but its resonance transcends aesthetic appreciation to carry ethical significance, placing artists, subjects, artworks, and viewers within a shared moral framework. Through analyzing Xu Fuguan's interpretation of "</w:t>
      </w:r>
      <w:r>
        <w:rPr>
          <w:rFonts w:hint="eastAsia" w:ascii="Calibri" w:hAnsi="Calibri" w:eastAsia="微软雅黑" w:cs="Calibri"/>
          <w:kern w:val="0"/>
          <w:sz w:val="24"/>
          <w:szCs w:val="24"/>
          <w:lang w:val="en-US" w:eastAsia="zh-CN" w:bidi="ar"/>
        </w:rPr>
        <w:t>Qi yun</w:t>
      </w:r>
      <w:r>
        <w:rPr>
          <w:rFonts w:hint="default" w:ascii="Calibri" w:hAnsi="Calibri" w:eastAsia="微软雅黑" w:cs="Calibri"/>
          <w:kern w:val="0"/>
          <w:sz w:val="24"/>
          <w:szCs w:val="24"/>
          <w:lang w:val="en-US" w:eastAsia="zh-CN" w:bidi="ar"/>
        </w:rPr>
        <w:t xml:space="preserve"> shengdong" (vital energy and dynamic rhythm), Sennell (2021) demonstrates that "qi" represents external visual energy while "yun" embodies inner spiritual qualities. Their interplay not only highlights the artist's moral cultivation but also mirrors the viewer's spiritual resonance.</w:t>
      </w:r>
    </w:p>
    <w:p w14:paraId="6DD62657">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 xml:space="preserve">This perspective is both compelling and challenging. As a student of Chinese painting, I was taught that "the quality of a painting reflects the painter's character." However, my experiences in contemporary art museums and art academies have exposed me to more diverse, even critical, moral perspectives. Consequently, my ontological stance views </w:t>
      </w:r>
      <w:r>
        <w:rPr>
          <w:rFonts w:hint="eastAsia" w:ascii="Calibri" w:hAnsi="Calibri" w:eastAsia="微软雅黑" w:cs="Calibri"/>
          <w:kern w:val="0"/>
          <w:sz w:val="24"/>
          <w:szCs w:val="24"/>
          <w:lang w:val="en-US" w:eastAsia="zh-CN" w:bidi="ar"/>
        </w:rPr>
        <w:t>Qi yun</w:t>
      </w:r>
      <w:r>
        <w:rPr>
          <w:rFonts w:hint="default" w:ascii="Calibri" w:hAnsi="Calibri" w:eastAsia="微软雅黑" w:cs="Calibri"/>
          <w:kern w:val="0"/>
          <w:sz w:val="24"/>
          <w:szCs w:val="24"/>
          <w:lang w:val="en-US" w:eastAsia="zh-CN" w:bidi="ar"/>
        </w:rPr>
        <w:t xml:space="preserve"> (vital energy and rhythm) as a relational phenomenon that combines perceptual and ethical dimensions, rather than asserting that every brushstroke or painting embodies a singular "correct" moral truth.</w:t>
      </w:r>
    </w:p>
    <w:p w14:paraId="68983E26">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On the contrary, I believe that qi is a dynamic quality embedded in cultural practice, carrying specific moral expectations (such as humility, harmony with nature, and sincerity), but when the work is presented in a new context, these expectations can be negotiated and transformed. Chen (2020) points out that the qi in Anthony Tapies 'works can be interpreted as a holistic, non-binary force that connects cosmology, psychology, and moral dimensions in contemporary European art practice. This confirms my view: qi is not confined to China's traditional culture; it can flow and spread, being reinterpreted and redefined within new ethical and cultural frameworks.</w:t>
      </w:r>
    </w:p>
    <w:p w14:paraId="3D0C4CAC">
      <w:pPr>
        <w:pStyle w:val="5"/>
        <w:keepNext w:val="0"/>
        <w:keepLines w:val="0"/>
        <w:widowControl/>
        <w:suppressLineNumbers w:val="0"/>
        <w:rPr>
          <w:rFonts w:hint="default" w:ascii="Calibri" w:hAnsi="Calibri" w:cs="Calibri"/>
        </w:rPr>
      </w:pPr>
      <w:r>
        <w:rPr>
          <w:rFonts w:hint="default" w:ascii="Calibri" w:hAnsi="Calibri" w:eastAsia="微软雅黑" w:cs="Calibri"/>
          <w:kern w:val="0"/>
          <w:sz w:val="24"/>
          <w:szCs w:val="24"/>
          <w:lang w:val="en-US" w:eastAsia="zh-CN" w:bidi="ar"/>
        </w:rPr>
        <w:t>From this ontological perspective, I regard interactive teaching experiments as ethical aesthetic interventions rather than neutral "technological tools". When guiding students to collaboratively create digital or physical landscapes, I not only reshape visual forms but also guide them in negotiating value orientations: how to position the relationship between humans and natural landscapes, what emotional undertones the works embody, and how to envision a harmonious coexistence with nature.</w:t>
      </w:r>
    </w:p>
    <w:p w14:paraId="57323A36">
      <w:pPr>
        <w:pStyle w:val="2"/>
        <w:keepNext w:val="0"/>
        <w:keepLines w:val="0"/>
        <w:widowControl/>
        <w:suppressLineNumbers w:val="0"/>
        <w:rPr>
          <w:rFonts w:hint="default" w:ascii="Calibri" w:hAnsi="Calibri" w:eastAsia="宋体" w:cs="Calibri"/>
          <w:sz w:val="28"/>
          <w:szCs w:val="28"/>
          <w:lang w:eastAsia="zh-CN"/>
        </w:rPr>
      </w:pPr>
      <w:r>
        <w:rPr>
          <w:rFonts w:hint="default" w:ascii="Calibri" w:hAnsi="Calibri" w:eastAsia="微软雅黑" w:cs="Calibri"/>
          <w:b/>
          <w:bCs/>
          <w:kern w:val="0"/>
          <w:sz w:val="28"/>
          <w:szCs w:val="28"/>
          <w:lang w:val="en-US" w:eastAsia="zh-CN" w:bidi="ar"/>
        </w:rPr>
        <w:t>Epistemological Position: Qi Movement is Implicit and Embodied Knowledge</w:t>
      </w:r>
    </w:p>
    <w:p w14:paraId="196F0DBF">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From an epistemological standpoint, I contend that qi-yun (vital energy and rhythm) cannot be fully captured through definitions or rules. My position challenges the epistemology that reduces knowledge to explicit propositional statements. Drawing on Polanyi's seminal observation—' We know more than we can say' (Polanyi, 1966)—I regard qi-yun as tacit knowledge, transmitted through gestures, rhythms, timing, and bodily sensitivity.</w:t>
      </w:r>
    </w:p>
    <w:p w14:paraId="3056622B">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In the practice of Chinese painting, this subconscious dimension is profoundly evident: we learn through copying masterpieces, wielding brushes and ink, mastering ink techniques, and sensing pressure through wrist strength and breath control. Teachers often say "to feel the mountain's bone" or "the water is too lifeless" —these are not precise verbal instructions but metaphorical, embodied evaluations. Research by Lakoff and Johnson on embodied metaphors reveals that such expressions are rooted in bodily experience rather than abstract logic (Lakoff &amp; Johnson, 1999).</w:t>
      </w:r>
    </w:p>
    <w:p w14:paraId="13965C4F">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Polanyi's concept of tacit knowledge also finds expression in professional practice theory. As Schon (1983) demonstrated, professionals rely on "cognition in action" and "reflection in action" —that is, they improvise when facing complex situations rather than always articulating the rules they follow. My painting practice mirrors this: as the brush moves, I adjust the pressure and speed, then reflect on why certain sections carry more artistic resonance than others.</w:t>
      </w:r>
    </w:p>
    <w:p w14:paraId="38B4233B">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Based on this, I believe lectures alone cannot effectively convey the concept of qi. From my perspective, embodied interaction is not merely an "add-on" to teaching but an essential component of the cognitive process. In my A/B teaching design, Group A will learn through interactive digital landscape activities and collaborative installations, while Group B will receive more traditional lectures and brushwork demonstrati</w:t>
      </w:r>
      <w:bookmarkStart w:id="0" w:name="_GoBack"/>
      <w:bookmarkEnd w:id="0"/>
      <w:r>
        <w:rPr>
          <w:rFonts w:hint="default" w:ascii="Calibri" w:hAnsi="Calibri" w:eastAsia="微软雅黑" w:cs="Calibri"/>
          <w:kern w:val="0"/>
          <w:sz w:val="24"/>
          <w:szCs w:val="24"/>
          <w:lang w:val="en-US" w:eastAsia="zh-CN" w:bidi="ar"/>
        </w:rPr>
        <w:t>ons. I aim to explore how different forms of embodied participation promote or limit students' tacit understanding of qi movement.</w:t>
      </w:r>
    </w:p>
    <w:p w14:paraId="1CE94DD4">
      <w:pPr>
        <w:pStyle w:val="3"/>
        <w:keepNext w:val="0"/>
        <w:keepLines w:val="0"/>
        <w:widowControl/>
        <w:suppressLineNumbers w:val="0"/>
        <w:rPr>
          <w:rFonts w:hint="default" w:ascii="Calibri" w:hAnsi="Calibri" w:eastAsia="宋体" w:cs="Calibri"/>
          <w:sz w:val="28"/>
          <w:szCs w:val="28"/>
          <w:lang w:eastAsia="zh-CN"/>
        </w:rPr>
      </w:pPr>
      <w:r>
        <w:rPr>
          <w:rFonts w:hint="default" w:ascii="Calibri" w:hAnsi="Calibri" w:eastAsia="微软雅黑" w:cs="Calibri"/>
          <w:b/>
          <w:bCs/>
          <w:kern w:val="0"/>
          <w:sz w:val="28"/>
          <w:szCs w:val="28"/>
          <w:lang w:val="en-US" w:eastAsia="zh-CN" w:bidi="ar"/>
        </w:rPr>
        <w:t>Practice is research, multiple knowledge and action</w:t>
      </w:r>
    </w:p>
    <w:p w14:paraId="6F092632">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My research project aligns with Nielsen's perspective, positing that artistic practice should be conceptualized as a' knowledge production' model rather than mere theoretical exposition (Nielsen, 2013). Sullivan (2010) further defines artistic practice as an inquiry-driven methodology that generates contextually grounded knowledge systems through studio-based work, addressing issues at the visual, material, and conceptual levels.</w:t>
      </w:r>
    </w:p>
    <w:p w14:paraId="46D5B181">
      <w:pPr>
        <w:pStyle w:val="5"/>
        <w:keepNext w:val="0"/>
        <w:keepLines w:val="0"/>
        <w:widowControl/>
        <w:suppressLineNumbers w:val="0"/>
        <w:rPr>
          <w:rFonts w:hint="default" w:ascii="Calibri" w:hAnsi="Calibri" w:cs="Calibri"/>
        </w:rPr>
      </w:pPr>
      <w:r>
        <w:rPr>
          <w:rFonts w:hint="default" w:ascii="Calibri" w:hAnsi="Calibri" w:eastAsia="微软雅黑" w:cs="Calibri"/>
          <w:kern w:val="0"/>
          <w:sz w:val="24"/>
          <w:szCs w:val="24"/>
          <w:lang w:val="en-US" w:eastAsia="zh-CN" w:bidi="ar"/>
        </w:rPr>
        <w:t>Inspired by these authors, I have adopted interactive art installations as my primary research methodology. For instance, the tri-screen installation not only embodies the concept of interactivity but also compels me to confront concrete challenges:</w:t>
      </w:r>
    </w:p>
    <w:p w14:paraId="235061D0">
      <w:pPr>
        <w:pStyle w:val="5"/>
        <w:keepNext w:val="0"/>
        <w:keepLines w:val="0"/>
        <w:widowControl/>
        <w:suppressLineNumbers w:val="0"/>
        <w:rPr>
          <w:rFonts w:hint="default" w:ascii="Calibri" w:hAnsi="Calibri" w:cs="Calibri"/>
        </w:rPr>
      </w:pPr>
      <w:r>
        <w:rPr>
          <w:rFonts w:hint="default" w:ascii="Calibri" w:hAnsi="Calibri" w:eastAsia="微软雅黑" w:cs="Calibri"/>
          <w:kern w:val="0"/>
          <w:sz w:val="24"/>
          <w:szCs w:val="24"/>
          <w:lang w:val="en-US" w:eastAsia="zh-CN" w:bidi="ar"/>
        </w:rPr>
        <w:t>How does mirror change the self-perception of the viewer on the painting landscape?</w:t>
      </w:r>
    </w:p>
    <w:p w14:paraId="2666DEAC">
      <w:pPr>
        <w:pStyle w:val="5"/>
        <w:keepNext w:val="0"/>
        <w:keepLines w:val="0"/>
        <w:widowControl/>
        <w:suppressLineNumbers w:val="0"/>
        <w:rPr>
          <w:rFonts w:hint="default" w:ascii="Calibri" w:hAnsi="Calibri" w:cs="Calibri"/>
        </w:rPr>
      </w:pPr>
      <w:r>
        <w:rPr>
          <w:rFonts w:hint="default" w:ascii="Calibri" w:hAnsi="Calibri" w:eastAsia="微软雅黑" w:cs="Calibri"/>
          <w:kern w:val="0"/>
          <w:sz w:val="24"/>
          <w:szCs w:val="24"/>
          <w:lang w:val="en-US" w:eastAsia="zh-CN" w:bidi="ar"/>
        </w:rPr>
        <w:t>What happens when non-experts constantly rearrange the composition of the fortune?</w:t>
      </w:r>
    </w:p>
    <w:p w14:paraId="704C357D">
      <w:pPr>
        <w:pStyle w:val="5"/>
        <w:keepNext w:val="0"/>
        <w:keepLines w:val="0"/>
        <w:widowControl/>
        <w:suppressLineNumbers w:val="0"/>
        <w:rPr>
          <w:rFonts w:hint="default" w:ascii="Calibri" w:hAnsi="Calibri" w:cs="Calibri"/>
        </w:rPr>
      </w:pPr>
      <w:r>
        <w:rPr>
          <w:rFonts w:hint="default" w:ascii="Calibri" w:hAnsi="Calibri" w:eastAsia="微软雅黑" w:cs="Calibri"/>
          <w:kern w:val="0"/>
          <w:sz w:val="24"/>
          <w:szCs w:val="24"/>
          <w:lang w:val="en-US" w:eastAsia="zh-CN" w:bidi="ar"/>
        </w:rPr>
        <w:t>How does the physical behavior of moving magnetic fragments affect the audience's perception of rhythm and energy?</w:t>
      </w:r>
    </w:p>
    <w:p w14:paraId="2EF102FE">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The answers to these questions are not confined to written words but are also reflected in the audience's body language, duration of engagement, spontaneous comments, and my personal perception of the surrounding atmosphere. This represents a multimodal cognitive approach: I acquire knowledge through images, materials, physicality, text, and space simultaneously (Nelson, 2013; Dewey, 1934).</w:t>
      </w:r>
    </w:p>
    <w:p w14:paraId="3346A6AB">
      <w:pPr>
        <w:pStyle w:val="5"/>
        <w:keepNext w:val="0"/>
        <w:keepLines w:val="0"/>
        <w:widowControl/>
        <w:suppressLineNumbers w:val="0"/>
        <w:rPr>
          <w:rFonts w:hint="default" w:ascii="Calibri" w:hAnsi="Calibri" w:cs="Calibri"/>
        </w:rPr>
      </w:pPr>
      <w:r>
        <w:rPr>
          <w:rFonts w:hint="default" w:ascii="Calibri" w:hAnsi="Calibri" w:eastAsia="微软雅黑" w:cs="Calibri"/>
          <w:kern w:val="0"/>
          <w:sz w:val="24"/>
          <w:szCs w:val="24"/>
          <w:lang w:val="en-US" w:eastAsia="zh-CN" w:bidi="ar"/>
        </w:rPr>
        <w:t>This perspective also shaped the planned A/B instructional design. I contend that neither interview transcripts nor written reflections alone can determine whether students have mastered qi-yun (a concept in traditional Chinese medicine). My assessment will further examine their pre-and post-teaching landscape paintings, digital artworks, or installations, along with their studio practices and verbal expressions. These multimodal artworks will be recognized as self-evident forms, rather than mere "data" reflecting implicit mental states.</w:t>
      </w:r>
    </w:p>
    <w:p w14:paraId="1173190D">
      <w:pPr>
        <w:pStyle w:val="2"/>
        <w:keepNext w:val="0"/>
        <w:keepLines w:val="0"/>
        <w:widowControl/>
        <w:suppressLineNumbers w:val="0"/>
        <w:rPr>
          <w:rFonts w:hint="default" w:ascii="Calibri" w:hAnsi="Calibri" w:eastAsia="宋体" w:cs="Calibri"/>
          <w:sz w:val="28"/>
          <w:szCs w:val="28"/>
          <w:lang w:eastAsia="zh-CN"/>
        </w:rPr>
      </w:pPr>
      <w:r>
        <w:rPr>
          <w:rFonts w:hint="default" w:ascii="Calibri" w:hAnsi="Calibri" w:eastAsia="微软雅黑" w:cs="Calibri"/>
          <w:b/>
          <w:bCs/>
          <w:kern w:val="0"/>
          <w:sz w:val="28"/>
          <w:szCs w:val="28"/>
          <w:lang w:val="en-US" w:eastAsia="zh-CN" w:bidi="ar"/>
        </w:rPr>
        <w:t>Values: Tradition, Participation, Morality and Care</w:t>
      </w:r>
    </w:p>
    <w:p w14:paraId="6CAB9A52">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As an art researcher, my values are deeply shaped by my experience in China painting, my teaching career in China, and my current situation of studying in the UK. Among them, three value clusters are particularly important:</w:t>
      </w:r>
    </w:p>
    <w:p w14:paraId="6ABD1FA5">
      <w:pPr>
        <w:pStyle w:val="5"/>
        <w:keepNext w:val="0"/>
        <w:keepLines w:val="0"/>
        <w:widowControl/>
        <w:numPr>
          <w:ilvl w:val="0"/>
          <w:numId w:val="1"/>
        </w:numPr>
        <w:suppressLineNumbers w:val="0"/>
        <w:ind w:left="0" w:leftChars="0" w:firstLine="0" w:firstLineChars="0"/>
        <w:rPr>
          <w:rFonts w:hint="default" w:ascii="Calibri" w:hAnsi="Calibri" w:eastAsia="微软雅黑" w:cs="Calibri"/>
          <w:kern w:val="0"/>
          <w:sz w:val="24"/>
          <w:szCs w:val="24"/>
          <w:lang w:val="en-US" w:eastAsia="zh-CN" w:bidi="ar"/>
        </w:rPr>
      </w:pPr>
      <w:r>
        <w:rPr>
          <w:rFonts w:hint="default" w:ascii="Calibri" w:hAnsi="Calibri" w:eastAsia="微软雅黑" w:cs="Calibri"/>
          <w:kern w:val="0"/>
          <w:sz w:val="24"/>
          <w:szCs w:val="24"/>
          <w:lang w:val="en-US" w:eastAsia="zh-CN" w:bidi="ar"/>
        </w:rPr>
        <w:t>Respect for tradition and craftsmanship—I cherish the profound heritage of China's landscape art, particularly its long-standing tradition of integrating art, self-cultivation, and cosmology (Hu, 2016; Julian, 2018). I do not wish to reduce the spirit of qi to some effect or style, but rather regard it as a serious artistic pursuit and moral practice.</w:t>
      </w:r>
    </w:p>
    <w:p w14:paraId="4BFE7CFE">
      <w:pPr>
        <w:pStyle w:val="5"/>
        <w:keepNext w:val="0"/>
        <w:keepLines w:val="0"/>
        <w:widowControl/>
        <w:numPr>
          <w:ilvl w:val="0"/>
          <w:numId w:val="1"/>
        </w:numPr>
        <w:suppressLineNumbers w:val="0"/>
        <w:ind w:left="0" w:leftChars="0" w:firstLine="0" w:firstLineChars="0"/>
        <w:rPr>
          <w:rFonts w:hint="default" w:ascii="Calibri" w:hAnsi="Calibri" w:cs="Calibri"/>
        </w:rPr>
      </w:pPr>
      <w:r>
        <w:rPr>
          <w:rFonts w:hint="default" w:ascii="Calibri" w:hAnsi="Calibri" w:eastAsia="微软雅黑" w:cs="Calibri"/>
          <w:kern w:val="0"/>
          <w:sz w:val="24"/>
          <w:szCs w:val="24"/>
          <w:lang w:val="en-US" w:eastAsia="zh-CN" w:bidi="ar"/>
        </w:rPr>
        <w:t>The Commitment to Inclusion — Inspired by contemporary participatory art theories, including Bixiop's (2012) discourse on social participation practices and their political dimensions, as well as Ranciere's (2009) emancipatory audience concept (where audiences are no longer passive recipients but active interpreters), I strive to guide students and audiences in co-constructing aesthetic spaces during my design projects and teaching sessions, rather than merely interpreting preconceived meanings.</w:t>
      </w:r>
    </w:p>
    <w:p w14:paraId="787BD3D9">
      <w:pPr>
        <w:pStyle w:val="5"/>
        <w:keepNext w:val="0"/>
        <w:keepLines w:val="0"/>
        <w:widowControl/>
        <w:suppressLineNumbers w:val="0"/>
        <w:rPr>
          <w:rFonts w:hint="default" w:ascii="Calibri" w:hAnsi="Calibri" w:cs="Calibri"/>
        </w:rPr>
      </w:pPr>
      <w:r>
        <w:rPr>
          <w:rFonts w:hint="default" w:ascii="Calibri" w:hAnsi="Calibri" w:eastAsia="微软雅黑" w:cs="Calibri"/>
          <w:kern w:val="0"/>
          <w:sz w:val="24"/>
          <w:szCs w:val="24"/>
          <w:lang w:val="en-US" w:eastAsia="zh-CN" w:bidi="ar"/>
        </w:rPr>
        <w:t>3. Ethical Commitment to Students and Participants — As an educator, I prioritize student development over the elegance of research design. This philosophy is rooted in John Dewey's (1934) assertion that art must remain connected to life and education, and is further informed by Biggs and Tang's (2011) theory of constructive alignment and deep learning in higher education.</w:t>
      </w:r>
    </w:p>
    <w:p w14:paraId="51FAA58D">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The mechanical, teacher-dominated classroom model I encountered in my early years was fundamentally incompatible with these values. When students spent hours silently copying, their bodies moved yet their voices remained still. Their curiosity about landscapes, environments, and self-awareness, along with their moral inquiries, often went unexpressed. By listening to their yearning for more interactive and innovative art, I felt compelled to adapt my teaching methods to align with my philosophy of participatory education and care.</w:t>
      </w:r>
    </w:p>
    <w:p w14:paraId="378A714E">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These principles have guided my project. Rather than modernizing the artistic essence by replacing traditional brushes with screens, I aim to preserve its profound meaning while creating more accessible and participatory entry points for contemporary students. This approach, however, brings me considerable pressure. As Bishop (2012) cautioned, participatory art risks romanticization, and the promise of "community" participation may conceal power imbalances. I remain highly vigilant, viewing student participation as an ethical relationship requiring continuous scrutiny rather than an automatic privilege.</w:t>
      </w:r>
    </w:p>
    <w:p w14:paraId="5198027A">
      <w:pPr>
        <w:pStyle w:val="5"/>
        <w:keepNext w:val="0"/>
        <w:keepLines w:val="0"/>
        <w:widowControl/>
        <w:suppressLineNumbers w:val="0"/>
        <w:rPr>
          <w:rFonts w:hint="default" w:ascii="Calibri" w:hAnsi="Calibri" w:cs="Calibri"/>
        </w:rPr>
      </w:pPr>
      <w:r>
        <w:rPr>
          <w:rFonts w:hint="default" w:ascii="Calibri" w:hAnsi="Calibri" w:eastAsia="微软雅黑" w:cs="Calibri"/>
          <w:kern w:val="0"/>
          <w:sz w:val="24"/>
          <w:szCs w:val="24"/>
          <w:lang w:val="en-US" w:eastAsia="zh-CN" w:bidi="ar"/>
        </w:rPr>
        <w:t>Professor Hu's research on the moral dimension of qi-yun has profoundly influenced my values. She proposed that qi-yun requires the alignment of sincerity with the Dao, and this alignment carries ethical weight (Hu, 2016; Hu, 2021). I agree that qi-yun is not morally neutral. Those landscapes that glorify the conquest of nature may exhibit strong formal qi-yun, yet they might contradict the ethical concept of the unity of heaven and humanity in China. At the same time, I always avoid judging students by personal moral standards. Instead, I strive to design learning scenarios that guide them to explore how their own values shape their qi-yun expressions.</w:t>
      </w:r>
    </w:p>
    <w:p w14:paraId="78AA3367">
      <w:pPr>
        <w:pStyle w:val="2"/>
        <w:keepNext w:val="0"/>
        <w:keepLines w:val="0"/>
        <w:widowControl/>
        <w:suppressLineNumbers w:val="0"/>
        <w:rPr>
          <w:rFonts w:hint="default" w:ascii="Calibri" w:hAnsi="Calibri" w:eastAsia="宋体" w:cs="Calibri"/>
          <w:sz w:val="28"/>
          <w:szCs w:val="28"/>
          <w:lang w:eastAsia="zh-CN"/>
        </w:rPr>
      </w:pPr>
      <w:r>
        <w:rPr>
          <w:rFonts w:hint="default" w:ascii="Calibri" w:hAnsi="Calibri" w:eastAsia="微软雅黑" w:cs="Calibri"/>
          <w:b/>
          <w:bCs/>
          <w:kern w:val="0"/>
          <w:sz w:val="28"/>
          <w:szCs w:val="28"/>
          <w:lang w:val="en-US" w:eastAsia="zh-CN" w:bidi="ar"/>
        </w:rPr>
        <w:t>Methodology:Phenomenology and qualitative research based on practice</w:t>
      </w:r>
    </w:p>
    <w:p w14:paraId="42C494B3">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Based on this philosophical background, my research method is practice-based and adopts the qualitative research paradigm, which combines practice as research, phenomenological reflection, autobiographical ethnography and future small-scale teaching experiments.</w:t>
      </w:r>
    </w:p>
    <w:p w14:paraId="12EA447B">
      <w:pPr>
        <w:pStyle w:val="3"/>
        <w:keepNext w:val="0"/>
        <w:keepLines w:val="0"/>
        <w:widowControl/>
        <w:suppressLineNumbers w:val="0"/>
        <w:rPr>
          <w:rFonts w:hint="default" w:ascii="Calibri" w:hAnsi="Calibri" w:eastAsia="宋体" w:cs="Calibri"/>
          <w:sz w:val="28"/>
          <w:szCs w:val="28"/>
          <w:lang w:eastAsia="zh-CN"/>
        </w:rPr>
      </w:pPr>
      <w:r>
        <w:rPr>
          <w:rFonts w:hint="default" w:ascii="Calibri" w:hAnsi="Calibri" w:eastAsia="微软雅黑" w:cs="Calibri"/>
          <w:b/>
          <w:bCs/>
          <w:kern w:val="0"/>
          <w:sz w:val="28"/>
          <w:szCs w:val="28"/>
          <w:lang w:val="en-US" w:eastAsia="zh-CN" w:bidi="ar"/>
        </w:rPr>
        <w:t>Practice as Research and Interactive Artifacts</w:t>
      </w:r>
    </w:p>
    <w:p w14:paraId="2E37B982">
      <w:pPr>
        <w:pStyle w:val="5"/>
        <w:keepNext w:val="0"/>
        <w:keepLines w:val="0"/>
        <w:widowControl/>
        <w:suppressLineNumbers w:val="0"/>
        <w:rPr>
          <w:rFonts w:hint="default" w:ascii="Calibri" w:hAnsi="Calibri" w:cs="Calibri"/>
        </w:rPr>
      </w:pPr>
      <w:r>
        <w:rPr>
          <w:rFonts w:hint="default" w:ascii="Calibri" w:hAnsi="Calibri" w:eastAsia="微软雅黑" w:cs="Calibri"/>
          <w:kern w:val="0"/>
          <w:sz w:val="24"/>
          <w:szCs w:val="24"/>
          <w:lang w:val="en-US" w:eastAsia="zh-CN" w:bidi="ar"/>
        </w:rPr>
        <w:t>Through Nelson's multimodal model, I conceptualize artworks as entities that embody both object and methodological attributes. These works function as' insight fields'—spaces where tacit knowledge emerges through action (Nelson, 2013; Sullivan, 2010). The triptych screen exemplifies such a field. In the next phase, I plan to develop interactive media specifically designed for A/B classrooms, such as:</w:t>
      </w:r>
    </w:p>
    <w:p w14:paraId="761E8E03">
      <w:pPr>
        <w:pStyle w:val="5"/>
        <w:keepNext w:val="0"/>
        <w:keepLines w:val="0"/>
        <w:widowControl/>
        <w:suppressLineNumbers w:val="0"/>
        <w:rPr>
          <w:rFonts w:hint="default" w:ascii="Calibri" w:hAnsi="Calibri" w:cs="Calibri"/>
        </w:rPr>
      </w:pPr>
      <w:r>
        <w:rPr>
          <w:rFonts w:hint="default" w:ascii="Calibri" w:hAnsi="Calibri" w:eastAsia="微软雅黑" w:cs="Calibri"/>
          <w:kern w:val="0"/>
          <w:sz w:val="24"/>
          <w:szCs w:val="24"/>
          <w:lang w:val="en-US" w:eastAsia="zh-CN" w:bidi="ar"/>
        </w:rPr>
        <w:t>A digital landscape interface where students can manually adjust the fog layer and ink tones.</w:t>
      </w:r>
    </w:p>
    <w:p w14:paraId="3A683135">
      <w:pPr>
        <w:pStyle w:val="5"/>
        <w:keepNext w:val="0"/>
        <w:keepLines w:val="0"/>
        <w:widowControl/>
        <w:suppressLineNumbers w:val="0"/>
        <w:rPr>
          <w:rFonts w:hint="default" w:ascii="Calibri" w:hAnsi="Calibri" w:cs="Calibri"/>
        </w:rPr>
      </w:pPr>
      <w:r>
        <w:rPr>
          <w:rFonts w:hint="default" w:ascii="Calibri" w:hAnsi="Calibri" w:eastAsia="微软雅黑" w:cs="Calibri"/>
          <w:kern w:val="0"/>
          <w:sz w:val="24"/>
          <w:szCs w:val="24"/>
          <w:lang w:val="en-US" w:eastAsia="zh-CN" w:bidi="ar"/>
        </w:rPr>
        <w:t>A physical device that responds to the viewer's proximity and movement trajectory by projecting a landscape.</w:t>
      </w:r>
    </w:p>
    <w:p w14:paraId="0075DFB3">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These artifacts will first undergo testing in a studio setting, where I will observe how they interact with different bodies, gestures, and cultural contexts. I will document field notes, sketches, and video screenshots, while writing phenomenological descriptions of personal experiences before the artworks. This approach aligns with the perspective of embodied phenomenology, as I will focus on lived perception rather than abstract analysis (Merleau-Ponty, 2012; Varela et al., 1991).</w:t>
      </w:r>
    </w:p>
    <w:p w14:paraId="721EF665">
      <w:pPr>
        <w:pStyle w:val="3"/>
        <w:keepNext w:val="0"/>
        <w:keepLines w:val="0"/>
        <w:widowControl/>
        <w:suppressLineNumbers w:val="0"/>
        <w:rPr>
          <w:rFonts w:hint="default" w:ascii="Calibri" w:hAnsi="Calibri" w:eastAsia="宋体" w:cs="Calibri"/>
          <w:sz w:val="28"/>
          <w:szCs w:val="28"/>
          <w:lang w:eastAsia="zh-CN"/>
        </w:rPr>
      </w:pPr>
      <w:r>
        <w:rPr>
          <w:rFonts w:hint="default" w:ascii="Calibri" w:hAnsi="Calibri" w:eastAsia="微软雅黑" w:cs="Calibri"/>
          <w:b/>
          <w:bCs/>
          <w:kern w:val="0"/>
          <w:sz w:val="28"/>
          <w:szCs w:val="28"/>
          <w:lang w:val="en-US" w:eastAsia="zh-CN" w:bidi="ar"/>
        </w:rPr>
        <w:t>Plan A/B instructional design</w:t>
      </w:r>
    </w:p>
    <w:p w14:paraId="76AE8965">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In this teaching research project, I will guide 16 undergraduate students majoring in Chinese landscape painting from a Chinese university. The subjects were evenly distributed by gender and divided into Experimental Group A (interactive teaching) and Control Group B (traditional teaching). During the four-week course, each group conducted two two-hour thematic seminars per week, totaling 8 hours.</w:t>
      </w:r>
    </w:p>
    <w:p w14:paraId="339523E3">
      <w:pPr>
        <w:pStyle w:val="5"/>
        <w:keepNext w:val="0"/>
        <w:keepLines w:val="0"/>
        <w:widowControl/>
        <w:suppressLineNumbers w:val="0"/>
        <w:rPr>
          <w:rFonts w:hint="default" w:ascii="Calibri" w:hAnsi="Calibri" w:eastAsia="微软雅黑" w:cs="Calibri"/>
          <w:kern w:val="0"/>
          <w:sz w:val="24"/>
          <w:szCs w:val="24"/>
          <w:lang w:val="en-US" w:eastAsia="zh-CN" w:bidi="ar"/>
        </w:rPr>
      </w:pPr>
      <w:r>
        <w:rPr>
          <w:rFonts w:hint="default" w:ascii="Calibri" w:hAnsi="Calibri" w:eastAsia="微软雅黑" w:cs="Calibri"/>
          <w:kern w:val="0"/>
          <w:sz w:val="24"/>
          <w:szCs w:val="24"/>
          <w:lang w:val="en-US" w:eastAsia="zh-CN" w:bidi="ar"/>
        </w:rPr>
        <w:t>Phase 1: Pre-test, short interviews and baseline landscape painting.</w:t>
      </w:r>
    </w:p>
    <w:p w14:paraId="49C009AC">
      <w:pPr>
        <w:pStyle w:val="5"/>
        <w:keepNext w:val="0"/>
        <w:keepLines w:val="0"/>
        <w:widowControl/>
        <w:suppressLineNumbers w:val="0"/>
        <w:rPr>
          <w:rFonts w:hint="default" w:ascii="Calibri" w:hAnsi="Calibri" w:cs="Calibri"/>
        </w:rPr>
      </w:pPr>
      <w:r>
        <w:rPr>
          <w:rFonts w:hint="default" w:ascii="Calibri" w:hAnsi="Calibri" w:eastAsia="微软雅黑" w:cs="Calibri"/>
          <w:kern w:val="0"/>
          <w:sz w:val="24"/>
          <w:szCs w:val="24"/>
          <w:lang w:val="en-US" w:eastAsia="zh-CN" w:bidi="ar"/>
        </w:rPr>
        <w:t xml:space="preserve">Part 2: Teaching of </w:t>
      </w:r>
      <w:r>
        <w:rPr>
          <w:rFonts w:hint="eastAsia" w:ascii="Calibri" w:hAnsi="Calibri" w:eastAsia="微软雅黑" w:cs="Calibri"/>
          <w:kern w:val="0"/>
          <w:sz w:val="24"/>
          <w:szCs w:val="24"/>
          <w:lang w:val="en-US" w:eastAsia="zh-CN" w:bidi="ar"/>
        </w:rPr>
        <w:t>Qi yun</w:t>
      </w:r>
      <w:r>
        <w:rPr>
          <w:rFonts w:hint="default" w:ascii="Calibri" w:hAnsi="Calibri" w:eastAsia="微软雅黑" w:cs="Calibri"/>
          <w:kern w:val="0"/>
          <w:sz w:val="24"/>
          <w:szCs w:val="24"/>
          <w:lang w:val="en-US" w:eastAsia="zh-CN" w:bidi="ar"/>
        </w:rPr>
        <w:t>.</w:t>
      </w:r>
    </w:p>
    <w:p w14:paraId="72CE612B">
      <w:pPr>
        <w:pStyle w:val="5"/>
        <w:keepNext w:val="0"/>
        <w:keepLines w:val="0"/>
        <w:widowControl/>
        <w:suppressLineNumbers w:val="0"/>
        <w:rPr>
          <w:rFonts w:hint="default" w:ascii="Calibri" w:hAnsi="Calibri" w:cs="Calibri"/>
        </w:rPr>
      </w:pPr>
      <w:r>
        <w:rPr>
          <w:rFonts w:hint="default" w:ascii="Calibri" w:hAnsi="Calibri" w:eastAsia="微软雅黑" w:cs="Calibri"/>
          <w:kern w:val="0"/>
          <w:sz w:val="24"/>
          <w:szCs w:val="24"/>
          <w:lang w:val="en-US" w:eastAsia="zh-CN" w:bidi="ar"/>
        </w:rPr>
        <w:t>Group A: Interactive/Digital Landscape Activities (for example, exploring qi through motion-sensing projections or collage techniques).</w:t>
      </w:r>
    </w:p>
    <w:p w14:paraId="21599BF7">
      <w:pPr>
        <w:pStyle w:val="5"/>
        <w:keepNext w:val="0"/>
        <w:keepLines w:val="0"/>
        <w:widowControl/>
        <w:suppressLineNumbers w:val="0"/>
        <w:rPr>
          <w:rFonts w:hint="default" w:ascii="Calibri" w:hAnsi="Calibri" w:cs="Calibri"/>
        </w:rPr>
      </w:pPr>
      <w:r>
        <w:rPr>
          <w:rFonts w:hint="default" w:ascii="Calibri" w:hAnsi="Calibri" w:eastAsia="微软雅黑" w:cs="Calibri"/>
          <w:kern w:val="0"/>
          <w:sz w:val="24"/>
          <w:szCs w:val="24"/>
          <w:lang w:val="en-US" w:eastAsia="zh-CN" w:bidi="ar"/>
        </w:rPr>
        <w:t>Group B: Traditional interpretation and brushwork demonstration, with emphasis on composition, brush techniques, and artistic expression.</w:t>
      </w:r>
    </w:p>
    <w:p w14:paraId="409E78B7">
      <w:pPr>
        <w:pStyle w:val="5"/>
        <w:keepNext w:val="0"/>
        <w:keepLines w:val="0"/>
        <w:widowControl/>
        <w:suppressLineNumbers w:val="0"/>
        <w:rPr>
          <w:rFonts w:hint="default" w:ascii="Calibri" w:hAnsi="Calibri" w:cs="Calibri"/>
        </w:rPr>
      </w:pPr>
      <w:r>
        <w:rPr>
          <w:rFonts w:hint="default" w:ascii="Calibri" w:hAnsi="Calibri" w:eastAsia="微软雅黑" w:cs="Calibri"/>
          <w:kern w:val="0"/>
          <w:sz w:val="24"/>
          <w:szCs w:val="24"/>
          <w:lang w:val="en-US" w:eastAsia="zh-CN" w:bidi="ar"/>
        </w:rPr>
        <w:t>Phase 3: Creative workshops.</w:t>
      </w:r>
    </w:p>
    <w:p w14:paraId="5E883C36">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Group A: Interactive installations or digital landscapes created in small groups.</w:t>
      </w:r>
    </w:p>
    <w:p w14:paraId="35261032">
      <w:pPr>
        <w:pStyle w:val="5"/>
        <w:keepNext w:val="0"/>
        <w:keepLines w:val="0"/>
        <w:widowControl/>
        <w:suppressLineNumbers w:val="0"/>
        <w:rPr>
          <w:rFonts w:hint="default" w:ascii="Calibri" w:hAnsi="Calibri" w:cs="Calibri"/>
        </w:rPr>
      </w:pPr>
      <w:r>
        <w:rPr>
          <w:rFonts w:hint="default" w:ascii="Calibri" w:hAnsi="Calibri" w:eastAsia="微软雅黑" w:cs="Calibri"/>
          <w:kern w:val="0"/>
          <w:sz w:val="24"/>
          <w:szCs w:val="24"/>
          <w:lang w:val="en-US" w:eastAsia="zh-CN" w:bidi="ar"/>
        </w:rPr>
        <w:t>Group B: Traditional paper painting practice.</w:t>
      </w:r>
    </w:p>
    <w:p w14:paraId="0638BAB4">
      <w:pPr>
        <w:pStyle w:val="5"/>
        <w:keepNext w:val="0"/>
        <w:keepLines w:val="0"/>
        <w:widowControl/>
        <w:suppressLineNumbers w:val="0"/>
        <w:rPr>
          <w:rFonts w:hint="default" w:ascii="Calibri" w:hAnsi="Calibri" w:cs="Calibri"/>
        </w:rPr>
      </w:pPr>
      <w:r>
        <w:rPr>
          <w:rFonts w:hint="default" w:ascii="Calibri" w:hAnsi="Calibri" w:eastAsia="微软雅黑" w:cs="Calibri"/>
          <w:kern w:val="0"/>
          <w:sz w:val="24"/>
          <w:szCs w:val="24"/>
          <w:lang w:val="en-US" w:eastAsia="zh-CN" w:bidi="ar"/>
        </w:rPr>
        <w:t>Phase 4: Organize A/B groups to complete post-learning questionnaires, final exhibition displays, and brief interviews respectively.</w:t>
      </w:r>
    </w:p>
    <w:p w14:paraId="1615160C">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This study is designed to be small-scale and exploratory, not seeking statistical generalizability but aiming to build a rich and comparable case material. Building on Creswell's research in qualitative research and mixed-method design, I consider pre-and post-painting works, interview transcripts, and field notes as multiple forms of qualitative data, all of which can be subjected to thematic analysis (Creswell, 2009; Creswell &amp; Plano Clark, 2018).</w:t>
      </w:r>
    </w:p>
    <w:p w14:paraId="2F559956">
      <w:pPr>
        <w:pStyle w:val="3"/>
        <w:keepNext w:val="0"/>
        <w:keepLines w:val="0"/>
        <w:widowControl/>
        <w:suppressLineNumbers w:val="0"/>
        <w:rPr>
          <w:rFonts w:hint="default" w:ascii="Calibri" w:hAnsi="Calibri" w:eastAsia="宋体" w:cs="Calibri"/>
          <w:sz w:val="28"/>
          <w:szCs w:val="28"/>
          <w:lang w:eastAsia="zh-CN"/>
        </w:rPr>
      </w:pPr>
      <w:r>
        <w:rPr>
          <w:rFonts w:hint="default" w:ascii="Calibri" w:hAnsi="Calibri" w:eastAsia="微软雅黑" w:cs="Calibri"/>
          <w:b/>
          <w:bCs/>
          <w:kern w:val="0"/>
          <w:sz w:val="28"/>
          <w:szCs w:val="28"/>
          <w:lang w:val="en-US" w:eastAsia="zh-CN" w:bidi="ar"/>
        </w:rPr>
        <w:t>Plan expert interviews</w:t>
      </w:r>
    </w:p>
    <w:p w14:paraId="29F9FD91">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Before conducting A/B teaching, I planned to conduct semi-structured interviews with eight professors of Chinese landscape painting from different institutions (comprehensive universities, art academies, research institutes). The sampling adopted the purposive sampling method guided by the "information-rich case" principle proposed by Patton (2002).</w:t>
      </w:r>
    </w:p>
    <w:p w14:paraId="4FB89E5D">
      <w:pPr>
        <w:pStyle w:val="5"/>
        <w:keepNext w:val="0"/>
        <w:keepLines w:val="0"/>
        <w:widowControl/>
        <w:suppressLineNumbers w:val="0"/>
        <w:rPr>
          <w:rFonts w:hint="default" w:ascii="Calibri" w:hAnsi="Calibri" w:cs="Calibri"/>
        </w:rPr>
      </w:pPr>
      <w:r>
        <w:rPr>
          <w:rFonts w:hint="default" w:ascii="Calibri" w:hAnsi="Calibri" w:eastAsia="微软雅黑" w:cs="Calibri"/>
          <w:kern w:val="0"/>
          <w:sz w:val="24"/>
          <w:szCs w:val="24"/>
          <w:lang w:val="en-US" w:eastAsia="zh-CN" w:bidi="ar"/>
        </w:rPr>
        <w:t>The interview will include:</w:t>
      </w:r>
    </w:p>
    <w:p w14:paraId="5F5588C1">
      <w:pPr>
        <w:pStyle w:val="5"/>
        <w:keepNext w:val="0"/>
        <w:keepLines w:val="0"/>
        <w:widowControl/>
        <w:suppressLineNumbers w:val="0"/>
        <w:rPr>
          <w:rFonts w:hint="default" w:ascii="Calibri" w:hAnsi="Calibri" w:cs="Calibri"/>
        </w:rPr>
      </w:pPr>
      <w:r>
        <w:rPr>
          <w:rFonts w:hint="default" w:ascii="Calibri" w:hAnsi="Calibri" w:eastAsia="微软雅黑" w:cs="Calibri"/>
          <w:kern w:val="0"/>
          <w:sz w:val="24"/>
          <w:szCs w:val="24"/>
          <w:lang w:val="en-US" w:eastAsia="zh-CN" w:bidi="ar"/>
        </w:rPr>
        <w:t>How do they interpret the dynamic interplay between qi clouds and qi rhythm (Sullivan, 1962; Hu, 2016; Sernelj, 2021)?</w:t>
      </w:r>
    </w:p>
    <w:p w14:paraId="6E425280">
      <w:pPr>
        <w:pStyle w:val="5"/>
        <w:keepNext w:val="0"/>
        <w:keepLines w:val="0"/>
        <w:widowControl/>
        <w:suppressLineNumbers w:val="0"/>
        <w:rPr>
          <w:rFonts w:hint="default" w:ascii="Calibri" w:hAnsi="Calibri" w:cs="Calibri"/>
        </w:rPr>
      </w:pPr>
      <w:r>
        <w:rPr>
          <w:rFonts w:hint="default" w:ascii="Calibri" w:hAnsi="Calibri" w:eastAsia="微软雅黑" w:cs="Calibri"/>
          <w:kern w:val="0"/>
          <w:sz w:val="24"/>
          <w:szCs w:val="24"/>
          <w:lang w:val="en-US" w:eastAsia="zh-CN" w:bidi="ar"/>
        </w:rPr>
        <w:t>They currently teach the method of qi-yun in the studio courses.</w:t>
      </w:r>
    </w:p>
    <w:p w14:paraId="576876B2">
      <w:pPr>
        <w:pStyle w:val="5"/>
        <w:keepNext w:val="0"/>
        <w:keepLines w:val="0"/>
        <w:widowControl/>
        <w:suppressLineNumbers w:val="0"/>
        <w:rPr>
          <w:rFonts w:hint="default" w:ascii="Calibri" w:hAnsi="Calibri" w:cs="Calibri"/>
        </w:rPr>
      </w:pPr>
      <w:r>
        <w:rPr>
          <w:rFonts w:hint="default" w:ascii="Calibri" w:hAnsi="Calibri" w:eastAsia="微软雅黑" w:cs="Calibri"/>
          <w:kern w:val="0"/>
          <w:sz w:val="24"/>
          <w:szCs w:val="24"/>
          <w:lang w:val="en-US" w:eastAsia="zh-CN" w:bidi="ar"/>
        </w:rPr>
        <w:t>Their views on the application of digital and interactive media in painting education;</w:t>
      </w:r>
    </w:p>
    <w:p w14:paraId="0B0CDBA5">
      <w:pPr>
        <w:pStyle w:val="5"/>
        <w:keepNext w:val="0"/>
        <w:keepLines w:val="0"/>
        <w:widowControl/>
        <w:suppressLineNumbers w:val="0"/>
        <w:rPr>
          <w:rFonts w:hint="default" w:ascii="Calibri" w:hAnsi="Calibri" w:cs="Calibri"/>
        </w:rPr>
      </w:pPr>
      <w:r>
        <w:rPr>
          <w:rFonts w:hint="default" w:ascii="Calibri" w:hAnsi="Calibri" w:eastAsia="微软雅黑" w:cs="Calibri"/>
          <w:kern w:val="0"/>
          <w:sz w:val="24"/>
          <w:szCs w:val="24"/>
          <w:lang w:val="en-US" w:eastAsia="zh-CN" w:bidi="ar"/>
        </w:rPr>
        <w:t>Their feedback on my A/B group teaching design and evaluation criteria.</w:t>
      </w:r>
    </w:p>
    <w:p w14:paraId="2C47DAF3">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The interview content will be recorded after obtaining consent, then transcribed and analyzed using the thematic analysis method (Nowell et al., 2017), with a focus on recurring metaphors, bodily descriptions, and concerns about morality and tradition. The qualitative interview framework developed by Kvale and Brinkmann (2009) will guide the design of the dialogue and ethical practices.</w:t>
      </w:r>
    </w:p>
    <w:p w14:paraId="372C04C5">
      <w:pPr>
        <w:pStyle w:val="3"/>
        <w:keepNext w:val="0"/>
        <w:keepLines w:val="0"/>
        <w:widowControl/>
        <w:suppressLineNumbers w:val="0"/>
        <w:rPr>
          <w:rFonts w:hint="default" w:ascii="Calibri" w:hAnsi="Calibri" w:eastAsia="宋体" w:cs="Calibri"/>
          <w:sz w:val="28"/>
          <w:szCs w:val="28"/>
          <w:lang w:eastAsia="zh-CN"/>
        </w:rPr>
      </w:pPr>
      <w:r>
        <w:rPr>
          <w:rFonts w:hint="default" w:ascii="Calibri" w:hAnsi="Calibri" w:eastAsia="微软雅黑" w:cs="Calibri"/>
          <w:b/>
          <w:bCs/>
          <w:kern w:val="0"/>
          <w:sz w:val="28"/>
          <w:szCs w:val="28"/>
          <w:lang w:val="en-US" w:eastAsia="zh-CN" w:bidi="ar"/>
        </w:rPr>
        <w:t>Autobiographical ethnography and reflective diary</w:t>
      </w:r>
    </w:p>
    <w:p w14:paraId="171628E3">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To effectively manage personal biases and transform internal knowledge into resources rather than hidden dangers, I will adopt the autobiographical ethnographic research method (Ellis, 2004). By regularly writing research journals, I will systematically record emotional responses, cultural cognitive biases, and shifts in understanding during exhibitions, classroom experiments, and interviews. This research approach allows me to deeply analyze how the authoritative status of being a teacher, as well as the identity of Chinese painters in the UK, influences my observational perspective and cognitive boundaries.</w:t>
      </w:r>
    </w:p>
    <w:p w14:paraId="4030D2D4">
      <w:pPr>
        <w:pStyle w:val="5"/>
        <w:keepNext w:val="0"/>
        <w:keepLines w:val="0"/>
        <w:widowControl/>
        <w:suppressLineNumbers w:val="0"/>
        <w:rPr>
          <w:rFonts w:hint="default" w:ascii="Calibri" w:hAnsi="Calibri" w:cs="Calibri"/>
        </w:rPr>
      </w:pPr>
      <w:r>
        <w:rPr>
          <w:rFonts w:hint="default" w:ascii="Calibri" w:hAnsi="Calibri" w:eastAsia="微软雅黑" w:cs="Calibri"/>
          <w:kern w:val="0"/>
          <w:sz w:val="24"/>
          <w:szCs w:val="24"/>
          <w:lang w:val="en-US" w:eastAsia="zh-CN" w:bidi="ar"/>
        </w:rPr>
        <w:t>Self-ethnography is often criticized for being too subjective or self-centered. To address this issue, I adopted Ellis's suggestion to combine personal narratives with broader cultural and theoretical frameworks, and to use diaries primarily as a tool for reflective analysis rather than as the main source of data for students' or teachers' claims.</w:t>
      </w:r>
    </w:p>
    <w:p w14:paraId="6E73E9E2">
      <w:pPr>
        <w:pStyle w:val="2"/>
        <w:keepNext w:val="0"/>
        <w:keepLines w:val="0"/>
        <w:widowControl/>
        <w:suppressLineNumbers w:val="0"/>
        <w:rPr>
          <w:rFonts w:hint="default" w:ascii="Calibri" w:hAnsi="Calibri" w:eastAsia="宋体" w:cs="Calibri"/>
          <w:sz w:val="28"/>
          <w:szCs w:val="28"/>
          <w:lang w:eastAsia="zh-CN"/>
        </w:rPr>
      </w:pPr>
      <w:r>
        <w:rPr>
          <w:rFonts w:hint="default" w:ascii="Calibri" w:hAnsi="Calibri" w:eastAsia="微软雅黑" w:cs="Calibri"/>
          <w:b/>
          <w:bCs/>
          <w:kern w:val="0"/>
          <w:sz w:val="28"/>
          <w:szCs w:val="28"/>
          <w:lang w:val="en-US" w:eastAsia="zh-CN" w:bidi="ar"/>
        </w:rPr>
        <w:t>Reliability, Validity and Credibility</w:t>
      </w:r>
    </w:p>
    <w:p w14:paraId="78477A58">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As this study employs qualitative research methods grounded in practice, traditional concepts of reliability and validity are not fully applicable. Therefore, I adopted the 'credibility' framework proposed by Lincoln and Guba (1985; Nowell et al., 2017), which encompasses credibility, transferability, dependability, and verifiability.</w:t>
      </w:r>
    </w:p>
    <w:p w14:paraId="6538AE3E">
      <w:pPr>
        <w:pStyle w:val="5"/>
        <w:keepNext w:val="0"/>
        <w:keepLines w:val="0"/>
        <w:widowControl/>
        <w:suppressLineNumbers w:val="0"/>
        <w:rPr>
          <w:rFonts w:hint="default" w:ascii="Calibri" w:hAnsi="Calibri" w:cs="Calibri"/>
        </w:rPr>
      </w:pPr>
      <w:r>
        <w:rPr>
          <w:rFonts w:hint="default" w:ascii="Calibri" w:hAnsi="Calibri" w:eastAsia="微软雅黑" w:cs="Calibri"/>
          <w:kern w:val="0"/>
          <w:sz w:val="24"/>
          <w:szCs w:val="24"/>
          <w:lang w:val="en-US" w:eastAsia="zh-CN" w:bidi="ar"/>
        </w:rPr>
        <w:t>Credibility refers to the persuasiveness of research findings among people with similar backgrounds. To ensure credibility, I plan to take the following measures:</w:t>
      </w:r>
    </w:p>
    <w:p w14:paraId="2E6AE170">
      <w:pPr>
        <w:pStyle w:val="5"/>
        <w:keepNext w:val="0"/>
        <w:keepLines w:val="0"/>
        <w:widowControl/>
        <w:suppressLineNumbers w:val="0"/>
        <w:rPr>
          <w:rFonts w:hint="default" w:ascii="Calibri" w:hAnsi="Calibri" w:eastAsia="微软雅黑" w:cs="Calibri"/>
          <w:kern w:val="0"/>
          <w:sz w:val="24"/>
          <w:szCs w:val="24"/>
          <w:lang w:val="en-US" w:eastAsia="zh-CN" w:bidi="ar"/>
        </w:rPr>
      </w:pPr>
      <w:r>
        <w:rPr>
          <w:rFonts w:hint="default" w:ascii="Calibri" w:hAnsi="Calibri" w:eastAsia="微软雅黑" w:cs="Calibri"/>
          <w:kern w:val="0"/>
          <w:sz w:val="24"/>
          <w:szCs w:val="24"/>
          <w:lang w:val="en-US" w:eastAsia="zh-CN" w:bidi="ar"/>
        </w:rPr>
        <w:t>The triangulation method is employed. I will cross-check the following materials: field observations (including screen presentations and subsequent installation art), student works (paintings and interactive projects), professor interviews, and personal field notes. As Danjin (1978) noted, triangulating methods and data sources can deepen and validate the interpretation of qualitative research.</w:t>
      </w:r>
    </w:p>
    <w:p w14:paraId="2DF95F8F">
      <w:pPr>
        <w:pStyle w:val="5"/>
        <w:keepNext w:val="0"/>
        <w:keepLines w:val="0"/>
        <w:widowControl/>
        <w:suppressLineNumbers w:val="0"/>
        <w:rPr>
          <w:rFonts w:hint="default" w:ascii="Calibri" w:hAnsi="Calibri" w:eastAsia="微软雅黑" w:cs="Calibri"/>
          <w:kern w:val="0"/>
          <w:sz w:val="24"/>
          <w:szCs w:val="24"/>
          <w:lang w:val="en-US" w:eastAsia="zh-CN" w:bidi="ar"/>
        </w:rPr>
      </w:pPr>
      <w:r>
        <w:rPr>
          <w:rFonts w:hint="default" w:ascii="Calibri" w:hAnsi="Calibri" w:eastAsia="微软雅黑" w:cs="Calibri"/>
          <w:kern w:val="0"/>
          <w:sz w:val="24"/>
          <w:szCs w:val="24"/>
          <w:lang w:val="en-US" w:eastAsia="zh-CN" w:bidi="ar"/>
        </w:rPr>
        <w:t>I will conduct reflection sessions. Where feasible, I will share concise summaries of my interpretations of student works with participating teachers and present them in a more accessible format to students, while inviting their feedback. This is not a rigid 'peer review' but an ongoing dialogue to assess whether my analysis of students' interpretations of qi-yun (fate) is fair and well-received.</w:t>
      </w:r>
    </w:p>
    <w:p w14:paraId="260DA065">
      <w:pPr>
        <w:pStyle w:val="5"/>
        <w:keepNext w:val="0"/>
        <w:keepLines w:val="0"/>
        <w:widowControl/>
        <w:suppressLineNumbers w:val="0"/>
        <w:rPr>
          <w:rFonts w:hint="default" w:ascii="Calibri" w:hAnsi="Calibri" w:cs="Calibri"/>
        </w:rPr>
      </w:pPr>
      <w:r>
        <w:rPr>
          <w:rFonts w:hint="default" w:ascii="Calibri" w:hAnsi="Calibri" w:eastAsia="微软雅黑" w:cs="Calibri"/>
          <w:kern w:val="0"/>
          <w:sz w:val="24"/>
          <w:szCs w:val="24"/>
          <w:lang w:val="en-US" w:eastAsia="zh-CN" w:bidi="ar"/>
        </w:rPr>
        <w:t>Rooted in lived experience, the analysis is grounded in detailed descriptions of specific moments—such as when a student, after interacting with the installation, remarked that her mountain "breathes better" and described how she adjusted her wrist. This approach preserves the richness of the phenomenon (Hein, 1998; Dewey, 1934).</w:t>
      </w:r>
    </w:p>
    <w:p w14:paraId="1AD4B350">
      <w:pPr>
        <w:pStyle w:val="3"/>
        <w:keepNext w:val="0"/>
        <w:keepLines w:val="0"/>
        <w:widowControl/>
        <w:suppressLineNumbers w:val="0"/>
        <w:rPr>
          <w:rFonts w:hint="default" w:ascii="Calibri" w:hAnsi="Calibri" w:eastAsia="宋体" w:cs="Calibri"/>
          <w:sz w:val="28"/>
          <w:szCs w:val="28"/>
          <w:lang w:eastAsia="zh-CN"/>
        </w:rPr>
      </w:pPr>
      <w:r>
        <w:rPr>
          <w:rFonts w:hint="default" w:ascii="Calibri" w:hAnsi="Calibri" w:eastAsia="微软雅黑" w:cs="Calibri"/>
          <w:b/>
          <w:bCs/>
          <w:kern w:val="0"/>
          <w:sz w:val="28"/>
          <w:szCs w:val="28"/>
          <w:lang w:val="en-US" w:eastAsia="zh-CN" w:bidi="ar"/>
        </w:rPr>
        <w:t>Negotiability</w:t>
      </w:r>
    </w:p>
    <w:p w14:paraId="03D91B65">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Transferability refers to whether readers can determine whether an insight in one context applies to another. I do not claim that the findings of a single class of 16 students can represent all China landscape painting education. Instead, I will elaborate on the institution's background, the students' prior experience, and the specific techniques employed, so that other teachers and researchers can evaluate the applicability of my research findings to their teaching environments (Lincoln and Cuba, 1985; Patten, 2002).</w:t>
      </w:r>
    </w:p>
    <w:p w14:paraId="2E42FEE4">
      <w:pPr>
        <w:pStyle w:val="3"/>
        <w:keepNext w:val="0"/>
        <w:keepLines w:val="0"/>
        <w:widowControl/>
        <w:suppressLineNumbers w:val="0"/>
        <w:rPr>
          <w:rFonts w:hint="default" w:ascii="Calibri" w:hAnsi="Calibri" w:eastAsia="宋体" w:cs="Calibri"/>
          <w:sz w:val="28"/>
          <w:szCs w:val="28"/>
          <w:lang w:eastAsia="zh-CN"/>
        </w:rPr>
      </w:pPr>
      <w:r>
        <w:rPr>
          <w:rFonts w:hint="default" w:ascii="Calibri" w:hAnsi="Calibri" w:eastAsia="微软雅黑" w:cs="Calibri"/>
          <w:b/>
          <w:bCs/>
          <w:kern w:val="0"/>
          <w:sz w:val="28"/>
          <w:szCs w:val="28"/>
          <w:lang w:val="en-US" w:eastAsia="zh-CN" w:bidi="ar"/>
        </w:rPr>
        <w:t>Reliability</w:t>
      </w:r>
    </w:p>
    <w:p w14:paraId="426EAC46">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 xml:space="preserve">Reliability pertains to the stability and transparency of the research process. Following Nowell et al.'s (2017) methodology, I will develop an audit trail system to document decision-making processes regarding research design modifications, coding framework adjustments, and shifts in understanding </w:t>
      </w:r>
      <w:r>
        <w:rPr>
          <w:rFonts w:hint="eastAsia" w:ascii="Calibri" w:hAnsi="Calibri" w:eastAsia="微软雅黑" w:cs="Calibri"/>
          <w:kern w:val="0"/>
          <w:sz w:val="24"/>
          <w:szCs w:val="24"/>
          <w:lang w:val="en-US" w:eastAsia="zh-CN" w:bidi="ar"/>
        </w:rPr>
        <w:t>Qi yun</w:t>
      </w:r>
      <w:r>
        <w:rPr>
          <w:rFonts w:hint="default" w:ascii="Calibri" w:hAnsi="Calibri" w:eastAsia="微软雅黑" w:cs="Calibri"/>
          <w:kern w:val="0"/>
          <w:sz w:val="24"/>
          <w:szCs w:val="24"/>
          <w:lang w:val="en-US" w:eastAsia="zh-CN" w:bidi="ar"/>
        </w:rPr>
        <w:t>. Specifically, this includes:The course plan and product design are divided into stages;date memo on why I changed the interview questions or the workshop structure;Coding Records and Theme Development in Interview and Student Assignment Analysis</w:t>
      </w:r>
    </w:p>
    <w:p w14:paraId="496E5DDE">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The purpose of this study is not to achieve the repeatability of the results from the quantitative point of view, but to let others understand the derivation process of the conclusion and to evaluate its consistency.</w:t>
      </w:r>
    </w:p>
    <w:p w14:paraId="66BFC099">
      <w:pPr>
        <w:pStyle w:val="3"/>
        <w:keepNext w:val="0"/>
        <w:keepLines w:val="0"/>
        <w:widowControl/>
        <w:suppressLineNumbers w:val="0"/>
        <w:rPr>
          <w:rFonts w:hint="default" w:ascii="Calibri" w:hAnsi="Calibri" w:eastAsia="宋体" w:cs="Calibri"/>
          <w:sz w:val="28"/>
          <w:szCs w:val="28"/>
          <w:lang w:eastAsia="zh-CN"/>
        </w:rPr>
      </w:pPr>
      <w:r>
        <w:rPr>
          <w:rFonts w:hint="default" w:ascii="Calibri" w:hAnsi="Calibri" w:eastAsia="微软雅黑" w:cs="Calibri"/>
          <w:b/>
          <w:bCs/>
          <w:kern w:val="0"/>
          <w:sz w:val="28"/>
          <w:szCs w:val="28"/>
          <w:lang w:val="en-US" w:eastAsia="zh-CN" w:bidi="ar"/>
        </w:rPr>
        <w:t>Confirmation ability</w:t>
      </w:r>
    </w:p>
    <w:p w14:paraId="0DEB99B9">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Verifiability concerns whether the results of a study can be traced back to the data itself, rather than being based solely on the researcher's subjective preferences. I will:</w:t>
      </w:r>
    </w:p>
    <w:p w14:paraId="6864A469">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Save the analytical memo that directly links emerging themes to specific citations, visual details, and observational behaviors.</w:t>
      </w:r>
    </w:p>
    <w:p w14:paraId="0B1A51B7">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In writing, it is essential to clearly distinguish between descriptions (of participants' words and actions) and my own interpretations or theoretical analyses.</w:t>
      </w:r>
    </w:p>
    <w:p w14:paraId="28457AFD">
      <w:pPr>
        <w:pStyle w:val="5"/>
        <w:keepNext w:val="0"/>
        <w:keepLines w:val="0"/>
        <w:widowControl/>
        <w:suppressLineNumbers w:val="0"/>
        <w:rPr>
          <w:rFonts w:hint="default" w:ascii="Calibri" w:hAnsi="Calibri" w:cs="Calibri"/>
        </w:rPr>
      </w:pPr>
      <w:r>
        <w:rPr>
          <w:rFonts w:hint="default" w:ascii="Calibri" w:hAnsi="Calibri" w:eastAsia="微软雅黑" w:cs="Calibri"/>
          <w:kern w:val="0"/>
          <w:sz w:val="24"/>
          <w:szCs w:val="24"/>
          <w:lang w:val="en-US" w:eastAsia="zh-CN" w:bidi="ar"/>
        </w:rPr>
        <w:t>I will use peer review whenever possible, inviting colleagues to review my coding samples and challenge my interpretations (Nowell et al., 2017).</w:t>
      </w:r>
    </w:p>
    <w:p w14:paraId="62E93249">
      <w:pPr>
        <w:pStyle w:val="2"/>
        <w:keepNext w:val="0"/>
        <w:keepLines w:val="0"/>
        <w:widowControl/>
        <w:suppressLineNumbers w:val="0"/>
        <w:rPr>
          <w:rFonts w:hint="default" w:ascii="Calibri" w:hAnsi="Calibri" w:eastAsia="宋体" w:cs="Calibri"/>
          <w:sz w:val="28"/>
          <w:szCs w:val="28"/>
          <w:lang w:eastAsia="zh-CN"/>
        </w:rPr>
      </w:pPr>
      <w:r>
        <w:rPr>
          <w:rFonts w:hint="default" w:ascii="Calibri" w:hAnsi="Calibri" w:eastAsia="微软雅黑" w:cs="Calibri"/>
          <w:b/>
          <w:bCs/>
          <w:kern w:val="0"/>
          <w:sz w:val="28"/>
          <w:szCs w:val="28"/>
          <w:lang w:val="en-US" w:eastAsia="zh-CN" w:bidi="ar"/>
        </w:rPr>
        <w:t>Positionalism,Prejudice and Reflection</w:t>
      </w:r>
    </w:p>
    <w:p w14:paraId="3CDAC00F">
      <w:pPr>
        <w:pStyle w:val="5"/>
        <w:keepNext w:val="0"/>
        <w:keepLines w:val="0"/>
        <w:widowControl/>
        <w:suppressLineNumbers w:val="0"/>
        <w:rPr>
          <w:rFonts w:hint="default" w:ascii="Calibri" w:hAnsi="Calibri" w:eastAsia="微软雅黑" w:cs="Calibri"/>
          <w:kern w:val="0"/>
          <w:sz w:val="24"/>
          <w:szCs w:val="24"/>
          <w:lang w:val="en-US" w:eastAsia="zh-CN" w:bidi="ar"/>
        </w:rPr>
      </w:pPr>
      <w:r>
        <w:rPr>
          <w:rFonts w:hint="default" w:ascii="Calibri" w:hAnsi="Calibri" w:eastAsia="微软雅黑" w:cs="Calibri"/>
          <w:kern w:val="0"/>
          <w:sz w:val="24"/>
          <w:szCs w:val="24"/>
          <w:lang w:val="en-US" w:eastAsia="zh-CN" w:bidi="ar"/>
        </w:rPr>
        <w:t>My position is quite complex. I am a landscape painter trained in the traditional art system of China, where artistic accomplishment is often linked to moral cultivation; a lecturer at a university in China, accustomed to hierarchical relationships in the classroom; and a doctoral student in the UK, who has been exposed to critical museology, participatory art, and Western phenomenology.</w:t>
      </w:r>
    </w:p>
    <w:p w14:paraId="6E207F3D">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This allows me to deeply observe the theory and practice of Chinese painting, but it also harbors multiple biases. I may overemphasize the traditional standard of qi and rhythm, judging students based on my personal aesthetic; I may excessively praise interactive teaching methods due to their alignment with the popular 'participatory' concept in the West; or even unconsciously play the role of a 'cultural translator,' oversimplifying Chinese aesthetics into Western theoretical frameworks.</w:t>
      </w:r>
    </w:p>
    <w:p w14:paraId="3511FA8B">
      <w:pPr>
        <w:pStyle w:val="5"/>
        <w:keepNext w:val="0"/>
        <w:keepLines w:val="0"/>
        <w:widowControl/>
        <w:suppressLineNumbers w:val="0"/>
        <w:rPr>
          <w:rFonts w:hint="default" w:ascii="Calibri" w:hAnsi="Calibri" w:cs="Calibri"/>
        </w:rPr>
      </w:pPr>
      <w:r>
        <w:rPr>
          <w:rFonts w:hint="default" w:ascii="Calibri" w:hAnsi="Calibri" w:eastAsia="微软雅黑" w:cs="Calibri"/>
          <w:kern w:val="0"/>
          <w:sz w:val="24"/>
          <w:szCs w:val="24"/>
          <w:lang w:val="en-US" w:eastAsia="zh-CN" w:bidi="ar"/>
        </w:rPr>
        <w:t>Autobiographical ethnography provides a structured approach to addressing these psychological tensions (Ellis, 2004). In my journal, I document entries that leave a lasting impression. For example:</w:t>
      </w:r>
    </w:p>
    <w:p w14:paraId="17DBFD5A">
      <w:pPr>
        <w:pStyle w:val="5"/>
        <w:keepNext w:val="0"/>
        <w:keepLines w:val="0"/>
        <w:widowControl/>
        <w:suppressLineNumbers w:val="0"/>
        <w:rPr>
          <w:rFonts w:hint="default" w:ascii="Calibri" w:hAnsi="Calibri" w:cs="Calibri"/>
        </w:rPr>
      </w:pPr>
      <w:r>
        <w:rPr>
          <w:rFonts w:hint="default" w:ascii="Calibri" w:hAnsi="Calibri" w:eastAsia="微软雅黑" w:cs="Calibri"/>
          <w:kern w:val="0"/>
          <w:sz w:val="24"/>
          <w:szCs w:val="24"/>
          <w:lang w:val="en-US" w:eastAsia="zh-CN" w:bidi="ar"/>
        </w:rPr>
        <w:t>When the student's interactive work appears "too messy", if I feel disappointed, I will ask whether it is really a problem of luck or just because I have a preference for some literati style.</w:t>
      </w:r>
    </w:p>
    <w:p w14:paraId="3D495BB3">
      <w:pPr>
        <w:pStyle w:val="5"/>
        <w:keepNext w:val="0"/>
        <w:keepLines w:val="0"/>
        <w:widowControl/>
        <w:suppressLineNumbers w:val="0"/>
        <w:rPr>
          <w:rFonts w:hint="default" w:ascii="Calibri" w:hAnsi="Calibri" w:cs="Calibri"/>
        </w:rPr>
      </w:pPr>
      <w:r>
        <w:rPr>
          <w:rFonts w:hint="default" w:ascii="Calibri" w:hAnsi="Calibri" w:eastAsia="微软雅黑" w:cs="Calibri"/>
          <w:kern w:val="0"/>
          <w:sz w:val="24"/>
          <w:szCs w:val="24"/>
          <w:lang w:val="en-US" w:eastAsia="zh-CN" w:bidi="ar"/>
        </w:rPr>
        <w:t>If I find myself citing Merleau-Ponty more frequently than Xu Fuguan or other China scholars, I will reflect on whether I have over-relied on Western theories in the British context to appear more academic.</w:t>
      </w:r>
    </w:p>
    <w:p w14:paraId="53B9E6F0">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Bourdieu's concept of' habitus 'made me realize that my cognition and values are deeply influenced by the long-term socialized environment of China's art institutions (Bourdieu, 1977). Although this does not eliminate prejudice, it at least allows me to regard personal aesthetics and training experiences as data rather than neutral standards.</w:t>
      </w:r>
    </w:p>
    <w:p w14:paraId="6BD39B54">
      <w:pPr>
        <w:pStyle w:val="5"/>
        <w:keepNext w:val="0"/>
        <w:keepLines w:val="0"/>
        <w:widowControl/>
        <w:suppressLineNumbers w:val="0"/>
        <w:rPr>
          <w:rFonts w:hint="default" w:ascii="Calibri" w:hAnsi="Calibri" w:cs="Calibri"/>
        </w:rPr>
      </w:pPr>
      <w:r>
        <w:rPr>
          <w:rFonts w:hint="default" w:ascii="Calibri" w:hAnsi="Calibri" w:eastAsia="微软雅黑" w:cs="Calibri"/>
          <w:kern w:val="0"/>
          <w:sz w:val="24"/>
          <w:szCs w:val="24"/>
          <w:lang w:val="en-US" w:eastAsia="zh-CN" w:bidi="ar"/>
        </w:rPr>
        <w:t>Furthermore, I will endeavor to decentralize my authority in the classroom. Inspired by Ranciere's concept of the "liberated audience," I aim to position students as active interpreters rather than passive receptacles awaiting the infusion of aesthetic sensibility—allowing them to generate fresh perspectives even when diverging from classical interpretations (Ranciere, 2009). This approach demands humility: I must acknowledge that while interactive screens may present aesthetic forms distinct from the literati's idealized vision, they still carry enduring relevance and moral enlightenment for the new generation.</w:t>
      </w:r>
    </w:p>
    <w:p w14:paraId="1EC34F3D">
      <w:pPr>
        <w:pStyle w:val="2"/>
        <w:keepNext w:val="0"/>
        <w:keepLines w:val="0"/>
        <w:widowControl/>
        <w:suppressLineNumbers w:val="0"/>
        <w:rPr>
          <w:rFonts w:hint="default" w:ascii="Calibri" w:hAnsi="Calibri" w:eastAsia="宋体" w:cs="Calibri"/>
          <w:sz w:val="28"/>
          <w:szCs w:val="28"/>
          <w:lang w:eastAsia="zh-CN"/>
        </w:rPr>
      </w:pPr>
      <w:r>
        <w:rPr>
          <w:rFonts w:hint="eastAsia" w:ascii="Calibri" w:hAnsi="Calibri" w:eastAsia="微软雅黑" w:cs="Calibri"/>
          <w:b/>
          <w:bCs/>
          <w:kern w:val="0"/>
          <w:sz w:val="28"/>
          <w:szCs w:val="28"/>
          <w:lang w:val="en-US" w:eastAsia="zh-CN" w:bidi="ar"/>
        </w:rPr>
        <w:t>E</w:t>
      </w:r>
      <w:r>
        <w:rPr>
          <w:rFonts w:hint="default" w:ascii="Calibri" w:hAnsi="Calibri" w:eastAsia="微软雅黑" w:cs="Calibri"/>
          <w:b/>
          <w:bCs/>
          <w:kern w:val="0"/>
          <w:sz w:val="28"/>
          <w:szCs w:val="28"/>
          <w:lang w:val="en-US" w:eastAsia="zh-CN" w:bidi="ar"/>
        </w:rPr>
        <w:t>thnics</w:t>
      </w:r>
    </w:p>
    <w:p w14:paraId="6B31AFF4">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The ethical considerations in this project involve not only procedural issues (informed consent, anonymity), but also aesthetic and pedagogical aspects.</w:t>
      </w:r>
    </w:p>
    <w:p w14:paraId="4AA0BDB3">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In terms of procedures, I will adhere to the university's ethical guidelines: obtaining informed consent from students and faculty, clarifying that participation is voluntary and does not affect academic performance or professional relationships; anonymizing participants in publications and reports; securely storing data and restricting access to authorized researchers. This paper primarily focuses on ethical issues related to participation, power dynamics, and cultural translation.</w:t>
      </w:r>
    </w:p>
    <w:p w14:paraId="425C1B4E">
      <w:pPr>
        <w:pStyle w:val="3"/>
        <w:keepNext w:val="0"/>
        <w:keepLines w:val="0"/>
        <w:widowControl/>
        <w:suppressLineNumbers w:val="0"/>
        <w:rPr>
          <w:rFonts w:hint="default" w:ascii="Calibri" w:hAnsi="Calibri" w:eastAsia="宋体" w:cs="Calibri"/>
          <w:sz w:val="28"/>
          <w:szCs w:val="28"/>
          <w:lang w:eastAsia="zh-CN"/>
        </w:rPr>
      </w:pPr>
      <w:r>
        <w:rPr>
          <w:rFonts w:hint="default" w:ascii="Calibri" w:hAnsi="Calibri" w:eastAsia="微软雅黑" w:cs="Calibri"/>
          <w:b/>
          <w:bCs/>
          <w:kern w:val="0"/>
          <w:sz w:val="28"/>
          <w:szCs w:val="28"/>
          <w:lang w:val="en-US" w:eastAsia="zh-CN" w:bidi="ar"/>
        </w:rPr>
        <w:t>Power in Participatory and Educational Environments</w:t>
      </w:r>
    </w:p>
    <w:p w14:paraId="0B30EDC5">
      <w:pPr>
        <w:pStyle w:val="5"/>
        <w:keepNext w:val="0"/>
        <w:keepLines w:val="0"/>
        <w:widowControl/>
        <w:suppressLineNumbers w:val="0"/>
        <w:rPr>
          <w:rFonts w:hint="default" w:ascii="Calibri" w:hAnsi="Calibri" w:cs="Calibri"/>
        </w:rPr>
      </w:pPr>
      <w:r>
        <w:rPr>
          <w:rFonts w:hint="default" w:ascii="Calibri" w:hAnsi="Calibri" w:eastAsia="微软雅黑" w:cs="Calibri"/>
          <w:kern w:val="0"/>
          <w:sz w:val="24"/>
          <w:szCs w:val="24"/>
          <w:lang w:val="en-US" w:eastAsia="zh-CN" w:bidi="ar"/>
        </w:rPr>
        <w:t>Drawing on Bixop (2012)'s research, I recognize that participatory art may mask unequal power dynamics—where artists or instructors claim to "speak for participants" while maintaining creative control (Bixop, 2012). In my teaching experiments, I still assign tasks, select technical methods, and grade works. This creates a risk of students feeling pressured to conform, particularly in interactive groups where novel and potentially confusing methods intensify this pressure. To address this, I: provide both traditional and interactive approaches to exploring qi-yun (cloud energy), demonstrating neither is inherently "better"; allow space in interviews and journals for students to voice discomfort or criticism of interactive methods; and explicitly state that I am still learning how to teach qi-yun through interactive media, with their feedback influencing future designs.</w:t>
      </w:r>
    </w:p>
    <w:p w14:paraId="51FB1FAF">
      <w:pPr>
        <w:pStyle w:val="3"/>
        <w:keepNext w:val="0"/>
        <w:keepLines w:val="0"/>
        <w:widowControl/>
        <w:suppressLineNumbers w:val="0"/>
        <w:rPr>
          <w:rFonts w:hint="default" w:ascii="Calibri" w:hAnsi="Calibri" w:eastAsia="宋体" w:cs="Calibri"/>
          <w:sz w:val="28"/>
          <w:szCs w:val="28"/>
          <w:lang w:eastAsia="zh-CN"/>
        </w:rPr>
      </w:pPr>
      <w:r>
        <w:rPr>
          <w:rFonts w:hint="default" w:ascii="Calibri" w:hAnsi="Calibri" w:eastAsia="微软雅黑" w:cs="Calibri"/>
          <w:b/>
          <w:bCs/>
          <w:kern w:val="0"/>
          <w:sz w:val="28"/>
          <w:szCs w:val="28"/>
          <w:lang w:val="en-US" w:eastAsia="zh-CN" w:bidi="ar"/>
        </w:rPr>
        <w:t>Culture and Moral Responsibility</w:t>
      </w:r>
    </w:p>
    <w:p w14:paraId="3627017F">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Given the moral dimension of qi (vital energy), I must avoid trivializing its essence when incorporating it into interactive contexts. As Hu (2021) and Sernelj (2021) emphasize, qi is intrinsically linked to sincerity and the harmonious relationship between humanity and the cosmos. Reducing qi to a mere 'game' where students rearrange fragments for visual effect would risk losing its profound significance.</w:t>
      </w:r>
    </w:p>
    <w:p w14:paraId="13ACDDDB">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Therefore, the design of interactive tasks must provoke ethical reflection. For instance, when students reposition mountains and settlements within a digital landscape, I might guide them to contemplate the human-nature relationship embodied in the artwork. When they adjust the layers of mist and blank spaces, I could connect this practice to classical theories of humility and restraint.</w:t>
      </w:r>
    </w:p>
    <w:p w14:paraId="0EDD4C40">
      <w:pPr>
        <w:pStyle w:val="5"/>
        <w:keepNext w:val="0"/>
        <w:keepLines w:val="0"/>
        <w:widowControl/>
        <w:suppressLineNumbers w:val="0"/>
        <w:rPr>
          <w:rFonts w:hint="default" w:ascii="Calibri" w:hAnsi="Calibri" w:cs="Calibri"/>
        </w:rPr>
      </w:pPr>
      <w:r>
        <w:rPr>
          <w:rFonts w:hint="default" w:ascii="Calibri" w:hAnsi="Calibri" w:eastAsia="微软雅黑" w:cs="Calibri"/>
          <w:kern w:val="0"/>
          <w:sz w:val="24"/>
          <w:szCs w:val="24"/>
          <w:lang w:val="en-US" w:eastAsia="zh-CN" w:bidi="ar"/>
        </w:rPr>
        <w:t>At the same time, I must avoid narrow moral preaching. The ecological crisis, urbanization, and digital saturation confronting today's students were absent in the lives of classical literati. I aim to create a space where they can connect their moral concerns—such as environmental protection or mental health—with their personal destiny, rather than simply repeating outdated formulas.</w:t>
      </w:r>
    </w:p>
    <w:p w14:paraId="75A888D9">
      <w:pPr>
        <w:pStyle w:val="2"/>
        <w:keepNext w:val="0"/>
        <w:keepLines w:val="0"/>
        <w:widowControl/>
        <w:suppressLineNumbers w:val="0"/>
        <w:rPr>
          <w:rFonts w:hint="default" w:ascii="Calibri" w:hAnsi="Calibri" w:eastAsia="宋体" w:cs="Calibri"/>
          <w:sz w:val="28"/>
          <w:szCs w:val="28"/>
          <w:lang w:eastAsia="zh-CN"/>
        </w:rPr>
      </w:pPr>
      <w:r>
        <w:rPr>
          <w:rFonts w:hint="default" w:ascii="Calibri" w:hAnsi="Calibri" w:eastAsia="微软雅黑" w:cs="Calibri"/>
          <w:b/>
          <w:bCs/>
          <w:kern w:val="0"/>
          <w:sz w:val="28"/>
          <w:szCs w:val="28"/>
          <w:lang w:val="en-US" w:eastAsia="zh-CN" w:bidi="ar"/>
        </w:rPr>
        <w:t>Conclusion</w:t>
      </w:r>
    </w:p>
    <w:p w14:paraId="7BFD328D">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 xml:space="preserve">My research project "Visualizing </w:t>
      </w:r>
      <w:r>
        <w:rPr>
          <w:rFonts w:hint="eastAsia" w:ascii="Calibri" w:hAnsi="Calibri" w:eastAsia="微软雅黑" w:cs="Calibri"/>
          <w:kern w:val="0"/>
          <w:sz w:val="24"/>
          <w:szCs w:val="24"/>
          <w:lang w:val="en-US" w:eastAsia="zh-CN" w:bidi="ar"/>
        </w:rPr>
        <w:t>Qi yun</w:t>
      </w:r>
      <w:r>
        <w:rPr>
          <w:rFonts w:hint="default" w:ascii="Calibri" w:hAnsi="Calibri" w:eastAsia="微软雅黑" w:cs="Calibri"/>
          <w:kern w:val="0"/>
          <w:sz w:val="24"/>
          <w:szCs w:val="24"/>
          <w:lang w:val="en-US" w:eastAsia="zh-CN" w:bidi="ar"/>
        </w:rPr>
        <w:t xml:space="preserve">: Interactive Art in China's Landscape Painting Education" is built upon a philosophical foundation deeply intertwined with my personal artistic practice and teaching philosophy. From an ontological perspective, I regard </w:t>
      </w:r>
      <w:r>
        <w:rPr>
          <w:rFonts w:hint="eastAsia" w:ascii="Calibri" w:hAnsi="Calibri" w:eastAsia="微软雅黑" w:cs="Calibri"/>
          <w:kern w:val="0"/>
          <w:sz w:val="24"/>
          <w:szCs w:val="24"/>
          <w:lang w:val="en-US" w:eastAsia="zh-CN" w:bidi="ar"/>
        </w:rPr>
        <w:t>Qi yun</w:t>
      </w:r>
      <w:r>
        <w:rPr>
          <w:rFonts w:hint="default" w:ascii="Calibri" w:hAnsi="Calibri" w:eastAsia="微软雅黑" w:cs="Calibri"/>
          <w:kern w:val="0"/>
          <w:sz w:val="24"/>
          <w:szCs w:val="24"/>
          <w:lang w:val="en-US" w:eastAsia="zh-CN" w:bidi="ar"/>
        </w:rPr>
        <w:t xml:space="preserve"> as an embodied, relational field that emerges through interactions between the body, imagery, and moral or cosmic orientations, rather than being a static attribute fixed on paper. This perspective draws on embodied phenomenology, active cognitive theory, and recent academic achievements regarding the generation of </w:t>
      </w:r>
      <w:r>
        <w:rPr>
          <w:rFonts w:hint="eastAsia" w:ascii="Calibri" w:hAnsi="Calibri" w:eastAsia="微软雅黑" w:cs="Calibri"/>
          <w:kern w:val="0"/>
          <w:sz w:val="24"/>
          <w:szCs w:val="24"/>
          <w:lang w:val="en-US" w:eastAsia="zh-CN" w:bidi="ar"/>
        </w:rPr>
        <w:t>Qi yun</w:t>
      </w:r>
      <w:r>
        <w:rPr>
          <w:rFonts w:hint="default" w:ascii="Calibri" w:hAnsi="Calibri" w:eastAsia="微软雅黑" w:cs="Calibri"/>
          <w:kern w:val="0"/>
          <w:sz w:val="24"/>
          <w:szCs w:val="24"/>
          <w:lang w:val="en-US" w:eastAsia="zh-CN" w:bidi="ar"/>
        </w:rPr>
        <w:t xml:space="preserve"> and its moral dimensions (Merleau-Ponty, 2012; Varela et al., 1991; Hu, 2016; Hu, 2021; Sernell, 2021).</w:t>
      </w:r>
    </w:p>
    <w:p w14:paraId="7B92FCC6">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From an epistemological standpoint, I challenge the knowledge-based learning paradigm by emphasizing tacit knowledge, embodied knowledge, and practical knowledge (Polanyi, 1966; Shaw, 1983; Nelson, 2013; Sullivan, 2010). My interactive art installations and meticulously designed A/B teaching interventions serve not merely as instructional tools, but as exploratory methodologies that enable me to investigate how to perceive, practice, and co-create atmosphere in contemporary classrooms.</w:t>
      </w:r>
    </w:p>
    <w:p w14:paraId="529E067C">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 xml:space="preserve">My values integrate respect for the aesthetic traditions of China, commitment to participatory and student-centered learning, and ethical concern for participants. I regard </w:t>
      </w:r>
      <w:r>
        <w:rPr>
          <w:rFonts w:hint="eastAsia" w:ascii="Calibri" w:hAnsi="Calibri" w:eastAsia="微软雅黑" w:cs="Calibri"/>
          <w:kern w:val="0"/>
          <w:sz w:val="24"/>
          <w:szCs w:val="24"/>
          <w:lang w:val="en-US" w:eastAsia="zh-CN" w:bidi="ar"/>
        </w:rPr>
        <w:t>Qi yun</w:t>
      </w:r>
      <w:r>
        <w:rPr>
          <w:rFonts w:hint="default" w:ascii="Calibri" w:hAnsi="Calibri" w:eastAsia="微软雅黑" w:cs="Calibri"/>
          <w:kern w:val="0"/>
          <w:sz w:val="24"/>
          <w:szCs w:val="24"/>
          <w:lang w:val="en-US" w:eastAsia="zh-CN" w:bidi="ar"/>
        </w:rPr>
        <w:t xml:space="preserve"> as a serious moral-aesthetic pursuit, but also recognize that its meaning is negotiated and may change when students use new media and face different life concerns (Hu, 2021; Chen, 2020; Bishop, 2012; Ranciere, 2009).</w:t>
      </w:r>
    </w:p>
    <w:p w14:paraId="16D3BA71">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These foundations establish a qualitative research methodology—practice as research—which integrates interactive tools, phenomenological observation, small-scale teaching experiments, expert interviews, and autobiographical reflection. Researchers systematically address reliability and validity issues through the credibility perspective (including credibility, transferability, reliability, and verifiability), employing methods such as triangulation, in-depth description, audit trails, and reflective journaling (Lincoln &amp; Cuba, 1985; Novell et al., 2017).</w:t>
      </w:r>
    </w:p>
    <w:p w14:paraId="54178EF3">
      <w:pPr>
        <w:pStyle w:val="5"/>
        <w:keepNext w:val="0"/>
        <w:keepLines w:val="0"/>
        <w:widowControl/>
        <w:suppressLineNumbers w:val="0"/>
        <w:rPr>
          <w:rFonts w:hint="default" w:ascii="Calibri" w:hAnsi="Calibri" w:cs="Calibri" w:eastAsiaTheme="minorEastAsia"/>
          <w:lang w:eastAsia="zh-CN"/>
        </w:rPr>
      </w:pPr>
      <w:r>
        <w:rPr>
          <w:rFonts w:hint="default" w:ascii="Calibri" w:hAnsi="Calibri" w:eastAsia="微软雅黑" w:cs="Calibri"/>
          <w:kern w:val="0"/>
          <w:sz w:val="24"/>
          <w:szCs w:val="24"/>
          <w:lang w:val="en-US" w:eastAsia="zh-CN" w:bidi="ar"/>
        </w:rPr>
        <w:t>As a China painter, China lecturer, and UK PhD candidate, my identity brings both advantages and risks. I address this by: making personal values and assumptions transparent, using autobiographical ethnography as a tool for critical reflection, and viewing teachers and students as partners in meaning-making rather than passive subjects (Ellis, 2004; Bourdieu, 1977; Ranciere, 2009).</w:t>
      </w:r>
    </w:p>
    <w:p w14:paraId="1EDCDD7A">
      <w:pPr>
        <w:pStyle w:val="5"/>
        <w:keepNext w:val="0"/>
        <w:keepLines w:val="0"/>
        <w:widowControl/>
        <w:suppressLineNumbers w:val="0"/>
        <w:rPr>
          <w:rFonts w:hint="default" w:ascii="Calibri" w:hAnsi="Calibri" w:eastAsia="微软雅黑" w:cs="Calibri"/>
          <w:kern w:val="0"/>
          <w:sz w:val="24"/>
          <w:szCs w:val="24"/>
          <w:lang w:val="en-US" w:eastAsia="zh-CN" w:bidi="ar"/>
        </w:rPr>
      </w:pPr>
      <w:r>
        <w:rPr>
          <w:rFonts w:hint="default" w:ascii="Calibri" w:hAnsi="Calibri" w:eastAsia="微软雅黑" w:cs="Calibri"/>
          <w:kern w:val="0"/>
          <w:sz w:val="24"/>
          <w:szCs w:val="24"/>
          <w:lang w:val="en-US" w:eastAsia="zh-CN" w:bidi="ar"/>
        </w:rPr>
        <w:t>The project is still in the planning stage. Research on groups A/B and expert interviews remain future tasks, and the interactive installation will be gradually refined through testing. However, the philosophical foundation laid here allows me to advance the project more clearly. It reminds me that every design choice—whether placing mirrors between mountains and waters, letting students manipulate magnetic mountains, or creating responsive digital mist—involves ontological, epistemological, and ethical dimensions simultaneously. Through this understanding, I not only hope to contribute to China's painting education but also look forward to participating in broader discussions: how to reinterpret traditional aesthetic concepts like qi and yun through interactive art, breathing new life into them while preserving their authenticity, critical nature, and vitality.</w:t>
      </w:r>
    </w:p>
    <w:p w14:paraId="3DB516C6">
      <w:pPr>
        <w:pStyle w:val="2"/>
        <w:keepNext w:val="0"/>
        <w:keepLines w:val="0"/>
        <w:widowControl/>
        <w:suppressLineNumbers w:val="0"/>
        <w:rPr>
          <w:rFonts w:hint="default" w:ascii="Calibri" w:hAnsi="Calibri" w:eastAsia="微软雅黑" w:cs="Calibri"/>
          <w:b/>
          <w:bCs/>
          <w:kern w:val="0"/>
          <w:sz w:val="28"/>
          <w:szCs w:val="28"/>
          <w:lang w:val="en-US" w:eastAsia="zh-CN" w:bidi="ar"/>
        </w:rPr>
      </w:pPr>
      <w:r>
        <w:rPr>
          <w:rFonts w:hint="default" w:ascii="Calibri" w:hAnsi="Calibri" w:eastAsia="微软雅黑" w:cs="Calibri"/>
          <w:b/>
          <w:bCs/>
          <w:kern w:val="0"/>
          <w:sz w:val="28"/>
          <w:szCs w:val="28"/>
          <w:lang w:val="en-US" w:eastAsia="zh-CN" w:bidi="ar"/>
        </w:rPr>
        <w:t xml:space="preserve">References </w:t>
      </w:r>
    </w:p>
    <w:p w14:paraId="77D097E5">
      <w:pPr>
        <w:spacing w:after="0"/>
        <w:rPr>
          <w:rFonts w:hint="default" w:ascii="Calibri" w:hAnsi="Calibri" w:cs="Calibri"/>
          <w:sz w:val="24"/>
          <w:szCs w:val="24"/>
        </w:rPr>
      </w:pPr>
      <w:r>
        <w:rPr>
          <w:rFonts w:hint="default" w:ascii="Calibri" w:hAnsi="Calibri" w:cs="Calibri"/>
          <w:sz w:val="24"/>
          <w:szCs w:val="24"/>
        </w:rPr>
        <w:t>Bishop, C. (2012) Artificial Hells: Participatory Art and the Politics of Spectatorship. London: Verso.</w:t>
      </w:r>
    </w:p>
    <w:p w14:paraId="5FB5CA9C">
      <w:pPr>
        <w:spacing w:after="0"/>
        <w:rPr>
          <w:rFonts w:hint="default" w:ascii="Calibri" w:hAnsi="Calibri" w:cs="Calibri"/>
          <w:sz w:val="24"/>
          <w:szCs w:val="24"/>
        </w:rPr>
      </w:pPr>
      <w:r>
        <w:rPr>
          <w:rFonts w:hint="default" w:ascii="Calibri" w:hAnsi="Calibri" w:cs="Calibri"/>
          <w:sz w:val="24"/>
          <w:szCs w:val="24"/>
        </w:rPr>
        <w:t>Bourdieu, P. (1977) Outline of a Theory of Practice. Cambridge: Cambridge University Press.</w:t>
      </w:r>
    </w:p>
    <w:p w14:paraId="7AE22C01">
      <w:pPr>
        <w:spacing w:after="0"/>
        <w:rPr>
          <w:rFonts w:hint="default" w:ascii="Calibri" w:hAnsi="Calibri" w:cs="Calibri"/>
          <w:sz w:val="24"/>
          <w:szCs w:val="24"/>
        </w:rPr>
      </w:pPr>
      <w:r>
        <w:rPr>
          <w:rFonts w:hint="default" w:ascii="Calibri" w:hAnsi="Calibri" w:cs="Calibri"/>
          <w:sz w:val="24"/>
          <w:szCs w:val="24"/>
        </w:rPr>
        <w:t>Biggs, J. and Tang, C. (2011) Teaching for Quality Learning at University. 4th edn. Maidenhead: Open University Press.</w:t>
      </w:r>
    </w:p>
    <w:p w14:paraId="4550F199">
      <w:pPr>
        <w:spacing w:after="0"/>
        <w:rPr>
          <w:rFonts w:hint="default" w:ascii="Calibri" w:hAnsi="Calibri" w:cs="Calibri"/>
          <w:sz w:val="24"/>
          <w:szCs w:val="24"/>
        </w:rPr>
      </w:pPr>
      <w:r>
        <w:rPr>
          <w:rFonts w:hint="default" w:ascii="Calibri" w:hAnsi="Calibri" w:cs="Calibri"/>
          <w:sz w:val="24"/>
          <w:szCs w:val="24"/>
        </w:rPr>
        <w:t>Chen, M.-H. (2020) ‘The Nondualistic Aesthetics of Qi in Antoni Tàpies’ Holistic Conception of Art’, Philosophy East and West, 70(1), pp. 84–115.</w:t>
      </w:r>
    </w:p>
    <w:p w14:paraId="698F93B6">
      <w:pPr>
        <w:spacing w:after="0"/>
        <w:rPr>
          <w:rFonts w:hint="default" w:ascii="Calibri" w:hAnsi="Calibri" w:cs="Calibri"/>
          <w:sz w:val="24"/>
          <w:szCs w:val="24"/>
        </w:rPr>
      </w:pPr>
      <w:r>
        <w:rPr>
          <w:rFonts w:hint="default" w:ascii="Calibri" w:hAnsi="Calibri" w:cs="Calibri"/>
          <w:sz w:val="24"/>
          <w:szCs w:val="24"/>
        </w:rPr>
        <w:t>Creswell, J.W. (2009) Research Design: Qualitative, Quantitative, and Mixed Methods Approaches. 3rd edn. Thousand Oaks, CA: Sage.</w:t>
      </w:r>
    </w:p>
    <w:p w14:paraId="6AB0E13B">
      <w:pPr>
        <w:spacing w:after="0"/>
        <w:rPr>
          <w:rFonts w:hint="default" w:ascii="Calibri" w:hAnsi="Calibri" w:cs="Calibri"/>
          <w:sz w:val="24"/>
          <w:szCs w:val="24"/>
        </w:rPr>
      </w:pPr>
      <w:r>
        <w:rPr>
          <w:rFonts w:hint="default" w:ascii="Calibri" w:hAnsi="Calibri" w:cs="Calibri"/>
          <w:sz w:val="24"/>
          <w:szCs w:val="24"/>
        </w:rPr>
        <w:t>Creswell, J.W. and Plano Clark, V.L. (2018) Designing and Conducting Mixed Methods Research. 3rd edn. Thousand Oaks, CA: Sage.</w:t>
      </w:r>
    </w:p>
    <w:p w14:paraId="03544D09">
      <w:pPr>
        <w:spacing w:after="0"/>
        <w:rPr>
          <w:rFonts w:hint="default" w:ascii="Calibri" w:hAnsi="Calibri" w:cs="Calibri"/>
          <w:sz w:val="24"/>
          <w:szCs w:val="24"/>
        </w:rPr>
      </w:pPr>
      <w:r>
        <w:rPr>
          <w:rFonts w:hint="default" w:ascii="Calibri" w:hAnsi="Calibri" w:cs="Calibri"/>
          <w:sz w:val="24"/>
          <w:szCs w:val="24"/>
        </w:rPr>
        <w:t>Denzin, N.K. (1978) The Research Act: A Theoretical Introduction to Sociological Methods. 2nd edn. New York: McGraw-Hill.</w:t>
      </w:r>
    </w:p>
    <w:p w14:paraId="69AE426F">
      <w:pPr>
        <w:spacing w:after="0"/>
        <w:rPr>
          <w:rFonts w:hint="default" w:ascii="Calibri" w:hAnsi="Calibri" w:cs="Calibri"/>
          <w:sz w:val="24"/>
          <w:szCs w:val="24"/>
        </w:rPr>
      </w:pPr>
      <w:r>
        <w:rPr>
          <w:rFonts w:hint="default" w:ascii="Calibri" w:hAnsi="Calibri" w:cs="Calibri"/>
          <w:sz w:val="24"/>
          <w:szCs w:val="24"/>
        </w:rPr>
        <w:t>Dewey, J. (1934) Art as Experience. New York: Minton, Balch &amp; Co.</w:t>
      </w:r>
    </w:p>
    <w:p w14:paraId="19E07978">
      <w:pPr>
        <w:spacing w:after="0"/>
        <w:rPr>
          <w:rFonts w:hint="default" w:ascii="Calibri" w:hAnsi="Calibri" w:cs="Calibri"/>
          <w:sz w:val="24"/>
          <w:szCs w:val="24"/>
        </w:rPr>
      </w:pPr>
      <w:r>
        <w:rPr>
          <w:rFonts w:hint="default" w:ascii="Calibri" w:hAnsi="Calibri" w:cs="Calibri"/>
          <w:sz w:val="24"/>
          <w:szCs w:val="24"/>
        </w:rPr>
        <w:t>Ellis, C. (2004) The Ethnographic I: A Methodological Novel about Autoethnography. Walnut Creek, CA: AltaMira Press.</w:t>
      </w:r>
    </w:p>
    <w:p w14:paraId="5360565E">
      <w:pPr>
        <w:spacing w:after="0"/>
        <w:rPr>
          <w:rFonts w:hint="default" w:ascii="Calibri" w:hAnsi="Calibri" w:cs="Calibri"/>
          <w:sz w:val="24"/>
          <w:szCs w:val="24"/>
        </w:rPr>
      </w:pPr>
      <w:r>
        <w:rPr>
          <w:rFonts w:hint="default" w:ascii="Calibri" w:hAnsi="Calibri" w:cs="Calibri"/>
          <w:sz w:val="24"/>
          <w:szCs w:val="24"/>
        </w:rPr>
        <w:t>Hein, G.E. (1998) Learning in the Museum. London: Routledge.</w:t>
      </w:r>
    </w:p>
    <w:p w14:paraId="4F0799B8">
      <w:pPr>
        <w:spacing w:after="0"/>
        <w:rPr>
          <w:rFonts w:hint="default" w:ascii="Calibri" w:hAnsi="Calibri" w:cs="Calibri"/>
          <w:sz w:val="24"/>
          <w:szCs w:val="24"/>
        </w:rPr>
      </w:pPr>
      <w:r>
        <w:rPr>
          <w:rFonts w:hint="default" w:ascii="Calibri" w:hAnsi="Calibri" w:cs="Calibri"/>
          <w:sz w:val="24"/>
          <w:szCs w:val="24"/>
        </w:rPr>
        <w:t>Hooper-Greenhill, E. (2000) Museums and the Interpretation of Visual Culture. London: Routledge.</w:t>
      </w:r>
    </w:p>
    <w:p w14:paraId="0904BF0E">
      <w:pPr>
        <w:spacing w:after="0"/>
        <w:rPr>
          <w:rFonts w:hint="default" w:ascii="Calibri" w:hAnsi="Calibri" w:cs="Calibri"/>
          <w:sz w:val="24"/>
          <w:szCs w:val="24"/>
        </w:rPr>
      </w:pPr>
      <w:r>
        <w:rPr>
          <w:rFonts w:hint="default" w:ascii="Calibri" w:hAnsi="Calibri" w:cs="Calibri"/>
          <w:sz w:val="24"/>
          <w:szCs w:val="24"/>
        </w:rPr>
        <w:t>Hu, X. (2016) ‘The Notion of “</w:t>
      </w:r>
      <w:r>
        <w:rPr>
          <w:rFonts w:hint="eastAsia" w:ascii="Calibri" w:hAnsi="Calibri" w:cs="Calibri"/>
          <w:sz w:val="24"/>
          <w:szCs w:val="24"/>
          <w:lang w:eastAsia="zh-CN"/>
        </w:rPr>
        <w:t>Qi yun</w:t>
      </w:r>
      <w:r>
        <w:rPr>
          <w:rFonts w:hint="default" w:ascii="Calibri" w:hAnsi="Calibri" w:cs="Calibri"/>
          <w:sz w:val="24"/>
          <w:szCs w:val="24"/>
        </w:rPr>
        <w:t>” (Spirit Consonance) in Chinese Painting’, Proceedings of the European Society for Aesthetics, 8, pp. 247–268.</w:t>
      </w:r>
    </w:p>
    <w:p w14:paraId="1B6EE76E">
      <w:pPr>
        <w:spacing w:after="0"/>
        <w:rPr>
          <w:rFonts w:hint="default" w:ascii="Calibri" w:hAnsi="Calibri" w:cs="Calibri"/>
          <w:sz w:val="24"/>
          <w:szCs w:val="24"/>
        </w:rPr>
      </w:pPr>
      <w:r>
        <w:rPr>
          <w:rFonts w:hint="default" w:ascii="Calibri" w:hAnsi="Calibri" w:cs="Calibri"/>
          <w:sz w:val="24"/>
          <w:szCs w:val="24"/>
        </w:rPr>
        <w:t>Hu, X. (2021) ‘The Moral Dimension of Qiyun Aesthetics and Some Resonances with Kant and Schiller’, Estetika: The European Journal of Aesthetics, 58(2), pp. 129–143.</w:t>
      </w:r>
    </w:p>
    <w:p w14:paraId="04EE9CB4">
      <w:pPr>
        <w:spacing w:after="0"/>
        <w:rPr>
          <w:rFonts w:hint="default" w:ascii="Calibri" w:hAnsi="Calibri" w:cs="Calibri"/>
          <w:sz w:val="24"/>
          <w:szCs w:val="24"/>
        </w:rPr>
      </w:pPr>
      <w:r>
        <w:rPr>
          <w:rFonts w:hint="default" w:ascii="Calibri" w:hAnsi="Calibri" w:cs="Calibri"/>
          <w:sz w:val="24"/>
          <w:szCs w:val="24"/>
        </w:rPr>
        <w:t>Jullien, F. (2018) Living off Landscape: Or the Unthought-of in Reason. London: Rowman &amp; Littlefield.</w:t>
      </w:r>
    </w:p>
    <w:p w14:paraId="41FD9F5D">
      <w:pPr>
        <w:spacing w:after="0"/>
        <w:rPr>
          <w:rFonts w:hint="default" w:ascii="Calibri" w:hAnsi="Calibri" w:cs="Calibri"/>
          <w:sz w:val="24"/>
          <w:szCs w:val="24"/>
        </w:rPr>
      </w:pPr>
      <w:r>
        <w:rPr>
          <w:rFonts w:hint="default" w:ascii="Calibri" w:hAnsi="Calibri" w:cs="Calibri"/>
          <w:sz w:val="24"/>
          <w:szCs w:val="24"/>
        </w:rPr>
        <w:t>Kvale, S. and Brinkmann, S. (2009) InterViews: Learning the Craft of Qualitative Research Interviewing. 2nd edn. Thousand Oaks, CA: Sage.</w:t>
      </w:r>
    </w:p>
    <w:p w14:paraId="7070A777">
      <w:pPr>
        <w:spacing w:after="0"/>
        <w:rPr>
          <w:rFonts w:hint="default" w:ascii="Calibri" w:hAnsi="Calibri" w:cs="Calibri"/>
          <w:sz w:val="24"/>
          <w:szCs w:val="24"/>
        </w:rPr>
      </w:pPr>
      <w:r>
        <w:rPr>
          <w:rFonts w:hint="default" w:ascii="Calibri" w:hAnsi="Calibri" w:cs="Calibri"/>
          <w:sz w:val="24"/>
          <w:szCs w:val="24"/>
        </w:rPr>
        <w:t>Lakoff, G. and Johnson, M. (1999) Philosophy in the Flesh: The Embodied Mind and its Challenge to Western Thought. New York: Basic Books.</w:t>
      </w:r>
    </w:p>
    <w:p w14:paraId="7C0FF9FA">
      <w:pPr>
        <w:spacing w:after="0"/>
        <w:rPr>
          <w:rFonts w:hint="default" w:ascii="Calibri" w:hAnsi="Calibri" w:cs="Calibri"/>
          <w:sz w:val="24"/>
          <w:szCs w:val="24"/>
        </w:rPr>
      </w:pPr>
      <w:r>
        <w:rPr>
          <w:rFonts w:hint="default" w:ascii="Calibri" w:hAnsi="Calibri" w:cs="Calibri"/>
          <w:sz w:val="24"/>
          <w:szCs w:val="24"/>
        </w:rPr>
        <w:t>Lincoln, Y.S. and Guba, E.G. (1985) Naturalistic Inquiry. Beverly Hills, CA: Sage.</w:t>
      </w:r>
    </w:p>
    <w:p w14:paraId="50F6D2F1">
      <w:pPr>
        <w:spacing w:after="0"/>
        <w:rPr>
          <w:rFonts w:hint="default" w:ascii="Calibri" w:hAnsi="Calibri" w:cs="Calibri"/>
          <w:sz w:val="24"/>
          <w:szCs w:val="24"/>
        </w:rPr>
      </w:pPr>
      <w:r>
        <w:rPr>
          <w:rFonts w:hint="default" w:ascii="Calibri" w:hAnsi="Calibri" w:cs="Calibri"/>
          <w:sz w:val="24"/>
          <w:szCs w:val="24"/>
        </w:rPr>
        <w:t>Merleau-Ponty, M. (2012) Phenomenology of Perception. Translated by D.A. Landes. London: Routledge.</w:t>
      </w:r>
    </w:p>
    <w:p w14:paraId="42D55203">
      <w:pPr>
        <w:spacing w:after="0"/>
        <w:rPr>
          <w:rFonts w:hint="default" w:ascii="Calibri" w:hAnsi="Calibri" w:cs="Calibri"/>
          <w:sz w:val="24"/>
          <w:szCs w:val="24"/>
        </w:rPr>
      </w:pPr>
      <w:r>
        <w:rPr>
          <w:rFonts w:hint="default" w:ascii="Calibri" w:hAnsi="Calibri" w:cs="Calibri"/>
          <w:sz w:val="24"/>
          <w:szCs w:val="24"/>
        </w:rPr>
        <w:t>Nelson, R. (2013) Practice as Research in the Arts: Principles, Protocols, Pedagogies, Resistances. Basingstoke: Palgrave Macmillan.</w:t>
      </w:r>
    </w:p>
    <w:p w14:paraId="25154E41">
      <w:pPr>
        <w:spacing w:after="0"/>
        <w:rPr>
          <w:rFonts w:hint="default" w:ascii="Calibri" w:hAnsi="Calibri" w:cs="Calibri"/>
          <w:sz w:val="24"/>
          <w:szCs w:val="24"/>
        </w:rPr>
      </w:pPr>
      <w:r>
        <w:rPr>
          <w:rFonts w:hint="default" w:ascii="Calibri" w:hAnsi="Calibri" w:cs="Calibri"/>
          <w:sz w:val="24"/>
          <w:szCs w:val="24"/>
        </w:rPr>
        <w:t>Nowell, L.S., Norris, J.M., White, D.E. and Moules, N.J. (2017) ‘Thematic Analysis: Striving to Meet the Trustworthiness Criteria’, International Journal of Qualitative Methods, 16, pp. 1–13.</w:t>
      </w:r>
    </w:p>
    <w:p w14:paraId="556473FE">
      <w:pPr>
        <w:spacing w:after="0"/>
        <w:rPr>
          <w:rFonts w:hint="default" w:ascii="Calibri" w:hAnsi="Calibri" w:cs="Calibri"/>
          <w:sz w:val="24"/>
          <w:szCs w:val="24"/>
        </w:rPr>
      </w:pPr>
      <w:r>
        <w:rPr>
          <w:rFonts w:hint="default" w:ascii="Calibri" w:hAnsi="Calibri" w:cs="Calibri"/>
          <w:sz w:val="24"/>
          <w:szCs w:val="24"/>
        </w:rPr>
        <w:t>Patton, M.Q. (2002) Qualitative Research and Evaluation Methods. 3rd edn. Thousand Oaks, CA: Sage.</w:t>
      </w:r>
    </w:p>
    <w:p w14:paraId="2D4F6CCC">
      <w:pPr>
        <w:spacing w:after="0"/>
        <w:rPr>
          <w:rFonts w:hint="default" w:ascii="Calibri" w:hAnsi="Calibri" w:cs="Calibri"/>
          <w:sz w:val="24"/>
          <w:szCs w:val="24"/>
        </w:rPr>
      </w:pPr>
      <w:r>
        <w:rPr>
          <w:rFonts w:hint="default" w:ascii="Calibri" w:hAnsi="Calibri" w:cs="Calibri"/>
          <w:sz w:val="24"/>
          <w:szCs w:val="24"/>
        </w:rPr>
        <w:t>Polanyi, M. (1966) The Tacit Dimension. London: Routledge &amp; Kegan Paul.</w:t>
      </w:r>
    </w:p>
    <w:p w14:paraId="5F1056A1">
      <w:pPr>
        <w:spacing w:after="0"/>
        <w:rPr>
          <w:rFonts w:hint="default" w:ascii="Calibri" w:hAnsi="Calibri" w:cs="Calibri"/>
          <w:sz w:val="24"/>
          <w:szCs w:val="24"/>
        </w:rPr>
      </w:pPr>
      <w:r>
        <w:rPr>
          <w:rFonts w:hint="default" w:ascii="Calibri" w:hAnsi="Calibri" w:cs="Calibri"/>
          <w:sz w:val="24"/>
          <w:szCs w:val="24"/>
        </w:rPr>
        <w:t>Rancière, J. (2009) The Emancipated Spectator. London: Verso.</w:t>
      </w:r>
    </w:p>
    <w:p w14:paraId="69D326E8">
      <w:pPr>
        <w:spacing w:after="0"/>
        <w:rPr>
          <w:rFonts w:hint="default" w:ascii="Calibri" w:hAnsi="Calibri" w:cs="Calibri"/>
          <w:sz w:val="24"/>
          <w:szCs w:val="24"/>
        </w:rPr>
      </w:pPr>
      <w:r>
        <w:rPr>
          <w:rFonts w:hint="default" w:ascii="Calibri" w:hAnsi="Calibri" w:cs="Calibri"/>
          <w:sz w:val="24"/>
          <w:szCs w:val="24"/>
        </w:rPr>
        <w:t>Schön, D.A. (1983) The Reflective Practitioner: How Professionals Think in Action. New York: Basic Books.</w:t>
      </w:r>
    </w:p>
    <w:p w14:paraId="0EC1D935">
      <w:pPr>
        <w:spacing w:after="0"/>
        <w:rPr>
          <w:rFonts w:hint="default" w:ascii="Calibri" w:hAnsi="Calibri" w:cs="Calibri"/>
          <w:sz w:val="24"/>
          <w:szCs w:val="24"/>
        </w:rPr>
      </w:pPr>
      <w:r>
        <w:rPr>
          <w:rFonts w:hint="default" w:ascii="Calibri" w:hAnsi="Calibri" w:cs="Calibri"/>
          <w:sz w:val="24"/>
          <w:szCs w:val="24"/>
        </w:rPr>
        <w:t>Sernelj, T. (2021) ‘The Problem of the Authenticity of the Aesthetic Concept “Qiyun Shengdong”: Xu Fuguan’s Analysis and Interpretation’, Asian Studies, 9(1), pp. 159–180.</w:t>
      </w:r>
    </w:p>
    <w:p w14:paraId="44B4A42E">
      <w:pPr>
        <w:spacing w:after="0"/>
        <w:rPr>
          <w:rFonts w:hint="default" w:ascii="Calibri" w:hAnsi="Calibri" w:cs="Calibri"/>
          <w:sz w:val="24"/>
          <w:szCs w:val="24"/>
        </w:rPr>
      </w:pPr>
      <w:r>
        <w:rPr>
          <w:rFonts w:hint="default" w:ascii="Calibri" w:hAnsi="Calibri" w:cs="Calibri"/>
          <w:sz w:val="24"/>
          <w:szCs w:val="24"/>
        </w:rPr>
        <w:t>Sullivan, G. (2010) Art Practice as Research: Inquiry in Visual Arts. 2nd edn. Thousand Oaks, CA: Sage.</w:t>
      </w:r>
    </w:p>
    <w:p w14:paraId="2F737432">
      <w:pPr>
        <w:spacing w:after="0"/>
        <w:rPr>
          <w:rFonts w:hint="default" w:ascii="Calibri" w:hAnsi="Calibri" w:cs="Calibri"/>
          <w:sz w:val="24"/>
          <w:szCs w:val="24"/>
        </w:rPr>
      </w:pPr>
      <w:r>
        <w:rPr>
          <w:rFonts w:hint="default" w:ascii="Calibri" w:hAnsi="Calibri" w:cs="Calibri"/>
          <w:sz w:val="24"/>
          <w:szCs w:val="24"/>
        </w:rPr>
        <w:t>Sullivan, M. (1962) Chinese Art in the Twentieth Century. London: Faber &amp; Faber.</w:t>
      </w:r>
    </w:p>
    <w:p w14:paraId="2D030CA0">
      <w:pPr>
        <w:spacing w:after="0"/>
        <w:rPr>
          <w:rFonts w:hint="default" w:ascii="Calibri" w:hAnsi="Calibri" w:cs="Calibri"/>
          <w:sz w:val="24"/>
          <w:szCs w:val="24"/>
        </w:rPr>
      </w:pPr>
      <w:r>
        <w:rPr>
          <w:rFonts w:hint="default" w:ascii="Calibri" w:hAnsi="Calibri" w:cs="Calibri"/>
          <w:sz w:val="24"/>
          <w:szCs w:val="24"/>
        </w:rPr>
        <w:t>Varela, F.J., Thompson, E. and Rosch, E. (1991) The Embodied Mind: Cognitive Science and Human Experience. Cambridge, MA: MIT Press.</w:t>
      </w:r>
    </w:p>
    <w:p w14:paraId="7C8869C3">
      <w:pPr>
        <w:spacing w:after="0"/>
        <w:rPr>
          <w:rFonts w:hint="default" w:ascii="Calibri" w:hAnsi="Calibri" w:cs="Calibri"/>
          <w:sz w:val="24"/>
          <w:szCs w:val="24"/>
        </w:rPr>
      </w:pPr>
      <w:r>
        <w:rPr>
          <w:rFonts w:hint="default" w:ascii="Calibri" w:hAnsi="Calibri" w:cs="Calibri"/>
          <w:sz w:val="24"/>
          <w:szCs w:val="24"/>
        </w:rPr>
        <w:t>Watermeyer, R. (2012) ‘From Data to Discourse: Analysing Museums as Complex Educational Spaces’, International Journal of Lifelong Education, 31(3), pp. 405–420.</w:t>
      </w:r>
    </w:p>
    <w:p w14:paraId="69F8F4F7">
      <w:pPr>
        <w:pStyle w:val="5"/>
        <w:keepNext w:val="0"/>
        <w:keepLines w:val="0"/>
        <w:widowControl/>
        <w:suppressLineNumbers w:val="0"/>
        <w:rPr>
          <w:rFonts w:hint="default" w:ascii="Calibri" w:hAnsi="Calibri" w:eastAsia="微软雅黑" w:cs="Calibri"/>
          <w:kern w:val="0"/>
          <w:sz w:val="24"/>
          <w:szCs w:val="24"/>
          <w:lang w:val="en-US" w:eastAsia="zh-CN" w:bidi="ar"/>
        </w:rPr>
      </w:pPr>
    </w:p>
    <w:p w14:paraId="3E10BA9D">
      <w:pPr>
        <w:rPr>
          <w:rFonts w:hint="default" w:ascii="Calibri" w:hAnsi="Calibri" w:cs="Calibri"/>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D43AB1"/>
    <w:multiLevelType w:val="singleLevel"/>
    <w:tmpl w:val="CDD43AB1"/>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9"/>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854F2C"/>
    <w:rsid w:val="08C01EF7"/>
    <w:rsid w:val="12F33DA3"/>
    <w:rsid w:val="27493F03"/>
    <w:rsid w:val="2C581E68"/>
    <w:rsid w:val="48B16866"/>
    <w:rsid w:val="4AE778DE"/>
    <w:rsid w:val="5246001F"/>
    <w:rsid w:val="52F537F4"/>
    <w:rsid w:val="5D131446"/>
    <w:rsid w:val="67AD54A4"/>
    <w:rsid w:val="691718BF"/>
    <w:rsid w:val="6AEC1C54"/>
    <w:rsid w:val="795F1843"/>
    <w:rsid w:val="7B671B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0"/>
    <w:pPr>
      <w:spacing w:before="180" w:after="180"/>
    </w:p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character" w:styleId="9">
    <w:name w:val="Emphasis"/>
    <w:basedOn w:val="7"/>
    <w:qFormat/>
    <w:uiPriority w:val="0"/>
    <w:rPr>
      <w:i/>
    </w:rPr>
  </w:style>
  <w:style w:type="character" w:styleId="10">
    <w:name w:val="Hyperlink"/>
    <w:basedOn w:val="7"/>
    <w:uiPriority w:val="0"/>
    <w:rPr>
      <w:color w:val="0000FF"/>
      <w:u w:val="single"/>
    </w:rPr>
  </w:style>
  <w:style w:type="paragraph" w:customStyle="1" w:styleId="11">
    <w:name w:val="First Paragraph"/>
    <w:basedOn w:val="4"/>
    <w:next w:val="4"/>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e98f2f17-1710-495d-aec3-86a1880afd49</errorID>
      <errorWord>磨练了</errorWord>
      <group>L1_Word</group>
      <groupName>字词问题</groupName>
      <ability>L2_Alias</ability>
      <abilityName>也作/曾用词</abilityName>
      <candidateList>
        <item>磨炼了</item>
      </candidateList>
      <explain>词汇[磨练了]为不规范表述或旧称，其规范书面表述为[磨炼了]。</explain>
      <paraID>7C4589FE</paraID>
      <start>103</start>
      <end>106</end>
      <status>modified</status>
      <modifiedWord>磨炼了</modifiedWord>
      <trackRevisions>false</trackRevisions>
    </reviewItem>
    <reviewItem>
      <errorID>796fbfe4-1cea-46c4-b673-b3574634fac8</errorID>
      <errorWord>在我</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❼〈介〉表示时间、处所、范围、条件等：事情发生～去年｜～礼堂开会｜这件事～方式上还可以研究｜～他的帮助下，我取得了较好的成绩。❽〈副〉正在：风～刮，雨～下｜姐姐～做功课。</explain>
      <paraID>5DA9FCD8</paraID>
      <start>137</start>
      <end>138</end>
      <status>modified</status>
      <modifiedWord>在</modifiedWord>
      <trackRevisions>false</trackRevisions>
    </reviewItem>
    <reviewItem>
      <errorID>3d4c4b4b-f113-4038-99ba-c750bddade2d</errorID>
      <errorWord>一笔一划</errorWord>
      <group>L1_Word</group>
      <groupName>字词问题</groupName>
      <ability>L2_Variant</ability>
      <abilityName>异形词</abilityName>
      <candidateList>
        <item>一笔一画</item>
      </candidateList>
      <explain>词汇[一笔一划]的规范词形写作[一笔一画]。</explain>
      <paraID>6DD62657</paraID>
      <start>114</start>
      <end>118</end>
      <status>modified</status>
      <modifiedWord>一笔一画</modifiedWord>
      <trackRevisions>false</trackRevisions>
    </reviewItem>
    <reviewItem>
      <errorID>c39867bf-c8c5-4a72-9741-9942a7346b33</errorID>
      <errorWord>的</errorWord>
      <group>L1_Word</group>
      <groupName>字词问题</groupName>
      <ability>L2_DDD</ability>
      <abilityName>的地得用法</abilityName>
      <candidateList>
        <item>得</item>
      </candidateList>
      <explain>“得”常用在动词或形容词后面，表示动作结果、程度或状态评价。</explain>
      <paraID>196F0DBF</paraID>
      <start>75</start>
      <end>76</end>
      <status>modified</status>
      <modifiedWord>得</modifiedWord>
      <trackRevisions>false</trackRevisions>
    </reviewItem>
    <reviewItem>
      <errorID>218a9b20-7dcc-42c4-b3b6-576f130cd134</errorID>
      <errorWord>参与与</errorWord>
      <group>L1_Word</group>
      <groupName>字词问题</groupName>
      <ability>L2_Typo</ability>
      <abilityName>字词错误</abilityName>
      <candidateList>
        <item>参与</item>
      </candidateList>
      <explain>（参预）cānyù〈动〉参加（事务的计划、讨论、处理）：～其事｜他曾～这个规划的制订工作。</explain>
      <paraID>4BFE7CFE</paraID>
      <start>0</start>
      <end>2</end>
      <status>modified</status>
      <modifiedWord>参与</modifiedWord>
      <trackRevisions>false</trackRevisions>
    </reviewItem>
    <reviewItem>
      <errorID>3e14309d-af9e-44e4-b9dc-48940f835f87</errorID>
      <errorWord>.，</errorWord>
      <group>L1_Punc</group>
      <groupName>标点问题</groupName>
      <ability>L2_Punc</ability>
      <abilityName>标点符号检查</abilityName>
      <candidateList>
        <item>.</item>
      </candidateList>
      <explain/>
      <paraID>  75DFB3</paraID>
      <start>143</start>
      <end>144</end>
      <status>modified</status>
      <modifiedWord>.</modifiedWord>
      <trackRevisions>false</trackRevisions>
    </reviewItem>
    <reviewItem>
      <errorID>df98fa66-e6f2-4029-bade-45d945c890b7</errorID>
      <errorWord>气云</errorWord>
      <group>L1_Word</group>
      <groupName>字词问题</groupName>
      <ability>L2_Typo</ability>
      <abilityName>字词错误</abilityName>
      <candidateList>
        <item>气运</item>
      </candidateList>
      <explain>存在发音相同字词的误用。</explain>
      <paraID>6E425280</paraID>
      <start>13</start>
      <end>15</end>
      <status>modified</status>
      <modifiedWord>气运</modifiedWord>
      <trackRevisions>false</trackRevisions>
    </reviewItem>
    <reviewItem>
      <errorID>1bea7e9f-b49c-4773-b2af-8bdc308d995e</errorID>
      <errorWord>.，</errorWord>
      <group>L1_Punc</group>
      <groupName>标点问题</groupName>
      <ability>L2_Punc</ability>
      <abilityName>标点符号检查</abilityName>
      <candidateList>
        <item>.</item>
      </candidateList>
      <explain/>
      <paraID>78477A58</paraID>
      <start>118</start>
      <end>119</end>
      <status>modified</status>
      <modifiedWord>.</modifiedWord>
      <trackRevisions>false</trackRevisions>
    </reviewItem>
    <reviewItem>
      <errorID>268bd4b8-e58f-40eb-bdbd-841fa42f1cab</errorID>
      <errorWord>-</errorWord>
      <group>L1_Format</group>
      <groupName>格式问题</groupName>
      <ability>L2_HalfPunc</ability>
      <abilityName>全半角检查</abilityName>
      <candidateList>
        <item>－</item>
      </candidateList>
      <explain>文本全半角错误。</explain>
      <paraID>529E067C</paraID>
      <start>61</start>
      <end>62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56ea09a7-3084-4316-8c29-f4e19fae237b}">
  <ds:schemaRefs/>
</ds:datastoreItem>
</file>

<file path=docProps/app.xml><?xml version="1.0" encoding="utf-8"?>
<Properties xmlns="http://schemas.openxmlformats.org/officeDocument/2006/extended-properties" xmlns:vt="http://schemas.openxmlformats.org/officeDocument/2006/docPropsVTypes">
  <Template>Normal.dotm</Template>
  <Pages>16</Pages>
  <Words>5433</Words>
  <Characters>32875</Characters>
  <Lines>0</Lines>
  <Paragraphs>0</Paragraphs>
  <TotalTime>461</TotalTime>
  <ScaleCrop>false</ScaleCrop>
  <LinksUpToDate>false</LinksUpToDate>
  <CharactersWithSpaces>38167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2025-12-10T18:10:00Z</dcterms:created>
  <dc:creator>TIANMEIXIN</dc:creator>
  <cp:lastModifiedBy>Tianxin/MC</cp:lastModifiedBy>
  <dcterms:modified xsi:type="dcterms:W3CDTF">2025-12-11T02:48:01Z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eyJoZGlkIjoiMzEwNTM5NzYwMDRjMzkwZTVkZjY2ODkwMGIxNGU0OTUiLCJ1c2VySWQiOiIxNjkzNTA4MjQzIn0=</vt:lpwstr>
  </property>
  <property fmtid="{D5CDD505-2E9C-101B-9397-08002B2CF9AE}" pid="4" name="ICV">
    <vt:lpwstr>9393D0206A444F75ACE292EBFDF51597_12</vt:lpwstr>
  </property>
</Properties>
</file>