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83281F" w14:textId="3D1CFC0F" w:rsidR="00913C8F" w:rsidRDefault="00913C8F" w:rsidP="00491AB6"/>
    <w:p w14:paraId="3DD083AB" w14:textId="77777777" w:rsidR="00D77741" w:rsidRDefault="00D77741" w:rsidP="00491AB6"/>
    <w:p w14:paraId="64B1FD7C" w14:textId="77777777" w:rsidR="00D77741" w:rsidRDefault="00D77741" w:rsidP="00491AB6"/>
    <w:p w14:paraId="5E7B82D6" w14:textId="77777777" w:rsidR="00D77741" w:rsidRDefault="00D77741" w:rsidP="00491AB6"/>
    <w:p w14:paraId="028B9E6C" w14:textId="1BFEA105" w:rsidR="00D77741" w:rsidRDefault="00D77741" w:rsidP="00491AB6">
      <w:r w:rsidRPr="00D77741">
        <w:rPr>
          <w:rFonts w:ascii="Arial" w:eastAsia="Times New Roman" w:hAnsi="Arial" w:cs="Arial"/>
          <w:noProof/>
          <w:color w:val="auto"/>
          <w:sz w:val="20"/>
          <w:szCs w:val="20"/>
          <w:lang w:eastAsia="en-GB"/>
        </w:rPr>
        <w:drawing>
          <wp:anchor distT="0" distB="0" distL="114300" distR="114300" simplePos="0" relativeHeight="251659264" behindDoc="0" locked="0" layoutInCell="1" allowOverlap="1" wp14:anchorId="6337FBCE" wp14:editId="13544A9B">
            <wp:simplePos x="0" y="0"/>
            <wp:positionH relativeFrom="column">
              <wp:posOffset>1828800</wp:posOffset>
            </wp:positionH>
            <wp:positionV relativeFrom="paragraph">
              <wp:posOffset>8890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520ACA7" w14:textId="77777777" w:rsidR="00D77741" w:rsidRDefault="00D77741" w:rsidP="00491AB6"/>
    <w:p w14:paraId="07546236" w14:textId="77777777" w:rsidR="00D77741" w:rsidRDefault="00D77741" w:rsidP="00491AB6"/>
    <w:p w14:paraId="342A1215" w14:textId="77777777" w:rsidR="00D77741" w:rsidRDefault="00D77741" w:rsidP="00491AB6"/>
    <w:p w14:paraId="3EFCAD76" w14:textId="77777777" w:rsidR="00D77741" w:rsidRDefault="00D77741" w:rsidP="00491AB6"/>
    <w:tbl>
      <w:tblPr>
        <w:tblStyle w:val="TableGrid"/>
        <w:tblW w:w="0" w:type="auto"/>
        <w:tblLook w:val="04A0" w:firstRow="1" w:lastRow="0" w:firstColumn="1" w:lastColumn="0" w:noHBand="0" w:noVBand="1"/>
      </w:tblPr>
      <w:tblGrid>
        <w:gridCol w:w="3256"/>
        <w:gridCol w:w="6094"/>
      </w:tblGrid>
      <w:tr w:rsidR="00491AB6" w:rsidRPr="008969B1" w14:paraId="3A94B004" w14:textId="77777777" w:rsidTr="009133C8">
        <w:tc>
          <w:tcPr>
            <w:tcW w:w="9350" w:type="dxa"/>
            <w:gridSpan w:val="2"/>
            <w:shd w:val="clear" w:color="auto" w:fill="auto"/>
          </w:tcPr>
          <w:p w14:paraId="29263A3B" w14:textId="77777777" w:rsidR="00491AB6" w:rsidRPr="00D77741" w:rsidRDefault="00491AB6" w:rsidP="00D77741">
            <w:pPr>
              <w:pStyle w:val="Heading1"/>
              <w:jc w:val="center"/>
              <w:outlineLvl w:val="0"/>
            </w:pPr>
            <w:r w:rsidRPr="00D77741">
              <w:t>Key assignment details</w:t>
            </w:r>
          </w:p>
        </w:tc>
      </w:tr>
      <w:tr w:rsidR="00491AB6" w14:paraId="1EB937DC" w14:textId="77777777" w:rsidTr="009133C8">
        <w:tc>
          <w:tcPr>
            <w:tcW w:w="3256" w:type="dxa"/>
            <w:shd w:val="clear" w:color="auto" w:fill="auto"/>
          </w:tcPr>
          <w:p w14:paraId="75316756" w14:textId="77777777" w:rsidR="00491AB6" w:rsidRDefault="00491AB6" w:rsidP="0001747A">
            <w:r>
              <w:t xml:space="preserve">Unit Title &amp; Code </w:t>
            </w:r>
          </w:p>
        </w:tc>
        <w:tc>
          <w:tcPr>
            <w:tcW w:w="6094" w:type="dxa"/>
          </w:tcPr>
          <w:p w14:paraId="22D27EA4" w14:textId="17A51235" w:rsidR="00491AB6" w:rsidRPr="00491AB6" w:rsidRDefault="00491AB6" w:rsidP="0001747A">
            <w:r w:rsidRPr="00491AB6">
              <w:t xml:space="preserve">Global Business </w:t>
            </w:r>
            <w:r w:rsidR="00FD00DC">
              <w:t>Enviro</w:t>
            </w:r>
            <w:r w:rsidR="001E0851">
              <w:t>nment</w:t>
            </w:r>
          </w:p>
          <w:p w14:paraId="03563EF0" w14:textId="00512303" w:rsidR="00491AB6" w:rsidRPr="00491AB6" w:rsidRDefault="00491AB6" w:rsidP="0001747A">
            <w:r w:rsidRPr="00491AB6">
              <w:t>LCBB4005_BIRM</w:t>
            </w:r>
          </w:p>
        </w:tc>
      </w:tr>
      <w:tr w:rsidR="00491AB6" w14:paraId="6E8C1262" w14:textId="77777777" w:rsidTr="009133C8">
        <w:tc>
          <w:tcPr>
            <w:tcW w:w="3256" w:type="dxa"/>
            <w:shd w:val="clear" w:color="auto" w:fill="auto"/>
          </w:tcPr>
          <w:p w14:paraId="42A0AF04" w14:textId="77777777" w:rsidR="00491AB6" w:rsidRDefault="00491AB6" w:rsidP="0001747A">
            <w:r w:rsidRPr="00EB1017">
              <w:t>Assignment number and title</w:t>
            </w:r>
          </w:p>
        </w:tc>
        <w:tc>
          <w:tcPr>
            <w:tcW w:w="6094" w:type="dxa"/>
          </w:tcPr>
          <w:p w14:paraId="2966F9DB" w14:textId="56F50DAA" w:rsidR="00491AB6" w:rsidRPr="00491AB6" w:rsidRDefault="008E0E9E" w:rsidP="0001747A">
            <w:pPr>
              <w:rPr>
                <w:bCs/>
              </w:rPr>
            </w:pPr>
            <w:r>
              <w:rPr>
                <w:bCs/>
              </w:rPr>
              <w:t>2118502-Silvia Borcila</w:t>
            </w:r>
          </w:p>
        </w:tc>
      </w:tr>
      <w:tr w:rsidR="00491AB6" w14:paraId="0B8FD78D" w14:textId="77777777" w:rsidTr="009133C8">
        <w:tc>
          <w:tcPr>
            <w:tcW w:w="3256" w:type="dxa"/>
            <w:shd w:val="clear" w:color="auto" w:fill="auto"/>
          </w:tcPr>
          <w:p w14:paraId="0EAA32EA" w14:textId="77777777" w:rsidR="00491AB6" w:rsidRDefault="00491AB6" w:rsidP="0001747A">
            <w:r w:rsidRPr="00EB1017">
              <w:t>Assignment type</w:t>
            </w:r>
          </w:p>
        </w:tc>
        <w:tc>
          <w:tcPr>
            <w:tcW w:w="6094" w:type="dxa"/>
          </w:tcPr>
          <w:p w14:paraId="326FF17B" w14:textId="57AED702" w:rsidR="00491AB6" w:rsidRDefault="001E0851" w:rsidP="0001747A">
            <w:r w:rsidRPr="00491AB6">
              <w:rPr>
                <w:bCs/>
              </w:rPr>
              <w:t>Individual project report</w:t>
            </w:r>
          </w:p>
        </w:tc>
      </w:tr>
      <w:tr w:rsidR="00491AB6" w14:paraId="0D4B8CB2" w14:textId="77777777" w:rsidTr="009133C8">
        <w:tc>
          <w:tcPr>
            <w:tcW w:w="3256" w:type="dxa"/>
            <w:shd w:val="clear" w:color="auto" w:fill="auto"/>
          </w:tcPr>
          <w:p w14:paraId="284CE3DD" w14:textId="77777777" w:rsidR="00491AB6" w:rsidRDefault="00491AB6" w:rsidP="0001747A">
            <w:r w:rsidRPr="00EB1017">
              <w:t>Weighting of assignment</w:t>
            </w:r>
          </w:p>
        </w:tc>
        <w:tc>
          <w:tcPr>
            <w:tcW w:w="6094" w:type="dxa"/>
          </w:tcPr>
          <w:p w14:paraId="28CE4C22" w14:textId="399D249E" w:rsidR="00491AB6" w:rsidRDefault="008E0E9E" w:rsidP="0001747A">
            <w:r>
              <w:t>2570</w:t>
            </w:r>
          </w:p>
        </w:tc>
      </w:tr>
      <w:tr w:rsidR="00491AB6" w14:paraId="5C2A0680" w14:textId="77777777" w:rsidTr="009133C8">
        <w:tc>
          <w:tcPr>
            <w:tcW w:w="3256" w:type="dxa"/>
            <w:shd w:val="clear" w:color="auto" w:fill="auto"/>
          </w:tcPr>
          <w:p w14:paraId="26614210" w14:textId="77777777" w:rsidR="00491AB6" w:rsidRDefault="00491AB6" w:rsidP="0001747A">
            <w:r w:rsidRPr="00EB1017">
              <w:t>Size or length of assessment</w:t>
            </w:r>
          </w:p>
        </w:tc>
        <w:tc>
          <w:tcPr>
            <w:tcW w:w="6094" w:type="dxa"/>
          </w:tcPr>
          <w:p w14:paraId="7C301888" w14:textId="4CD397E3" w:rsidR="00491AB6" w:rsidRDefault="00EC5C6A" w:rsidP="0001747A">
            <w:r>
              <w:t xml:space="preserve">2309 </w:t>
            </w:r>
            <w:r w:rsidR="00491AB6">
              <w:t>words</w:t>
            </w:r>
          </w:p>
        </w:tc>
      </w:tr>
    </w:tbl>
    <w:p w14:paraId="57E2CD9E" w14:textId="3B2959D1" w:rsidR="001834FC" w:rsidRDefault="001834FC"/>
    <w:p w14:paraId="3C67747A" w14:textId="419EC246" w:rsidR="001834FC" w:rsidRDefault="001834FC" w:rsidP="00D77741">
      <w:pPr>
        <w:pStyle w:val="Heading1"/>
        <w:jc w:val="center"/>
      </w:pPr>
      <w:r>
        <w:br w:type="page"/>
      </w:r>
      <w:bookmarkStart w:id="0" w:name="page2"/>
      <w:bookmarkEnd w:id="0"/>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pPr>
            <w:pStyle w:val="TOCHeading"/>
          </w:pPr>
          <w:r>
            <w:t>Table of Contents</w:t>
          </w:r>
        </w:p>
        <w:p w14:paraId="028546F9" w14:textId="2312258D" w:rsidR="0058455E" w:rsidRDefault="001834FC">
          <w:pPr>
            <w:pStyle w:val="TOC1"/>
            <w:tabs>
              <w:tab w:val="right" w:leader="dot" w:pos="9350"/>
            </w:tabs>
            <w:rPr>
              <w:rFonts w:asciiTheme="minorHAnsi" w:eastAsiaTheme="minorEastAsia" w:hAnsiTheme="minorHAnsi" w:cs="Vrinda"/>
              <w:noProof/>
              <w:color w:val="auto"/>
              <w:szCs w:val="30"/>
              <w:lang w:eastAsia="en-GB" w:bidi="bn-IN"/>
            </w:rPr>
          </w:pPr>
          <w:r>
            <w:rPr>
              <w:b/>
              <w:bCs/>
              <w:noProof/>
            </w:rPr>
            <w:fldChar w:fldCharType="begin"/>
          </w:r>
          <w:r>
            <w:rPr>
              <w:b/>
              <w:bCs/>
              <w:noProof/>
            </w:rPr>
            <w:instrText xml:space="preserve"> TOC \o "1-3" \h \z \u </w:instrText>
          </w:r>
          <w:r>
            <w:rPr>
              <w:b/>
              <w:bCs/>
              <w:noProof/>
            </w:rPr>
            <w:fldChar w:fldCharType="separate"/>
          </w:r>
          <w:hyperlink w:anchor="_Toc115941853" w:history="1">
            <w:r w:rsidR="0058455E" w:rsidRPr="006058A5">
              <w:rPr>
                <w:rStyle w:val="Hyperlink"/>
                <w:noProof/>
              </w:rPr>
              <w:t>Introduction</w:t>
            </w:r>
            <w:r w:rsidR="0058455E">
              <w:rPr>
                <w:noProof/>
                <w:webHidden/>
              </w:rPr>
              <w:tab/>
            </w:r>
            <w:r w:rsidR="0058455E">
              <w:rPr>
                <w:noProof/>
                <w:webHidden/>
              </w:rPr>
              <w:fldChar w:fldCharType="begin"/>
            </w:r>
            <w:r w:rsidR="0058455E">
              <w:rPr>
                <w:noProof/>
                <w:webHidden/>
              </w:rPr>
              <w:instrText xml:space="preserve"> PAGEREF _Toc115941853 \h </w:instrText>
            </w:r>
            <w:r w:rsidR="0058455E">
              <w:rPr>
                <w:noProof/>
                <w:webHidden/>
              </w:rPr>
            </w:r>
            <w:r w:rsidR="0058455E">
              <w:rPr>
                <w:noProof/>
                <w:webHidden/>
              </w:rPr>
              <w:fldChar w:fldCharType="separate"/>
            </w:r>
            <w:r w:rsidR="0058455E">
              <w:rPr>
                <w:noProof/>
                <w:webHidden/>
              </w:rPr>
              <w:t>1</w:t>
            </w:r>
            <w:r w:rsidR="0058455E">
              <w:rPr>
                <w:noProof/>
                <w:webHidden/>
              </w:rPr>
              <w:fldChar w:fldCharType="end"/>
            </w:r>
          </w:hyperlink>
        </w:p>
        <w:p w14:paraId="4E006D23" w14:textId="3576A941" w:rsidR="0058455E" w:rsidRDefault="009133C8">
          <w:pPr>
            <w:pStyle w:val="TOC1"/>
            <w:tabs>
              <w:tab w:val="right" w:leader="dot" w:pos="9350"/>
            </w:tabs>
            <w:rPr>
              <w:rFonts w:asciiTheme="minorHAnsi" w:eastAsiaTheme="minorEastAsia" w:hAnsiTheme="minorHAnsi" w:cs="Vrinda"/>
              <w:noProof/>
              <w:color w:val="auto"/>
              <w:szCs w:val="30"/>
              <w:lang w:eastAsia="en-GB" w:bidi="bn-IN"/>
            </w:rPr>
          </w:pPr>
          <w:hyperlink w:anchor="_Toc115941854" w:history="1">
            <w:r w:rsidR="0058455E" w:rsidRPr="006058A5">
              <w:rPr>
                <w:rStyle w:val="Hyperlink"/>
                <w:noProof/>
              </w:rPr>
              <w:t>1. Overview of the Higher Education Sector</w:t>
            </w:r>
            <w:r w:rsidR="0058455E">
              <w:rPr>
                <w:noProof/>
                <w:webHidden/>
              </w:rPr>
              <w:tab/>
            </w:r>
            <w:r w:rsidR="0058455E">
              <w:rPr>
                <w:noProof/>
                <w:webHidden/>
              </w:rPr>
              <w:fldChar w:fldCharType="begin"/>
            </w:r>
            <w:r w:rsidR="0058455E">
              <w:rPr>
                <w:noProof/>
                <w:webHidden/>
              </w:rPr>
              <w:instrText xml:space="preserve"> PAGEREF _Toc115941854 \h </w:instrText>
            </w:r>
            <w:r w:rsidR="0058455E">
              <w:rPr>
                <w:noProof/>
                <w:webHidden/>
              </w:rPr>
            </w:r>
            <w:r w:rsidR="0058455E">
              <w:rPr>
                <w:noProof/>
                <w:webHidden/>
              </w:rPr>
              <w:fldChar w:fldCharType="separate"/>
            </w:r>
            <w:r w:rsidR="0058455E">
              <w:rPr>
                <w:noProof/>
                <w:webHidden/>
              </w:rPr>
              <w:t>2</w:t>
            </w:r>
            <w:r w:rsidR="0058455E">
              <w:rPr>
                <w:noProof/>
                <w:webHidden/>
              </w:rPr>
              <w:fldChar w:fldCharType="end"/>
            </w:r>
          </w:hyperlink>
        </w:p>
        <w:p w14:paraId="0167B7C8" w14:textId="52FA6AA7" w:rsidR="0058455E" w:rsidRDefault="009133C8">
          <w:pPr>
            <w:pStyle w:val="TOC1"/>
            <w:tabs>
              <w:tab w:val="right" w:leader="dot" w:pos="9350"/>
            </w:tabs>
            <w:rPr>
              <w:rFonts w:asciiTheme="minorHAnsi" w:eastAsiaTheme="minorEastAsia" w:hAnsiTheme="minorHAnsi" w:cs="Vrinda"/>
              <w:noProof/>
              <w:color w:val="auto"/>
              <w:szCs w:val="30"/>
              <w:lang w:eastAsia="en-GB" w:bidi="bn-IN"/>
            </w:rPr>
          </w:pPr>
          <w:hyperlink w:anchor="_Toc115941855" w:history="1">
            <w:r w:rsidR="0058455E" w:rsidRPr="006058A5">
              <w:rPr>
                <w:rStyle w:val="Hyperlink"/>
                <w:noProof/>
              </w:rPr>
              <w:t>2. Discussions</w:t>
            </w:r>
            <w:r w:rsidR="0058455E">
              <w:rPr>
                <w:noProof/>
                <w:webHidden/>
              </w:rPr>
              <w:tab/>
            </w:r>
            <w:r w:rsidR="0058455E">
              <w:rPr>
                <w:noProof/>
                <w:webHidden/>
              </w:rPr>
              <w:fldChar w:fldCharType="begin"/>
            </w:r>
            <w:r w:rsidR="0058455E">
              <w:rPr>
                <w:noProof/>
                <w:webHidden/>
              </w:rPr>
              <w:instrText xml:space="preserve"> PAGEREF _Toc115941855 \h </w:instrText>
            </w:r>
            <w:r w:rsidR="0058455E">
              <w:rPr>
                <w:noProof/>
                <w:webHidden/>
              </w:rPr>
            </w:r>
            <w:r w:rsidR="0058455E">
              <w:rPr>
                <w:noProof/>
                <w:webHidden/>
              </w:rPr>
              <w:fldChar w:fldCharType="separate"/>
            </w:r>
            <w:r w:rsidR="0058455E">
              <w:rPr>
                <w:noProof/>
                <w:webHidden/>
              </w:rPr>
              <w:t>3</w:t>
            </w:r>
            <w:r w:rsidR="0058455E">
              <w:rPr>
                <w:noProof/>
                <w:webHidden/>
              </w:rPr>
              <w:fldChar w:fldCharType="end"/>
            </w:r>
          </w:hyperlink>
        </w:p>
        <w:p w14:paraId="03021288" w14:textId="361DB355" w:rsidR="0058455E" w:rsidRDefault="009133C8">
          <w:pPr>
            <w:pStyle w:val="TOC2"/>
            <w:tabs>
              <w:tab w:val="right" w:leader="dot" w:pos="9350"/>
            </w:tabs>
            <w:rPr>
              <w:rFonts w:asciiTheme="minorHAnsi" w:eastAsiaTheme="minorEastAsia" w:hAnsiTheme="minorHAnsi" w:cs="Vrinda"/>
              <w:noProof/>
              <w:color w:val="auto"/>
              <w:szCs w:val="30"/>
              <w:lang w:eastAsia="en-GB" w:bidi="bn-IN"/>
            </w:rPr>
          </w:pPr>
          <w:hyperlink w:anchor="_Toc115941856" w:history="1">
            <w:r w:rsidR="0058455E" w:rsidRPr="006058A5">
              <w:rPr>
                <w:rStyle w:val="Hyperlink"/>
                <w:noProof/>
              </w:rPr>
              <w:t>2.1. PESTEL Framework</w:t>
            </w:r>
            <w:r w:rsidR="0058455E">
              <w:rPr>
                <w:noProof/>
                <w:webHidden/>
              </w:rPr>
              <w:tab/>
            </w:r>
            <w:r w:rsidR="0058455E">
              <w:rPr>
                <w:noProof/>
                <w:webHidden/>
              </w:rPr>
              <w:fldChar w:fldCharType="begin"/>
            </w:r>
            <w:r w:rsidR="0058455E">
              <w:rPr>
                <w:noProof/>
                <w:webHidden/>
              </w:rPr>
              <w:instrText xml:space="preserve"> PAGEREF _Toc115941856 \h </w:instrText>
            </w:r>
            <w:r w:rsidR="0058455E">
              <w:rPr>
                <w:noProof/>
                <w:webHidden/>
              </w:rPr>
            </w:r>
            <w:r w:rsidR="0058455E">
              <w:rPr>
                <w:noProof/>
                <w:webHidden/>
              </w:rPr>
              <w:fldChar w:fldCharType="separate"/>
            </w:r>
            <w:r w:rsidR="0058455E">
              <w:rPr>
                <w:noProof/>
                <w:webHidden/>
              </w:rPr>
              <w:t>3</w:t>
            </w:r>
            <w:r w:rsidR="0058455E">
              <w:rPr>
                <w:noProof/>
                <w:webHidden/>
              </w:rPr>
              <w:fldChar w:fldCharType="end"/>
            </w:r>
          </w:hyperlink>
        </w:p>
        <w:p w14:paraId="018D9898" w14:textId="2F441230" w:rsidR="0058455E" w:rsidRDefault="009133C8">
          <w:pPr>
            <w:pStyle w:val="TOC2"/>
            <w:tabs>
              <w:tab w:val="right" w:leader="dot" w:pos="9350"/>
            </w:tabs>
            <w:rPr>
              <w:rFonts w:asciiTheme="minorHAnsi" w:eastAsiaTheme="minorEastAsia" w:hAnsiTheme="minorHAnsi" w:cs="Vrinda"/>
              <w:noProof/>
              <w:color w:val="auto"/>
              <w:szCs w:val="30"/>
              <w:lang w:eastAsia="en-GB" w:bidi="bn-IN"/>
            </w:rPr>
          </w:pPr>
          <w:hyperlink w:anchor="_Toc115941857" w:history="1">
            <w:r w:rsidR="0058455E" w:rsidRPr="006058A5">
              <w:rPr>
                <w:rStyle w:val="Hyperlink"/>
                <w:noProof/>
              </w:rPr>
              <w:t>2.2. Porter’s Five Forces</w:t>
            </w:r>
            <w:r w:rsidR="0058455E">
              <w:rPr>
                <w:noProof/>
                <w:webHidden/>
              </w:rPr>
              <w:tab/>
            </w:r>
            <w:r w:rsidR="0058455E">
              <w:rPr>
                <w:noProof/>
                <w:webHidden/>
              </w:rPr>
              <w:fldChar w:fldCharType="begin"/>
            </w:r>
            <w:r w:rsidR="0058455E">
              <w:rPr>
                <w:noProof/>
                <w:webHidden/>
              </w:rPr>
              <w:instrText xml:space="preserve"> PAGEREF _Toc115941857 \h </w:instrText>
            </w:r>
            <w:r w:rsidR="0058455E">
              <w:rPr>
                <w:noProof/>
                <w:webHidden/>
              </w:rPr>
            </w:r>
            <w:r w:rsidR="0058455E">
              <w:rPr>
                <w:noProof/>
                <w:webHidden/>
              </w:rPr>
              <w:fldChar w:fldCharType="separate"/>
            </w:r>
            <w:r w:rsidR="0058455E">
              <w:rPr>
                <w:noProof/>
                <w:webHidden/>
              </w:rPr>
              <w:t>6</w:t>
            </w:r>
            <w:r w:rsidR="0058455E">
              <w:rPr>
                <w:noProof/>
                <w:webHidden/>
              </w:rPr>
              <w:fldChar w:fldCharType="end"/>
            </w:r>
          </w:hyperlink>
        </w:p>
        <w:p w14:paraId="3023AC23" w14:textId="67D14389" w:rsidR="0058455E" w:rsidRDefault="009133C8">
          <w:pPr>
            <w:pStyle w:val="TOC1"/>
            <w:tabs>
              <w:tab w:val="right" w:leader="dot" w:pos="9350"/>
            </w:tabs>
            <w:rPr>
              <w:rFonts w:asciiTheme="minorHAnsi" w:eastAsiaTheme="minorEastAsia" w:hAnsiTheme="minorHAnsi" w:cs="Vrinda"/>
              <w:noProof/>
              <w:color w:val="auto"/>
              <w:szCs w:val="30"/>
              <w:lang w:eastAsia="en-GB" w:bidi="bn-IN"/>
            </w:rPr>
          </w:pPr>
          <w:hyperlink w:anchor="_Toc115941858" w:history="1">
            <w:r w:rsidR="0058455E" w:rsidRPr="006058A5">
              <w:rPr>
                <w:rStyle w:val="Hyperlink"/>
                <w:noProof/>
              </w:rPr>
              <w:t>Conclusion</w:t>
            </w:r>
            <w:r w:rsidR="0058455E">
              <w:rPr>
                <w:noProof/>
                <w:webHidden/>
              </w:rPr>
              <w:tab/>
            </w:r>
            <w:r w:rsidR="0058455E">
              <w:rPr>
                <w:noProof/>
                <w:webHidden/>
              </w:rPr>
              <w:fldChar w:fldCharType="begin"/>
            </w:r>
            <w:r w:rsidR="0058455E">
              <w:rPr>
                <w:noProof/>
                <w:webHidden/>
              </w:rPr>
              <w:instrText xml:space="preserve"> PAGEREF _Toc115941858 \h </w:instrText>
            </w:r>
            <w:r w:rsidR="0058455E">
              <w:rPr>
                <w:noProof/>
                <w:webHidden/>
              </w:rPr>
            </w:r>
            <w:r w:rsidR="0058455E">
              <w:rPr>
                <w:noProof/>
                <w:webHidden/>
              </w:rPr>
              <w:fldChar w:fldCharType="separate"/>
            </w:r>
            <w:r w:rsidR="0058455E">
              <w:rPr>
                <w:noProof/>
                <w:webHidden/>
              </w:rPr>
              <w:t>10</w:t>
            </w:r>
            <w:r w:rsidR="0058455E">
              <w:rPr>
                <w:noProof/>
                <w:webHidden/>
              </w:rPr>
              <w:fldChar w:fldCharType="end"/>
            </w:r>
          </w:hyperlink>
        </w:p>
        <w:p w14:paraId="638F8CA8" w14:textId="0A072C05" w:rsidR="0058455E" w:rsidRDefault="009133C8">
          <w:pPr>
            <w:pStyle w:val="TOC1"/>
            <w:tabs>
              <w:tab w:val="right" w:leader="dot" w:pos="9350"/>
            </w:tabs>
            <w:rPr>
              <w:rFonts w:asciiTheme="minorHAnsi" w:eastAsiaTheme="minorEastAsia" w:hAnsiTheme="minorHAnsi" w:cs="Vrinda"/>
              <w:noProof/>
              <w:color w:val="auto"/>
              <w:szCs w:val="30"/>
              <w:lang w:eastAsia="en-GB" w:bidi="bn-IN"/>
            </w:rPr>
          </w:pPr>
          <w:hyperlink w:anchor="_Toc115941859" w:history="1">
            <w:r w:rsidR="0058455E" w:rsidRPr="006058A5">
              <w:rPr>
                <w:rStyle w:val="Hyperlink"/>
                <w:noProof/>
              </w:rPr>
              <w:t>Reference</w:t>
            </w:r>
            <w:r w:rsidR="0058455E">
              <w:rPr>
                <w:noProof/>
                <w:webHidden/>
              </w:rPr>
              <w:tab/>
            </w:r>
            <w:r w:rsidR="0058455E">
              <w:rPr>
                <w:noProof/>
                <w:webHidden/>
              </w:rPr>
              <w:fldChar w:fldCharType="begin"/>
            </w:r>
            <w:r w:rsidR="0058455E">
              <w:rPr>
                <w:noProof/>
                <w:webHidden/>
              </w:rPr>
              <w:instrText xml:space="preserve"> PAGEREF _Toc115941859 \h </w:instrText>
            </w:r>
            <w:r w:rsidR="0058455E">
              <w:rPr>
                <w:noProof/>
                <w:webHidden/>
              </w:rPr>
            </w:r>
            <w:r w:rsidR="0058455E">
              <w:rPr>
                <w:noProof/>
                <w:webHidden/>
              </w:rPr>
              <w:fldChar w:fldCharType="separate"/>
            </w:r>
            <w:r w:rsidR="0058455E">
              <w:rPr>
                <w:noProof/>
                <w:webHidden/>
              </w:rPr>
              <w:t>11</w:t>
            </w:r>
            <w:r w:rsidR="0058455E">
              <w:rPr>
                <w:noProof/>
                <w:webHidden/>
              </w:rPr>
              <w:fldChar w:fldCharType="end"/>
            </w:r>
          </w:hyperlink>
        </w:p>
        <w:p w14:paraId="11FB9FCD" w14:textId="1513EB61" w:rsidR="001834FC" w:rsidRDefault="001834FC">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1834FC">
          <w:footerReference w:type="default" r:id="rId10"/>
          <w:pgSz w:w="12240" w:h="15840"/>
          <w:pgMar w:top="1440" w:right="1440" w:bottom="1440" w:left="1440" w:header="720" w:footer="720" w:gutter="0"/>
          <w:pgNumType w:fmt="lowerRoman"/>
          <w:cols w:space="720"/>
          <w:docGrid w:linePitch="360"/>
        </w:sectPr>
      </w:pPr>
    </w:p>
    <w:p w14:paraId="194129F4" w14:textId="1AD9EFC3" w:rsidR="001834FC" w:rsidRDefault="001834FC" w:rsidP="001834FC">
      <w:pPr>
        <w:pStyle w:val="Heading1"/>
      </w:pPr>
      <w:bookmarkStart w:id="1" w:name="_Toc115941853"/>
      <w:r>
        <w:lastRenderedPageBreak/>
        <w:t>Introduction</w:t>
      </w:r>
      <w:bookmarkEnd w:id="1"/>
      <w:r>
        <w:t xml:space="preserve"> </w:t>
      </w:r>
    </w:p>
    <w:p w14:paraId="7A5DC98D" w14:textId="09834EA6" w:rsidR="00790680" w:rsidRPr="008D7DC4" w:rsidRDefault="00491AB6" w:rsidP="00491AB6">
      <w:pPr>
        <w:rPr>
          <w:shd w:val="clear" w:color="auto" w:fill="FFFFFF"/>
        </w:rPr>
      </w:pPr>
      <w:r>
        <w:t>The global business environment has undergone significant changes due to globalisation in recent years. To this extent, the higher education sector has also been similarly affected, which, in essence, is a business industry itself</w:t>
      </w:r>
      <w:r w:rsidR="008D7DC4">
        <w:t xml:space="preserve"> </w:t>
      </w:r>
      <w:r w:rsidR="008D7DC4">
        <w:rPr>
          <w:shd w:val="clear" w:color="auto" w:fill="FFFFFF"/>
        </w:rPr>
        <w:t>(Chan, 2017)</w:t>
      </w:r>
      <w:r>
        <w:t>. Different factors within the external environment now determine how the process of higher education delivery will take place. Focusing on these factors, especially ongoing trends, would be crucial for maintaining proper adaptability to changing circumstances and ensuring the long-term operability of higher education institutions</w:t>
      </w:r>
      <w:r w:rsidR="00BD5E67">
        <w:t xml:space="preserve"> (Botha, 2018)</w:t>
      </w:r>
      <w:r>
        <w:t>. In this case, this report will consider</w:t>
      </w:r>
      <w:r w:rsidRPr="00491AB6">
        <w:t xml:space="preserve"> </w:t>
      </w:r>
      <w:r>
        <w:t xml:space="preserve">the University of Wales Trinity Saint David (UWTSD) as the core point of reference. Although, a focus on the higher education sector in its entirety will be maintained throughout this report in </w:t>
      </w:r>
      <w:proofErr w:type="spellStart"/>
      <w:r w:rsidR="009A40A8">
        <w:t>analyzing</w:t>
      </w:r>
      <w:proofErr w:type="spellEnd"/>
      <w:r>
        <w:t xml:space="preserve"> the significance of different external and macro-environmental factors.</w:t>
      </w:r>
    </w:p>
    <w:p w14:paraId="3852E455" w14:textId="6A97CF5D" w:rsidR="00790680" w:rsidRDefault="00790680" w:rsidP="00D81A3B"/>
    <w:p w14:paraId="656C694F" w14:textId="0B10EAD2" w:rsidR="002D4CEF" w:rsidRDefault="002D4CEF" w:rsidP="00D81A3B"/>
    <w:p w14:paraId="230D3C14" w14:textId="4DC6912C" w:rsidR="002D4CEF" w:rsidRDefault="002D4CEF" w:rsidP="00D81A3B"/>
    <w:p w14:paraId="55BC30E1" w14:textId="2FAC1728" w:rsidR="002D4CEF" w:rsidRDefault="002D4CEF" w:rsidP="00D81A3B"/>
    <w:p w14:paraId="78013730" w14:textId="61AF2E96" w:rsidR="002D4CEF" w:rsidRDefault="002D4CEF" w:rsidP="00D81A3B"/>
    <w:p w14:paraId="189B1DF7" w14:textId="11D94EAC" w:rsidR="002D4CEF" w:rsidRDefault="002D4CEF" w:rsidP="00D81A3B"/>
    <w:p w14:paraId="58ABC9F7" w14:textId="33E96B2F" w:rsidR="002D4CEF" w:rsidRDefault="002D4CEF" w:rsidP="00D81A3B"/>
    <w:p w14:paraId="1CC1C304" w14:textId="50633B3B" w:rsidR="002D4CEF" w:rsidRDefault="002D4CEF" w:rsidP="00D81A3B"/>
    <w:p w14:paraId="09E42AEB" w14:textId="114F1CBE" w:rsidR="002D4CEF" w:rsidRDefault="002D4CEF" w:rsidP="00D81A3B"/>
    <w:p w14:paraId="230E4E50" w14:textId="76DF09C2" w:rsidR="002D4CEF" w:rsidRDefault="002D4CEF" w:rsidP="002D4CEF"/>
    <w:p w14:paraId="6586483E" w14:textId="6B8E5A99" w:rsidR="002D4CEF" w:rsidRDefault="002D4CEF" w:rsidP="002D4CEF"/>
    <w:p w14:paraId="08A191EE" w14:textId="77777777" w:rsidR="00D81A3B" w:rsidRDefault="00D81A3B" w:rsidP="002D4CEF"/>
    <w:p w14:paraId="001687E5" w14:textId="460D513C" w:rsidR="00790680" w:rsidRDefault="002D4CEF" w:rsidP="00152091">
      <w:pPr>
        <w:pStyle w:val="Heading1"/>
      </w:pPr>
      <w:bookmarkStart w:id="2" w:name="_Toc115941854"/>
      <w:r>
        <w:lastRenderedPageBreak/>
        <w:t xml:space="preserve">1. </w:t>
      </w:r>
      <w:r w:rsidR="00790680">
        <w:t xml:space="preserve">Overview of </w:t>
      </w:r>
      <w:r w:rsidR="00152091">
        <w:t xml:space="preserve">the </w:t>
      </w:r>
      <w:r w:rsidR="00790680">
        <w:t>Higher Education Sector</w:t>
      </w:r>
      <w:bookmarkEnd w:id="2"/>
    </w:p>
    <w:p w14:paraId="5CCEEFBA" w14:textId="6AABC94E" w:rsidR="00152091" w:rsidRPr="008D7DC4" w:rsidRDefault="00BA5C52" w:rsidP="00152091">
      <w:pPr>
        <w:rPr>
          <w:shd w:val="clear" w:color="auto" w:fill="FFFFFF"/>
        </w:rPr>
      </w:pPr>
      <w:r>
        <w:t xml:space="preserve">The higher education sector can be categorised as the sector engaged in the provision of education on </w:t>
      </w:r>
      <w:proofErr w:type="spellStart"/>
      <w:r>
        <w:t>a</w:t>
      </w:r>
      <w:proofErr w:type="spellEnd"/>
      <w:r>
        <w:t xml:space="preserve"> </w:t>
      </w:r>
      <w:r w:rsidR="001A3572">
        <w:t>advanced</w:t>
      </w:r>
      <w:r>
        <w:t xml:space="preserve"> level, generally leading to learners receiving an educational degree. Higher education is also known as post-secondary education and can be considered an optional stage of formal education. Having that said, compared to preceding academic levels, higher education consists of a wide range of activities and components, including research and training</w:t>
      </w:r>
      <w:r w:rsidR="008D7DC4">
        <w:t xml:space="preserve"> </w:t>
      </w:r>
      <w:r w:rsidR="008D7DC4">
        <w:rPr>
          <w:shd w:val="clear" w:color="auto" w:fill="FFFFFF"/>
        </w:rPr>
        <w:t>(Pond, 2010)</w:t>
      </w:r>
      <w:r>
        <w:t xml:space="preserve">. Generally speaking, </w:t>
      </w:r>
      <w:r w:rsidR="00760E69">
        <w:t>institutions</w:t>
      </w:r>
      <w:r>
        <w:t xml:space="preserve"> such as colleges, universities, vocational schools, and seminaries are engaged in the process of higher education delivery.</w:t>
      </w:r>
      <w:r w:rsidR="00587956">
        <w:t xml:space="preserve"> </w:t>
      </w:r>
      <w:r w:rsidR="002E23C5">
        <w:t xml:space="preserve">Currently, the sector can be perceived from the learning mode followed by institutions. While offline forms of teaching have existed for </w:t>
      </w:r>
      <w:r w:rsidR="00491AB6">
        <w:t xml:space="preserve">years, online learning has become highly popular, not to mention convenient, especially during and after the recent Covid-19 pandemic. </w:t>
      </w:r>
    </w:p>
    <w:p w14:paraId="4FF61E59" w14:textId="008B70A1" w:rsidR="009A60E7" w:rsidRPr="008D7DC4" w:rsidRDefault="00F043D9" w:rsidP="00152091">
      <w:pPr>
        <w:rPr>
          <w:shd w:val="clear" w:color="auto" w:fill="FFFFFF"/>
        </w:rPr>
      </w:pPr>
      <w:r>
        <w:t>As mentioned previously, the higher education sector, much like other business-related sectors, is susceptible to changes in the macro-environment. Having that said, t</w:t>
      </w:r>
      <w:r w:rsidR="00760E69">
        <w:t xml:space="preserve">he landscape of the sector itself has been subject to significant changes over the years. These changes would primarily be associated with </w:t>
      </w:r>
      <w:r w:rsidR="00031C5F">
        <w:t>globalization</w:t>
      </w:r>
      <w:r w:rsidR="00760E69">
        <w:t xml:space="preserve">, as will be discussed in the later section. In terms of the current market dynamics associated </w:t>
      </w:r>
      <w:r w:rsidR="009A60E7">
        <w:t>with</w:t>
      </w:r>
      <w:r w:rsidR="00760E69">
        <w:t xml:space="preserve"> the sector, a</w:t>
      </w:r>
      <w:r w:rsidR="009A60E7">
        <w:t xml:space="preserve">n ever-increasing </w:t>
      </w:r>
      <w:r w:rsidR="00760E69">
        <w:t>number of</w:t>
      </w:r>
      <w:r w:rsidR="009A60E7">
        <w:t xml:space="preserve"> student enrolments in higher education institutions, and</w:t>
      </w:r>
      <w:r w:rsidR="00760E69">
        <w:t xml:space="preserve"> </w:t>
      </w:r>
      <w:r w:rsidR="00031C5F">
        <w:t>internationalization</w:t>
      </w:r>
      <w:r w:rsidR="009A60E7">
        <w:t xml:space="preserve"> are key factors that are key factors behind the growth of the entire industry</w:t>
      </w:r>
      <w:r w:rsidR="008D7DC4">
        <w:t xml:space="preserve"> </w:t>
      </w:r>
      <w:r w:rsidR="008D7DC4">
        <w:rPr>
          <w:shd w:val="clear" w:color="auto" w:fill="FFFFFF"/>
        </w:rPr>
        <w:t>(Kerr, 2011)</w:t>
      </w:r>
      <w:r w:rsidR="009A60E7">
        <w:t xml:space="preserve">. Again, there are other driving factors, such as increasing connection, the emergence of virtual learning, technological </w:t>
      </w:r>
      <w:r w:rsidR="00031C5F">
        <w:t>personalization</w:t>
      </w:r>
      <w:r w:rsidR="009A60E7">
        <w:t xml:space="preserve">, and privacy features of cloud-based learning resources. Primarily, the internet has had a substantial impact on how the higher education sector operates today, and </w:t>
      </w:r>
      <w:r w:rsidR="008D7DC4">
        <w:t>incumbent</w:t>
      </w:r>
      <w:r>
        <w:t xml:space="preserve"> institutions such as </w:t>
      </w:r>
      <w:r w:rsidR="009A60E7">
        <w:t>UWTSD</w:t>
      </w:r>
      <w:r w:rsidR="00491AB6">
        <w:t xml:space="preserve"> </w:t>
      </w:r>
      <w:r>
        <w:t>are</w:t>
      </w:r>
      <w:r w:rsidR="009A60E7">
        <w:t xml:space="preserve"> </w:t>
      </w:r>
      <w:r>
        <w:t>also subject to the said impact</w:t>
      </w:r>
      <w:r w:rsidR="008D7DC4">
        <w:t xml:space="preserve"> </w:t>
      </w:r>
      <w:r w:rsidR="008D7DC4">
        <w:rPr>
          <w:shd w:val="clear" w:color="auto" w:fill="FFFFFF"/>
        </w:rPr>
        <w:t>(Chan, 2017)</w:t>
      </w:r>
      <w:r>
        <w:t>. As mentioned previously, the higher education sector, much like other business-related sectors, is susceptible to changes in the macro-environment.</w:t>
      </w:r>
    </w:p>
    <w:p w14:paraId="7E83B14B" w14:textId="6637FABD" w:rsidR="00BA5C52" w:rsidRDefault="00BA5C52" w:rsidP="00152091"/>
    <w:p w14:paraId="0C9B0C70" w14:textId="3338EE1E" w:rsidR="00F043D9" w:rsidRDefault="00F043D9" w:rsidP="00152091"/>
    <w:p w14:paraId="2A13CF0A" w14:textId="54FA79D0" w:rsidR="00F043D9" w:rsidRDefault="00F043D9" w:rsidP="00152091"/>
    <w:p w14:paraId="67C3E2E9" w14:textId="77777777" w:rsidR="00CC3A3B" w:rsidRDefault="00CC3A3B" w:rsidP="00152091"/>
    <w:p w14:paraId="7B680A0B" w14:textId="4FCC48CB" w:rsidR="00790680" w:rsidRDefault="00F043D9" w:rsidP="00152091">
      <w:pPr>
        <w:pStyle w:val="Heading1"/>
      </w:pPr>
      <w:bookmarkStart w:id="3" w:name="_Toc115941855"/>
      <w:r>
        <w:lastRenderedPageBreak/>
        <w:t xml:space="preserve">2. </w:t>
      </w:r>
      <w:r w:rsidR="00790680">
        <w:t>Discussions</w:t>
      </w:r>
      <w:bookmarkEnd w:id="3"/>
    </w:p>
    <w:p w14:paraId="284A974E" w14:textId="7A70777D" w:rsidR="00ED569F" w:rsidRPr="00ED569F" w:rsidRDefault="00ED569F" w:rsidP="00ED569F">
      <w:r>
        <w:t>This section of the report will focus on how different factors within the external environment affects the higher education sector, and subsequently, UWTSD. In this case, the use of the PESTEL framework, and Porter’s five forces model will be considered for the aforementioned purpose.</w:t>
      </w:r>
    </w:p>
    <w:p w14:paraId="61564E7E" w14:textId="695782B4" w:rsidR="00790680" w:rsidRDefault="00F043D9" w:rsidP="00F043D9">
      <w:pPr>
        <w:pStyle w:val="Heading2"/>
      </w:pPr>
      <w:bookmarkStart w:id="4" w:name="_Toc115941856"/>
      <w:r>
        <w:t xml:space="preserve">2.1. </w:t>
      </w:r>
      <w:r w:rsidR="00790680">
        <w:t>PESTEL Framework</w:t>
      </w:r>
      <w:bookmarkEnd w:id="4"/>
    </w:p>
    <w:p w14:paraId="5D3E1685" w14:textId="644FDFE4" w:rsidR="008D7DC4" w:rsidRDefault="00380957" w:rsidP="008D7DC4">
      <w:pPr>
        <w:rPr>
          <w:lang w:val="en-US"/>
        </w:rPr>
      </w:pPr>
      <w:r>
        <w:rPr>
          <w:lang w:val="en-US"/>
        </w:rPr>
        <w:t>Applying the PESTEL framework to the higher education sector would yield the following outcomes.</w:t>
      </w:r>
    </w:p>
    <w:p w14:paraId="674D2A5B" w14:textId="6804F3F2" w:rsidR="00380957" w:rsidRDefault="00380957" w:rsidP="00380957">
      <w:pPr>
        <w:jc w:val="center"/>
        <w:rPr>
          <w:lang w:val="en-US"/>
        </w:rPr>
      </w:pPr>
      <w:r>
        <w:rPr>
          <w:noProof/>
          <w:lang w:val="en-US"/>
        </w:rPr>
        <w:drawing>
          <wp:inline distT="0" distB="0" distL="0" distR="0" wp14:anchorId="55A207D2" wp14:editId="4F7F76FF">
            <wp:extent cx="3542494" cy="2460065"/>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554695" cy="2468538"/>
                    </a:xfrm>
                    <a:prstGeom prst="rect">
                      <a:avLst/>
                    </a:prstGeom>
                  </pic:spPr>
                </pic:pic>
              </a:graphicData>
            </a:graphic>
          </wp:inline>
        </w:drawing>
      </w:r>
    </w:p>
    <w:p w14:paraId="210F668E" w14:textId="75DAB581" w:rsidR="00380957" w:rsidRPr="00380957" w:rsidRDefault="00380957" w:rsidP="00380957">
      <w:pPr>
        <w:jc w:val="center"/>
        <w:rPr>
          <w:i/>
          <w:iCs/>
          <w:lang w:val="en-US"/>
        </w:rPr>
      </w:pPr>
      <w:r w:rsidRPr="00380957">
        <w:rPr>
          <w:i/>
          <w:iCs/>
          <w:lang w:val="en-US"/>
        </w:rPr>
        <w:t>Figure 1: PESTEL framework</w:t>
      </w:r>
    </w:p>
    <w:p w14:paraId="627200C9" w14:textId="0397C85D" w:rsidR="00380957" w:rsidRPr="008D7DC4" w:rsidRDefault="00380957" w:rsidP="00380957">
      <w:pPr>
        <w:jc w:val="center"/>
        <w:rPr>
          <w:lang w:val="en-US"/>
        </w:rPr>
      </w:pPr>
      <w:r>
        <w:rPr>
          <w:lang w:val="en-US"/>
        </w:rPr>
        <w:t>Source:</w:t>
      </w:r>
      <w:r w:rsidR="0043115A">
        <w:rPr>
          <w:lang w:val="en-US"/>
        </w:rPr>
        <w:t xml:space="preserve"> </w:t>
      </w:r>
      <w:r w:rsidR="0043115A">
        <w:rPr>
          <w:shd w:val="clear" w:color="auto" w:fill="FFFFFF"/>
        </w:rPr>
        <w:t>(</w:t>
      </w:r>
      <w:proofErr w:type="spellStart"/>
      <w:r w:rsidR="0043115A">
        <w:rPr>
          <w:shd w:val="clear" w:color="auto" w:fill="FFFFFF"/>
        </w:rPr>
        <w:t>Peterdy</w:t>
      </w:r>
      <w:proofErr w:type="spellEnd"/>
      <w:r w:rsidR="0043115A">
        <w:rPr>
          <w:shd w:val="clear" w:color="auto" w:fill="FFFFFF"/>
        </w:rPr>
        <w:t>, 2022)</w:t>
      </w:r>
    </w:p>
    <w:p w14:paraId="564BE6CF" w14:textId="785616B7" w:rsidR="00F043D9" w:rsidRPr="00A46830" w:rsidRDefault="00A46830" w:rsidP="00ED569F">
      <w:pPr>
        <w:rPr>
          <w:b/>
          <w:bCs/>
          <w:lang w:val="en-US"/>
        </w:rPr>
      </w:pPr>
      <w:r w:rsidRPr="00A46830">
        <w:rPr>
          <w:b/>
          <w:bCs/>
          <w:lang w:val="en-US"/>
        </w:rPr>
        <w:t>Political factors</w:t>
      </w:r>
    </w:p>
    <w:p w14:paraId="5496D9A9" w14:textId="0E4496CD" w:rsidR="00A46830" w:rsidRPr="008D7DC4" w:rsidRDefault="00A46830" w:rsidP="00ED569F">
      <w:r>
        <w:rPr>
          <w:lang w:val="en-US"/>
        </w:rPr>
        <w:t xml:space="preserve">In light of the higher education sector, some of the most relevant factors would include public funding and the number of foreign students. Focusing on the first, the availability of public funding, as per government policies, would dictate the number of students enrolling </w:t>
      </w:r>
      <w:r w:rsidR="0043115A">
        <w:rPr>
          <w:lang w:val="en-US"/>
        </w:rPr>
        <w:t>in</w:t>
      </w:r>
      <w:r>
        <w:rPr>
          <w:lang w:val="en-US"/>
        </w:rPr>
        <w:t xml:space="preserve"> higher education. In reality, higher education can be quite costly, and a significant portion of students would be unable to bear the expenses. If public funding exists, the</w:t>
      </w:r>
      <w:r w:rsidR="008D7DC4">
        <w:rPr>
          <w:lang w:val="en-US"/>
        </w:rPr>
        <w:t>n</w:t>
      </w:r>
      <w:r>
        <w:rPr>
          <w:lang w:val="en-US"/>
        </w:rPr>
        <w:t xml:space="preserve"> the cost of education can be </w:t>
      </w:r>
      <w:r w:rsidR="00331F45">
        <w:rPr>
          <w:lang w:val="en-US"/>
        </w:rPr>
        <w:t>subsidized</w:t>
      </w:r>
      <w:r>
        <w:rPr>
          <w:lang w:val="en-US"/>
        </w:rPr>
        <w:t xml:space="preserve"> to a certain degree</w:t>
      </w:r>
      <w:r w:rsidR="008D7DC4">
        <w:rPr>
          <w:lang w:val="en-US"/>
        </w:rPr>
        <w:t xml:space="preserve"> </w:t>
      </w:r>
      <w:r w:rsidR="008D7DC4">
        <w:t>(Botha, 2018)</w:t>
      </w:r>
      <w:r>
        <w:rPr>
          <w:lang w:val="en-US"/>
        </w:rPr>
        <w:t>. Now, concerning UWTSD, a relevant factor would be that almost all similar institutions in the country are receptors of public funding</w:t>
      </w:r>
      <w:r w:rsidR="00BF7EB8">
        <w:rPr>
          <w:lang w:val="en-US"/>
        </w:rPr>
        <w:t xml:space="preserve">. While this </w:t>
      </w:r>
      <w:r w:rsidR="00BF7EB8">
        <w:rPr>
          <w:lang w:val="en-US"/>
        </w:rPr>
        <w:lastRenderedPageBreak/>
        <w:t>would indicate a positive state for the country’s sector, the situation is changing as the government is planning to reduce its budget pertaining to education, as a whole.</w:t>
      </w:r>
      <w:r w:rsidR="00651337">
        <w:rPr>
          <w:lang w:val="en-US"/>
        </w:rPr>
        <w:t xml:space="preserve"> </w:t>
      </w:r>
    </w:p>
    <w:p w14:paraId="44C0AA00" w14:textId="09C708C4" w:rsidR="00651337" w:rsidRPr="008D7DC4" w:rsidRDefault="00651337" w:rsidP="00ED569F">
      <w:pPr>
        <w:rPr>
          <w:shd w:val="clear" w:color="auto" w:fill="FFFFFF"/>
        </w:rPr>
      </w:pPr>
      <w:r>
        <w:rPr>
          <w:lang w:val="en-US"/>
        </w:rPr>
        <w:t xml:space="preserve">Focusing on foreign students, higher education institutions such as UWTSD are significantly affected by enrolments by such students. In the UK, for example, the higher education sector consists of about 20% </w:t>
      </w:r>
      <w:r w:rsidR="0043115A">
        <w:rPr>
          <w:lang w:val="en-US"/>
        </w:rPr>
        <w:t xml:space="preserve">of </w:t>
      </w:r>
      <w:r>
        <w:rPr>
          <w:lang w:val="en-US"/>
        </w:rPr>
        <w:t>students from foreign countries, which</w:t>
      </w:r>
      <w:r w:rsidR="003747BF">
        <w:rPr>
          <w:lang w:val="en-US"/>
        </w:rPr>
        <w:t xml:space="preserve"> would rise </w:t>
      </w:r>
      <w:r w:rsidR="008D7DC4">
        <w:rPr>
          <w:lang w:val="en-US"/>
        </w:rPr>
        <w:t>to</w:t>
      </w:r>
      <w:r w:rsidR="003747BF">
        <w:rPr>
          <w:lang w:val="en-US"/>
        </w:rPr>
        <w:t xml:space="preserve"> 40%, and even higher if the postgraduate level is concerned</w:t>
      </w:r>
      <w:r w:rsidR="008D7DC4">
        <w:rPr>
          <w:lang w:val="en-US"/>
        </w:rPr>
        <w:t xml:space="preserve"> </w:t>
      </w:r>
      <w:r w:rsidR="008D7DC4">
        <w:rPr>
          <w:shd w:val="clear" w:color="auto" w:fill="FFFFFF"/>
        </w:rPr>
        <w:t>(Chan, 2017)</w:t>
      </w:r>
      <w:r w:rsidR="003747BF">
        <w:rPr>
          <w:lang w:val="en-US"/>
        </w:rPr>
        <w:t xml:space="preserve">. Different political conditions, however, have </w:t>
      </w:r>
      <w:r w:rsidR="0043115A">
        <w:rPr>
          <w:lang w:val="en-US"/>
        </w:rPr>
        <w:t>to differentiate</w:t>
      </w:r>
      <w:r w:rsidR="003747BF">
        <w:rPr>
          <w:lang w:val="en-US"/>
        </w:rPr>
        <w:t xml:space="preserve"> impact </w:t>
      </w:r>
      <w:r w:rsidR="008D7DC4">
        <w:rPr>
          <w:lang w:val="en-US"/>
        </w:rPr>
        <w:t>on</w:t>
      </w:r>
      <w:r w:rsidR="003747BF">
        <w:rPr>
          <w:lang w:val="en-US"/>
        </w:rPr>
        <w:t xml:space="preserve"> the number of foreign students in a country. For the UK, Brexit has had an adverse impact considering that a significant portion of the foreign students in higher education come from European countries.</w:t>
      </w:r>
    </w:p>
    <w:p w14:paraId="25A5AE00" w14:textId="32DEEFC3" w:rsidR="003747BF" w:rsidRDefault="003747BF" w:rsidP="00ED569F">
      <w:pPr>
        <w:rPr>
          <w:b/>
          <w:bCs/>
          <w:lang w:val="en-US"/>
        </w:rPr>
      </w:pPr>
      <w:r w:rsidRPr="003747BF">
        <w:rPr>
          <w:b/>
          <w:bCs/>
          <w:lang w:val="en-US"/>
        </w:rPr>
        <w:t>Economic factors</w:t>
      </w:r>
    </w:p>
    <w:p w14:paraId="2DA0CF47" w14:textId="50623EB3" w:rsidR="003747BF" w:rsidRPr="008D7DC4" w:rsidRDefault="00B47E27" w:rsidP="00555475">
      <w:pPr>
        <w:rPr>
          <w:shd w:val="clear" w:color="auto" w:fill="FFFFFF"/>
        </w:rPr>
      </w:pPr>
      <w:r>
        <w:rPr>
          <w:lang w:val="en-US"/>
        </w:rPr>
        <w:t xml:space="preserve">A highly relevant economic factor for the selected sector would be student debt, which is somewhat connected to public funding. As previously mentioned, the high cost of higher education can be financially quite burdensome for certain students. To continue their higher education, many students are forced to take loans, resulting in </w:t>
      </w:r>
      <w:r w:rsidR="008D7DC4">
        <w:rPr>
          <w:lang w:val="en-US"/>
        </w:rPr>
        <w:t>substantial</w:t>
      </w:r>
      <w:r>
        <w:rPr>
          <w:lang w:val="en-US"/>
        </w:rPr>
        <w:t xml:space="preserve"> amounts </w:t>
      </w:r>
      <w:r w:rsidR="0043115A">
        <w:rPr>
          <w:lang w:val="en-US"/>
        </w:rPr>
        <w:t>of</w:t>
      </w:r>
      <w:r>
        <w:rPr>
          <w:lang w:val="en-US"/>
        </w:rPr>
        <w:t xml:space="preserve"> debt. When these students enter a profession, they start off in </w:t>
      </w:r>
      <w:r w:rsidR="008D7DC4">
        <w:rPr>
          <w:lang w:val="en-US"/>
        </w:rPr>
        <w:t xml:space="preserve">a </w:t>
      </w:r>
      <w:r>
        <w:rPr>
          <w:lang w:val="en-US"/>
        </w:rPr>
        <w:t>financially disadvantageous position, with many students unable to settle their debts in due time</w:t>
      </w:r>
      <w:r w:rsidR="008D7DC4">
        <w:rPr>
          <w:lang w:val="en-US"/>
        </w:rPr>
        <w:t xml:space="preserve"> </w:t>
      </w:r>
      <w:r w:rsidR="008D7DC4">
        <w:rPr>
          <w:shd w:val="clear" w:color="auto" w:fill="FFFFFF"/>
        </w:rPr>
        <w:t>(Pond, 2010)</w:t>
      </w:r>
      <w:r>
        <w:rPr>
          <w:lang w:val="en-US"/>
        </w:rPr>
        <w:t>. This significant issue can greatly diminish students’ interest in receiving higher education if their financial capabilities are not sufficient.</w:t>
      </w:r>
    </w:p>
    <w:p w14:paraId="404BF4A4" w14:textId="6318271E" w:rsidR="00B47E27" w:rsidRPr="00380957" w:rsidRDefault="000E46D7" w:rsidP="00555475">
      <w:pPr>
        <w:rPr>
          <w:shd w:val="clear" w:color="auto" w:fill="FFFFFF"/>
        </w:rPr>
      </w:pPr>
      <w:r>
        <w:rPr>
          <w:lang w:val="en-US"/>
        </w:rPr>
        <w:t>Students studying in UTWSD and other higher education institutions in the UK are faced with a dilemma pertaining to a weak job market. Compared to other educational hubs, similar to Australia and the USA, the job market is not as strong in the UK</w:t>
      </w:r>
      <w:r w:rsidR="008D7DC4">
        <w:rPr>
          <w:lang w:val="en-US"/>
        </w:rPr>
        <w:t xml:space="preserve"> </w:t>
      </w:r>
      <w:r w:rsidR="00380957">
        <w:rPr>
          <w:shd w:val="clear" w:color="auto" w:fill="FFFFFF"/>
        </w:rPr>
        <w:t>(Millward, 2022)</w:t>
      </w:r>
      <w:r>
        <w:rPr>
          <w:lang w:val="en-US"/>
        </w:rPr>
        <w:t>. This would indicate a sense of perplexity among higher education students in terms of career prospects at the end of higher education.</w:t>
      </w:r>
    </w:p>
    <w:p w14:paraId="143C8317" w14:textId="68A9A4A5" w:rsidR="000E46D7" w:rsidRPr="000E46D7" w:rsidRDefault="000E46D7" w:rsidP="00555475">
      <w:pPr>
        <w:rPr>
          <w:b/>
          <w:bCs/>
          <w:lang w:val="en-US"/>
        </w:rPr>
      </w:pPr>
      <w:r w:rsidRPr="000E46D7">
        <w:rPr>
          <w:b/>
          <w:bCs/>
          <w:lang w:val="en-US"/>
        </w:rPr>
        <w:t>Social factors</w:t>
      </w:r>
    </w:p>
    <w:p w14:paraId="4F1E2CE0" w14:textId="678BC051" w:rsidR="000E46D7" w:rsidRDefault="000E46D7" w:rsidP="00555475">
      <w:pPr>
        <w:rPr>
          <w:lang w:val="en-US"/>
        </w:rPr>
      </w:pPr>
      <w:r>
        <w:rPr>
          <w:lang w:val="en-US"/>
        </w:rPr>
        <w:t>The aforementioned issue of student debt can also be explored from a sociocultural perspective. In this case, as it currently stands, students are willing to accept significant amounts of debt in exchange for the opportunity to receive higher education from reputable universities</w:t>
      </w:r>
      <w:r w:rsidR="00C82B7A">
        <w:rPr>
          <w:lang w:val="en-US"/>
        </w:rPr>
        <w:t xml:space="preserve"> </w:t>
      </w:r>
      <w:r w:rsidR="00C82B7A">
        <w:rPr>
          <w:shd w:val="clear" w:color="auto" w:fill="FFFFFF"/>
        </w:rPr>
        <w:t>(Deloitte, 2022)</w:t>
      </w:r>
      <w:r>
        <w:rPr>
          <w:lang w:val="en-US"/>
        </w:rPr>
        <w:t xml:space="preserve">. </w:t>
      </w:r>
      <w:r w:rsidR="00396A6B">
        <w:rPr>
          <w:lang w:val="en-US"/>
        </w:rPr>
        <w:t xml:space="preserve">Although, this mentality may change going forward, especially if there is a manifestation of the unpayable loans in the sector. In such a case, new students would be unlikely to accept large amounts of debt, and even refrain from receiving higher education. Needless to say, this would </w:t>
      </w:r>
      <w:r w:rsidR="00396A6B">
        <w:rPr>
          <w:lang w:val="en-US"/>
        </w:rPr>
        <w:lastRenderedPageBreak/>
        <w:t>have a highly negative impact on the operability and profitability of institutions operating in the higher education sector.</w:t>
      </w:r>
    </w:p>
    <w:p w14:paraId="0E0429F9" w14:textId="69B3F15D" w:rsidR="00C82B7A" w:rsidRDefault="00C77E0D" w:rsidP="00555475">
      <w:pPr>
        <w:rPr>
          <w:lang w:val="en-US"/>
        </w:rPr>
      </w:pPr>
      <w:r>
        <w:rPr>
          <w:lang w:val="en-US"/>
        </w:rPr>
        <w:t>Another key social factor would be the actual willingness of students to pursue higher education. While historically, higher education has been deemed to be essential for achieving success in one’s career, the mentality is changing</w:t>
      </w:r>
      <w:r w:rsidR="008D7DC4">
        <w:rPr>
          <w:lang w:val="en-US"/>
        </w:rPr>
        <w:t xml:space="preserve"> </w:t>
      </w:r>
      <w:r w:rsidR="008D7DC4">
        <w:t>(Botha, 2018)</w:t>
      </w:r>
      <w:r>
        <w:rPr>
          <w:lang w:val="en-US"/>
        </w:rPr>
        <w:t xml:space="preserve">. There are several examples of individuals who can be </w:t>
      </w:r>
      <w:r w:rsidR="009D4B21">
        <w:rPr>
          <w:lang w:val="en-US"/>
        </w:rPr>
        <w:t>categorized</w:t>
      </w:r>
      <w:r>
        <w:rPr>
          <w:lang w:val="en-US"/>
        </w:rPr>
        <w:t xml:space="preserve"> as ‘successful’, but who have not received higher education. The result is that there is diminishing interest in students to receive higher education. Again, most jobs are increasingly preferring experience over higher education degrees, further adding to the issue.</w:t>
      </w:r>
    </w:p>
    <w:p w14:paraId="64B68E67" w14:textId="160CCD0F" w:rsidR="00C82B7A" w:rsidRPr="00C82B7A" w:rsidRDefault="00C82B7A" w:rsidP="00555475">
      <w:pPr>
        <w:rPr>
          <w:lang w:val="en-US"/>
        </w:rPr>
      </w:pPr>
      <w:r>
        <w:rPr>
          <w:lang w:val="en-US"/>
        </w:rPr>
        <w:t xml:space="preserve">It is also noteworthy here to mention that universities and other higher education </w:t>
      </w:r>
      <w:r w:rsidR="009D4B21">
        <w:rPr>
          <w:lang w:val="en-US"/>
        </w:rPr>
        <w:t>organizations</w:t>
      </w:r>
      <w:r>
        <w:rPr>
          <w:lang w:val="en-US"/>
        </w:rPr>
        <w:t xml:space="preserve">, by current standards, must conform to the idea of inclusive education. For an institution such as UWTSD, it is important that students are selected based on their </w:t>
      </w:r>
      <w:r w:rsidR="00EC5C6A">
        <w:rPr>
          <w:lang w:val="en-US"/>
        </w:rPr>
        <w:t xml:space="preserve">learning capabilities and potential, and not on characteristics, such as sex, race, or ethnicity. In the learning environment, as well, highly inclusive </w:t>
      </w:r>
      <w:r w:rsidR="009D4B21">
        <w:rPr>
          <w:lang w:val="en-US"/>
        </w:rPr>
        <w:t>behavior</w:t>
      </w:r>
      <w:r w:rsidR="00EC5C6A">
        <w:rPr>
          <w:lang w:val="en-US"/>
        </w:rPr>
        <w:t xml:space="preserve"> is to be expected to guarantee students’ satisfaction with the environment.</w:t>
      </w:r>
    </w:p>
    <w:p w14:paraId="3465A6A5" w14:textId="0B807BC9" w:rsidR="00C77E0D" w:rsidRPr="00C77E0D" w:rsidRDefault="00C77E0D" w:rsidP="00555475">
      <w:pPr>
        <w:rPr>
          <w:b/>
          <w:bCs/>
          <w:lang w:val="en-US"/>
        </w:rPr>
      </w:pPr>
      <w:r w:rsidRPr="00C77E0D">
        <w:rPr>
          <w:b/>
          <w:bCs/>
          <w:lang w:val="en-US"/>
        </w:rPr>
        <w:t>Technological factors</w:t>
      </w:r>
    </w:p>
    <w:p w14:paraId="4AA4C546" w14:textId="77C9B2D8" w:rsidR="00CC3A3B" w:rsidRDefault="006F4936" w:rsidP="00F043D9">
      <w:pPr>
        <w:rPr>
          <w:lang w:val="en-US"/>
        </w:rPr>
      </w:pPr>
      <w:r>
        <w:rPr>
          <w:lang w:val="en-US"/>
        </w:rPr>
        <w:t>Technology and the subsequent rate of improvement have been significantly affecting how the higher education sector operates. For starters, there is a plethora of online resources currently available that can assist learners in their higher education. Likewise, educational institutions can rely on such resources for the purpose of delivering higher education</w:t>
      </w:r>
      <w:r w:rsidR="00611E34">
        <w:rPr>
          <w:lang w:val="en-US"/>
        </w:rPr>
        <w:t xml:space="preserve"> </w:t>
      </w:r>
      <w:r w:rsidR="00611E34">
        <w:rPr>
          <w:shd w:val="clear" w:color="auto" w:fill="FFFFFF"/>
        </w:rPr>
        <w:t>(Deloitte, 2022)</w:t>
      </w:r>
      <w:r>
        <w:rPr>
          <w:lang w:val="en-US"/>
        </w:rPr>
        <w:t>. However, the availability of such readily available, and often free, resources may mean that students may depend on these resources only and not be interested in receiving higher education from formal institutions such as UWTSD.</w:t>
      </w:r>
      <w:r w:rsidR="00F43265">
        <w:rPr>
          <w:lang w:val="en-US"/>
        </w:rPr>
        <w:t xml:space="preserve"> Of course, the increasingly important role of technology in the sector cannot be denied. Universities are increasingly streamlining the use of online </w:t>
      </w:r>
      <w:proofErr w:type="spellStart"/>
      <w:r w:rsidR="007C7729">
        <w:rPr>
          <w:lang w:val="en-US"/>
        </w:rPr>
        <w:t>M</w:t>
      </w:r>
      <w:r w:rsidR="00F43265">
        <w:rPr>
          <w:lang w:val="en-US"/>
        </w:rPr>
        <w:t>oodles</w:t>
      </w:r>
      <w:proofErr w:type="spellEnd"/>
      <w:r w:rsidR="00F43265">
        <w:rPr>
          <w:lang w:val="en-US"/>
        </w:rPr>
        <w:t xml:space="preserve">, through </w:t>
      </w:r>
      <w:proofErr w:type="gramStart"/>
      <w:r w:rsidR="00F43265">
        <w:rPr>
          <w:lang w:val="en-US"/>
        </w:rPr>
        <w:t>which,</w:t>
      </w:r>
      <w:proofErr w:type="gramEnd"/>
      <w:r w:rsidR="00F43265">
        <w:rPr>
          <w:lang w:val="en-US"/>
        </w:rPr>
        <w:t xml:space="preserve"> students can access different resources and receive important information in regards to their academic curriculum. There is also a high prospect in terms of integrating technologies such as Artificial intelligence and virtual reality into higher education as a means of increasing learner engagement.</w:t>
      </w:r>
    </w:p>
    <w:p w14:paraId="7A09240E" w14:textId="77777777" w:rsidR="007C7729" w:rsidRDefault="007C7729" w:rsidP="00F043D9">
      <w:pPr>
        <w:rPr>
          <w:lang w:val="en-US"/>
        </w:rPr>
      </w:pPr>
    </w:p>
    <w:p w14:paraId="16FA8503" w14:textId="77777777" w:rsidR="007C7729" w:rsidRDefault="007C7729" w:rsidP="00F043D9">
      <w:pPr>
        <w:rPr>
          <w:lang w:val="en-US"/>
        </w:rPr>
      </w:pPr>
    </w:p>
    <w:p w14:paraId="76283961" w14:textId="5C433F04" w:rsidR="008A0BB8" w:rsidRPr="006524D9" w:rsidRDefault="00EC5408" w:rsidP="00F043D9">
      <w:pPr>
        <w:rPr>
          <w:b/>
          <w:bCs/>
          <w:lang w:val="en-US"/>
        </w:rPr>
      </w:pPr>
      <w:r>
        <w:rPr>
          <w:b/>
          <w:bCs/>
          <w:lang w:val="en-US"/>
        </w:rPr>
        <w:lastRenderedPageBreak/>
        <w:t>Environmental</w:t>
      </w:r>
      <w:r w:rsidR="006524D9" w:rsidRPr="006524D9">
        <w:rPr>
          <w:b/>
          <w:bCs/>
          <w:lang w:val="en-US"/>
        </w:rPr>
        <w:t xml:space="preserve"> factors</w:t>
      </w:r>
    </w:p>
    <w:p w14:paraId="0577CDCA" w14:textId="4F65F5D9" w:rsidR="006524D9" w:rsidRDefault="00EC5408" w:rsidP="00EC5408">
      <w:pPr>
        <w:rPr>
          <w:lang w:val="en-US"/>
        </w:rPr>
      </w:pPr>
      <w:r>
        <w:rPr>
          <w:lang w:val="en-US"/>
        </w:rPr>
        <w:t>Considering the higher education sector, identifying a direct link with the environment may be difficult. However, it is certain that the sector has a key role to play in mainstreaming disaster risk reduction (DRR) as a means of achieving sustainable development</w:t>
      </w:r>
      <w:r w:rsidR="00611E34">
        <w:rPr>
          <w:lang w:val="en-US"/>
        </w:rPr>
        <w:t xml:space="preserve"> </w:t>
      </w:r>
      <w:r w:rsidR="00611E34">
        <w:rPr>
          <w:shd w:val="clear" w:color="auto" w:fill="FFFFFF"/>
        </w:rPr>
        <w:t>(Rizal, 2017)</w:t>
      </w:r>
      <w:r>
        <w:rPr>
          <w:lang w:val="en-US"/>
        </w:rPr>
        <w:t xml:space="preserve">. Higher education institutions can offer </w:t>
      </w:r>
      <w:r w:rsidR="007C7729">
        <w:rPr>
          <w:lang w:val="en-US"/>
        </w:rPr>
        <w:t>specialized</w:t>
      </w:r>
      <w:r>
        <w:rPr>
          <w:lang w:val="en-US"/>
        </w:rPr>
        <w:t xml:space="preserve"> courses in this case. Although, as it currently stands, there is a significant lack of such arrangements in the sector. However, considering the fact that DRR is a multidisciplinary area of study, UWTSD and other universities have the option to include DRR and climate change adaptation components in existing courses.</w:t>
      </w:r>
    </w:p>
    <w:p w14:paraId="0B2834EB" w14:textId="30815614" w:rsidR="006524D9" w:rsidRDefault="006524D9" w:rsidP="00F043D9">
      <w:pPr>
        <w:rPr>
          <w:b/>
          <w:bCs/>
          <w:lang w:val="en-US"/>
        </w:rPr>
      </w:pPr>
      <w:r w:rsidRPr="006524D9">
        <w:rPr>
          <w:b/>
          <w:bCs/>
          <w:lang w:val="en-US"/>
        </w:rPr>
        <w:t>Legal factors</w:t>
      </w:r>
    </w:p>
    <w:p w14:paraId="571DAD69" w14:textId="2EC1FED4" w:rsidR="00B250E2" w:rsidRPr="00F043D9" w:rsidRDefault="001C4A44" w:rsidP="00F043D9">
      <w:pPr>
        <w:rPr>
          <w:lang w:val="en-US"/>
        </w:rPr>
      </w:pPr>
      <w:r>
        <w:rPr>
          <w:lang w:val="en-US"/>
        </w:rPr>
        <w:t xml:space="preserve">The legal factors in the higher education sector in the changing global environment can be linked to data security and privacy-related issues. As mentioned, institutions in the sector are becoming increasingly reliant on the use of different technologies. In this case, these </w:t>
      </w:r>
      <w:r w:rsidR="007C7729">
        <w:rPr>
          <w:lang w:val="en-US"/>
        </w:rPr>
        <w:t>organizations</w:t>
      </w:r>
      <w:r>
        <w:rPr>
          <w:lang w:val="en-US"/>
        </w:rPr>
        <w:t xml:space="preserve"> would have the legal responsibility to protect student information from theft on online platforms or databases.</w:t>
      </w:r>
    </w:p>
    <w:p w14:paraId="470E210C" w14:textId="5818D9C3" w:rsidR="00790680" w:rsidRDefault="00F043D9" w:rsidP="00F043D9">
      <w:pPr>
        <w:pStyle w:val="Heading2"/>
      </w:pPr>
      <w:bookmarkStart w:id="5" w:name="_Toc115941857"/>
      <w:r>
        <w:t xml:space="preserve">2.2. </w:t>
      </w:r>
      <w:r w:rsidR="00790680">
        <w:t>Porter’s Five Forces</w:t>
      </w:r>
      <w:bookmarkEnd w:id="5"/>
      <w:r w:rsidR="00790680">
        <w:t xml:space="preserve"> </w:t>
      </w:r>
    </w:p>
    <w:p w14:paraId="304CB04E" w14:textId="07661CFF" w:rsidR="001C4A44" w:rsidRDefault="00B250E2" w:rsidP="00302650">
      <w:pPr>
        <w:rPr>
          <w:lang w:val="en-US"/>
        </w:rPr>
      </w:pPr>
      <w:r>
        <w:rPr>
          <w:lang w:val="en-US"/>
        </w:rPr>
        <w:t xml:space="preserve">An application of Porter’s five forces model can give further insight into the higher education sector, primarily how different institutions operate from a competitive perspective. In this case, it would be necessary to view the industry itself as another business sector, where colleges, universities, and other academic </w:t>
      </w:r>
      <w:r w:rsidR="007C7729">
        <w:rPr>
          <w:lang w:val="en-US"/>
        </w:rPr>
        <w:t>organizations</w:t>
      </w:r>
      <w:r>
        <w:rPr>
          <w:lang w:val="en-US"/>
        </w:rPr>
        <w:t xml:space="preserve"> work to earn revenue and profit.</w:t>
      </w:r>
    </w:p>
    <w:p w14:paraId="17D89C9E" w14:textId="65B8B9B0" w:rsidR="00380957" w:rsidRDefault="00380957" w:rsidP="00380957">
      <w:pPr>
        <w:jc w:val="center"/>
        <w:rPr>
          <w:lang w:val="en-US"/>
        </w:rPr>
      </w:pPr>
      <w:r>
        <w:rPr>
          <w:noProof/>
          <w:lang w:val="en-US"/>
        </w:rPr>
        <w:lastRenderedPageBreak/>
        <w:drawing>
          <wp:inline distT="0" distB="0" distL="0" distR="0" wp14:anchorId="725D40A9" wp14:editId="7230E88F">
            <wp:extent cx="3288767" cy="3053855"/>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a:extLst>
                        <a:ext uri="{28A0092B-C50C-407E-A947-70E740481C1C}">
                          <a14:useLocalDpi xmlns:a14="http://schemas.microsoft.com/office/drawing/2010/main" val="0"/>
                        </a:ext>
                      </a:extLst>
                    </a:blip>
                    <a:stretch>
                      <a:fillRect/>
                    </a:stretch>
                  </pic:blipFill>
                  <pic:spPr>
                    <a:xfrm>
                      <a:off x="0" y="0"/>
                      <a:ext cx="3305545" cy="3069435"/>
                    </a:xfrm>
                    <a:prstGeom prst="rect">
                      <a:avLst/>
                    </a:prstGeom>
                  </pic:spPr>
                </pic:pic>
              </a:graphicData>
            </a:graphic>
          </wp:inline>
        </w:drawing>
      </w:r>
    </w:p>
    <w:p w14:paraId="7AB88E8B" w14:textId="7D5D99B7" w:rsidR="00380957" w:rsidRPr="00380957" w:rsidRDefault="00380957" w:rsidP="00380957">
      <w:pPr>
        <w:jc w:val="center"/>
        <w:rPr>
          <w:i/>
          <w:iCs/>
          <w:lang w:val="en-US"/>
        </w:rPr>
      </w:pPr>
      <w:r w:rsidRPr="00380957">
        <w:rPr>
          <w:i/>
          <w:iCs/>
          <w:lang w:val="en-US"/>
        </w:rPr>
        <w:t>Figure 2: Porter’s five forces model</w:t>
      </w:r>
    </w:p>
    <w:p w14:paraId="0ADEF3F9" w14:textId="560CAFF5" w:rsidR="00380957" w:rsidRPr="0043115A" w:rsidRDefault="00380957" w:rsidP="0043115A">
      <w:pPr>
        <w:jc w:val="center"/>
      </w:pPr>
      <w:r>
        <w:rPr>
          <w:lang w:val="en-US"/>
        </w:rPr>
        <w:t>Source:</w:t>
      </w:r>
      <w:r w:rsidR="0043115A">
        <w:rPr>
          <w:lang w:val="en-US"/>
        </w:rPr>
        <w:t xml:space="preserve"> </w:t>
      </w:r>
      <w:r w:rsidR="0043115A">
        <w:rPr>
          <w:shd w:val="clear" w:color="auto" w:fill="FFFFFF"/>
        </w:rPr>
        <w:t>(Henshall, 2022)</w:t>
      </w:r>
    </w:p>
    <w:p w14:paraId="6E920532" w14:textId="5AC31FAC" w:rsidR="001C4A44" w:rsidRPr="00B250E2" w:rsidRDefault="00B250E2" w:rsidP="00F043D9">
      <w:pPr>
        <w:rPr>
          <w:b/>
          <w:bCs/>
          <w:lang w:val="en-US"/>
        </w:rPr>
      </w:pPr>
      <w:r w:rsidRPr="00B250E2">
        <w:rPr>
          <w:b/>
          <w:bCs/>
          <w:lang w:val="en-US"/>
        </w:rPr>
        <w:t>Potential new entrants</w:t>
      </w:r>
      <w:r w:rsidR="00251950">
        <w:rPr>
          <w:b/>
          <w:bCs/>
          <w:lang w:val="en-US"/>
        </w:rPr>
        <w:t xml:space="preserve"> (low)</w:t>
      </w:r>
    </w:p>
    <w:p w14:paraId="77F896FC" w14:textId="7A928520" w:rsidR="00B250E2" w:rsidRPr="008D7DC4" w:rsidRDefault="00B250E2" w:rsidP="00F043D9">
      <w:r>
        <w:rPr>
          <w:lang w:val="en-US"/>
        </w:rPr>
        <w:t xml:space="preserve">The threat of new institutions in the higher education industry can be considered quite low. This is mostly due to the fact that </w:t>
      </w:r>
      <w:r w:rsidR="007553D7">
        <w:rPr>
          <w:lang w:val="en-US"/>
        </w:rPr>
        <w:t>for those pursuing higher education, the reputations, and sometimes, the rank of the institution is of high interest, and it is not easy for new institutions to climb up the rankings without challenges</w:t>
      </w:r>
      <w:r w:rsidR="008D7DC4">
        <w:rPr>
          <w:lang w:val="en-US"/>
        </w:rPr>
        <w:t xml:space="preserve"> </w:t>
      </w:r>
      <w:r w:rsidR="008D7DC4">
        <w:rPr>
          <w:shd w:val="clear" w:color="auto" w:fill="FFFFFF"/>
        </w:rPr>
        <w:t>(Smith, 2010)</w:t>
      </w:r>
      <w:r w:rsidR="007553D7">
        <w:rPr>
          <w:lang w:val="en-US"/>
        </w:rPr>
        <w:t>. Not to mention, for a higher education institution to achieve the level of quality needed to attract students, the proper facilities need to be present. This would require substantial amounts of both financial resources and non-financial resources, which may be quite difficult for new institutions to acquire. For these reasons, the threat of potential new entrants in this industry is rather low.</w:t>
      </w:r>
    </w:p>
    <w:p w14:paraId="498097C1" w14:textId="6D2B2503" w:rsidR="007553D7" w:rsidRDefault="007553D7" w:rsidP="00F043D9">
      <w:pPr>
        <w:rPr>
          <w:b/>
          <w:bCs/>
          <w:lang w:val="en-US"/>
        </w:rPr>
      </w:pPr>
      <w:r>
        <w:rPr>
          <w:b/>
          <w:bCs/>
          <w:lang w:val="en-US"/>
        </w:rPr>
        <w:t>The influence of buyers</w:t>
      </w:r>
      <w:r w:rsidR="00251950">
        <w:rPr>
          <w:b/>
          <w:bCs/>
          <w:lang w:val="en-US"/>
        </w:rPr>
        <w:t xml:space="preserve"> (low)</w:t>
      </w:r>
    </w:p>
    <w:p w14:paraId="490C0489" w14:textId="5BBE5414" w:rsidR="00C6427F" w:rsidRPr="0043115A" w:rsidRDefault="00C6427F" w:rsidP="00F043D9">
      <w:r>
        <w:rPr>
          <w:lang w:val="en-US"/>
        </w:rPr>
        <w:t>The buyers in the higher education sector would primarily consist of the students themselves, and in some cases, their parents. The power of these buyers is also quite low, as it currently stands</w:t>
      </w:r>
      <w:r w:rsidR="0043115A">
        <w:rPr>
          <w:lang w:val="en-US"/>
        </w:rPr>
        <w:t xml:space="preserve"> </w:t>
      </w:r>
      <w:r w:rsidR="0043115A">
        <w:rPr>
          <w:shd w:val="clear" w:color="auto" w:fill="FFFFFF"/>
        </w:rPr>
        <w:t>(Deloitte, 2022)</w:t>
      </w:r>
      <w:r>
        <w:rPr>
          <w:lang w:val="en-US"/>
        </w:rPr>
        <w:t xml:space="preserve">. Referring to previous discussions, it is clear that the buyers in the sector have little influence in reducing the costs associated with receiving higher education. However, students </w:t>
      </w:r>
      <w:r>
        <w:rPr>
          <w:lang w:val="en-US"/>
        </w:rPr>
        <w:lastRenderedPageBreak/>
        <w:t>may share feedback and facilitate changes to course curriculums, although, the suggestions would need to align with practical career needs for them to be considered and implemented.</w:t>
      </w:r>
    </w:p>
    <w:p w14:paraId="20978D23" w14:textId="4275A6EB" w:rsidR="00C6427F" w:rsidRPr="00C6427F" w:rsidRDefault="0043115A" w:rsidP="00F043D9">
      <w:pPr>
        <w:rPr>
          <w:b/>
          <w:bCs/>
          <w:lang w:val="en-US"/>
        </w:rPr>
      </w:pPr>
      <w:r>
        <w:rPr>
          <w:b/>
          <w:bCs/>
          <w:lang w:val="en-US"/>
        </w:rPr>
        <w:t>The threat</w:t>
      </w:r>
      <w:r w:rsidR="00C6427F" w:rsidRPr="00C6427F">
        <w:rPr>
          <w:b/>
          <w:bCs/>
          <w:lang w:val="en-US"/>
        </w:rPr>
        <w:t xml:space="preserve"> of substitutes</w:t>
      </w:r>
      <w:r w:rsidR="00251950">
        <w:rPr>
          <w:b/>
          <w:bCs/>
          <w:lang w:val="en-US"/>
        </w:rPr>
        <w:t xml:space="preserve"> (high)</w:t>
      </w:r>
    </w:p>
    <w:p w14:paraId="426F9480" w14:textId="7B5159E0" w:rsidR="00C6427F" w:rsidRDefault="00C6427F" w:rsidP="00C6427F">
      <w:pPr>
        <w:rPr>
          <w:lang w:val="en-US" w:bidi="bn-IN"/>
        </w:rPr>
      </w:pPr>
      <w:r>
        <w:rPr>
          <w:lang w:val="en-US"/>
        </w:rPr>
        <w:t>The threat of substitutes</w:t>
      </w:r>
      <w:r w:rsidR="007728F4">
        <w:rPr>
          <w:lang w:val="en-US"/>
        </w:rPr>
        <w:t xml:space="preserve"> in the selected sector</w:t>
      </w:r>
      <w:r>
        <w:rPr>
          <w:lang w:val="en-US"/>
        </w:rPr>
        <w:t xml:space="preserve"> </w:t>
      </w:r>
      <w:r w:rsidR="007728F4">
        <w:rPr>
          <w:lang w:val="en-US"/>
        </w:rPr>
        <w:t>can be considered quite high. In light of previous discussions, students are now opting for online degrees. Again, as mentioned, with the rise of online learning resources, many people are shifting from higher education to these resources. This scenario is requiring incumbent institutions to change and adapt to the changing circumstances and demands of learners</w:t>
      </w:r>
      <w:r w:rsidR="00611E34">
        <w:rPr>
          <w:lang w:val="en-US"/>
        </w:rPr>
        <w:t xml:space="preserve"> </w:t>
      </w:r>
      <w:r w:rsidR="00611E34">
        <w:t>(Botha, 2018)</w:t>
      </w:r>
      <w:r w:rsidR="007728F4">
        <w:rPr>
          <w:lang w:val="en-US"/>
        </w:rPr>
        <w:t>. Again, the threat of substitutes would also exist if the sector is disaggregated into profit institutions and non-profit institutions. UWTSD, for example, a non-profit university</w:t>
      </w:r>
      <w:r w:rsidR="00C85198">
        <w:rPr>
          <w:lang w:val="en-US"/>
        </w:rPr>
        <w:t xml:space="preserve"> must carefully observe the actions of profit institutions as a means of ensuring that it can continue to attract</w:t>
      </w:r>
      <w:r w:rsidR="00C85198">
        <w:rPr>
          <w:lang w:val="en-US" w:bidi="bn-IN"/>
        </w:rPr>
        <w:t xml:space="preserve"> both foreign and domestic students, which is becoming increasingly difficult as the latter institutions are proactively working to attract students and earn high levels of revenue</w:t>
      </w:r>
      <w:r w:rsidR="00611E34">
        <w:rPr>
          <w:lang w:val="en-US" w:bidi="bn-IN"/>
        </w:rPr>
        <w:t xml:space="preserve"> </w:t>
      </w:r>
      <w:r w:rsidR="00611E34">
        <w:rPr>
          <w:shd w:val="clear" w:color="auto" w:fill="FFFFFF"/>
        </w:rPr>
        <w:t>(Millward, 2022)</w:t>
      </w:r>
      <w:r w:rsidR="00C85198">
        <w:rPr>
          <w:lang w:val="en-US" w:bidi="bn-IN"/>
        </w:rPr>
        <w:t>. Indeed, there are many profit universities that are ranked quite high both domestically and internationally.</w:t>
      </w:r>
    </w:p>
    <w:p w14:paraId="08F072FC" w14:textId="274964FE" w:rsidR="00C85198" w:rsidRPr="00C85198" w:rsidRDefault="00C85198" w:rsidP="00C6427F">
      <w:pPr>
        <w:rPr>
          <w:b/>
          <w:bCs/>
          <w:lang w:val="en-US" w:bidi="bn-IN"/>
        </w:rPr>
      </w:pPr>
      <w:r w:rsidRPr="00C85198">
        <w:rPr>
          <w:b/>
          <w:bCs/>
          <w:lang w:val="en-US" w:bidi="bn-IN"/>
        </w:rPr>
        <w:t>The threat of suppliers</w:t>
      </w:r>
      <w:r w:rsidR="00251950">
        <w:rPr>
          <w:b/>
          <w:bCs/>
          <w:lang w:val="en-US" w:bidi="bn-IN"/>
        </w:rPr>
        <w:t xml:space="preserve"> (moderate)</w:t>
      </w:r>
    </w:p>
    <w:p w14:paraId="6B03BD55" w14:textId="19EC5B4E" w:rsidR="00037F6F" w:rsidRDefault="00CA7097" w:rsidP="00037F6F">
      <w:pPr>
        <w:rPr>
          <w:lang w:val="en-US"/>
        </w:rPr>
      </w:pPr>
      <w:r>
        <w:rPr>
          <w:lang w:val="en-US"/>
        </w:rPr>
        <w:t xml:space="preserve">Suppliers in the industry can be </w:t>
      </w:r>
      <w:r w:rsidR="008B7105">
        <w:rPr>
          <w:lang w:val="en-US"/>
        </w:rPr>
        <w:t>categorized</w:t>
      </w:r>
      <w:r>
        <w:rPr>
          <w:lang w:val="en-US"/>
        </w:rPr>
        <w:t xml:space="preserve"> into two elements- faculty and administrators</w:t>
      </w:r>
      <w:r w:rsidR="0043115A">
        <w:rPr>
          <w:lang w:val="en-US"/>
        </w:rPr>
        <w:t xml:space="preserve"> </w:t>
      </w:r>
      <w:r w:rsidR="0043115A">
        <w:rPr>
          <w:shd w:val="clear" w:color="auto" w:fill="FFFFFF"/>
        </w:rPr>
        <w:t>(Deloitte, 2022)</w:t>
      </w:r>
      <w:r>
        <w:rPr>
          <w:lang w:val="en-US"/>
        </w:rPr>
        <w:t>. By this distinction, the threat of suppliers can be considered to be moderate. Here, the quality of higher education provided to learners depends highly on the faculty members, such as lecturers, professors, and assistant professors. Hence, the success of higher education institutions depends highly on the capabilities of these faculty members in their ability to deliver effective and quality education. Indeed, these individuals are key human resources for any such institution and would</w:t>
      </w:r>
      <w:r w:rsidR="00037F6F">
        <w:rPr>
          <w:lang w:val="en-US"/>
        </w:rPr>
        <w:t xml:space="preserve"> possess a certain level of authority in dictating how operations are run. Also, based on the threat of substitutes and existing competitors, faculty members can easily shift to other </w:t>
      </w:r>
      <w:r w:rsidR="008B7105">
        <w:rPr>
          <w:lang w:val="en-US"/>
        </w:rPr>
        <w:t>organizations</w:t>
      </w:r>
      <w:r w:rsidR="00037F6F">
        <w:rPr>
          <w:lang w:val="en-US"/>
        </w:rPr>
        <w:t xml:space="preserve">. Focusing on administrators, the decisions made by such individuals determine how a higher education institution is to be run and with what values and beliefs. A poor administration can diminish the quality of education provided, and even the overall learning environment present in </w:t>
      </w:r>
      <w:r w:rsidR="008B7105">
        <w:rPr>
          <w:lang w:val="en-US"/>
        </w:rPr>
        <w:t>organizations</w:t>
      </w:r>
      <w:r w:rsidR="00037F6F">
        <w:rPr>
          <w:lang w:val="en-US"/>
        </w:rPr>
        <w:t>. Hence, the threat here would be derived more from the incapability or incompetence of administrators, rather than any other factor.</w:t>
      </w:r>
    </w:p>
    <w:p w14:paraId="54EBD426" w14:textId="77777777" w:rsidR="008B7105" w:rsidRPr="0043115A" w:rsidRDefault="008B7105" w:rsidP="00037F6F"/>
    <w:p w14:paraId="72A89AF8" w14:textId="743C7FAE" w:rsidR="00CC3A3B" w:rsidRPr="00C85198" w:rsidRDefault="00C85198" w:rsidP="00F043D9">
      <w:pPr>
        <w:rPr>
          <w:b/>
          <w:bCs/>
          <w:lang w:val="en-US"/>
        </w:rPr>
      </w:pPr>
      <w:r w:rsidRPr="00C85198">
        <w:rPr>
          <w:b/>
          <w:bCs/>
          <w:lang w:val="en-US"/>
        </w:rPr>
        <w:lastRenderedPageBreak/>
        <w:t>Rivalry among existing institutions</w:t>
      </w:r>
      <w:r w:rsidR="00251950">
        <w:rPr>
          <w:b/>
          <w:bCs/>
          <w:lang w:val="en-US"/>
        </w:rPr>
        <w:t xml:space="preserve"> (high)</w:t>
      </w:r>
    </w:p>
    <w:p w14:paraId="08C2697C" w14:textId="1EEFC7D6" w:rsidR="00C85198" w:rsidRDefault="000173CC" w:rsidP="00E126D5">
      <w:pPr>
        <w:rPr>
          <w:lang w:val="en-US"/>
        </w:rPr>
      </w:pPr>
      <w:r>
        <w:rPr>
          <w:lang w:val="en-US"/>
        </w:rPr>
        <w:t>The level of competition among existing higher education institutions is exceedingly high, with the said institutions working to climb up rankings and attract students through different strategies</w:t>
      </w:r>
      <w:r w:rsidR="00611E34">
        <w:rPr>
          <w:lang w:val="en-US"/>
        </w:rPr>
        <w:t xml:space="preserve"> </w:t>
      </w:r>
      <w:r w:rsidR="00611E34">
        <w:t>(Botha, 2018)</w:t>
      </w:r>
      <w:r>
        <w:rPr>
          <w:lang w:val="en-US"/>
        </w:rPr>
        <w:t xml:space="preserve">. This high rivalry can be considered good as it forces educational institutions to continuously improve their quality and introduce new facilities for students. </w:t>
      </w:r>
    </w:p>
    <w:p w14:paraId="5B824664" w14:textId="2FD34DFC" w:rsidR="00C85198" w:rsidRDefault="00C85198" w:rsidP="00F043D9">
      <w:pPr>
        <w:rPr>
          <w:lang w:val="en-US"/>
        </w:rPr>
      </w:pPr>
    </w:p>
    <w:p w14:paraId="5863865A" w14:textId="7D26014F" w:rsidR="00C85198" w:rsidRDefault="00C85198" w:rsidP="00F043D9">
      <w:pPr>
        <w:rPr>
          <w:lang w:val="en-US"/>
        </w:rPr>
      </w:pPr>
    </w:p>
    <w:p w14:paraId="360D3301" w14:textId="62D94448" w:rsidR="00C85198" w:rsidRDefault="00C85198" w:rsidP="00F043D9">
      <w:pPr>
        <w:rPr>
          <w:lang w:val="en-US"/>
        </w:rPr>
      </w:pPr>
    </w:p>
    <w:p w14:paraId="441D5EF7" w14:textId="35D0F748" w:rsidR="00037F6F" w:rsidRDefault="00037F6F" w:rsidP="00F043D9">
      <w:pPr>
        <w:rPr>
          <w:lang w:val="en-US"/>
        </w:rPr>
      </w:pPr>
    </w:p>
    <w:p w14:paraId="2CAB5EEC" w14:textId="45654E70" w:rsidR="00037F6F" w:rsidRDefault="00037F6F" w:rsidP="00F043D9">
      <w:pPr>
        <w:rPr>
          <w:lang w:val="en-US"/>
        </w:rPr>
      </w:pPr>
    </w:p>
    <w:p w14:paraId="5A7EFC32" w14:textId="5956BADF" w:rsidR="00037F6F" w:rsidRDefault="00037F6F" w:rsidP="00F043D9">
      <w:pPr>
        <w:rPr>
          <w:lang w:val="en-US"/>
        </w:rPr>
      </w:pPr>
    </w:p>
    <w:p w14:paraId="6F4BDFD7" w14:textId="4CD72B59" w:rsidR="00611E34" w:rsidRDefault="00611E34" w:rsidP="00F043D9">
      <w:pPr>
        <w:rPr>
          <w:lang w:val="en-US"/>
        </w:rPr>
      </w:pPr>
    </w:p>
    <w:p w14:paraId="75A6D310" w14:textId="77777777" w:rsidR="00611E34" w:rsidRDefault="00611E34" w:rsidP="00F043D9">
      <w:pPr>
        <w:rPr>
          <w:lang w:val="en-US"/>
        </w:rPr>
      </w:pPr>
    </w:p>
    <w:p w14:paraId="4C349E83" w14:textId="19B1E82D" w:rsidR="00037F6F" w:rsidRDefault="00037F6F" w:rsidP="00F043D9">
      <w:pPr>
        <w:rPr>
          <w:lang w:val="en-US"/>
        </w:rPr>
      </w:pPr>
    </w:p>
    <w:p w14:paraId="1692C16E" w14:textId="69CC9E3C" w:rsidR="00C85198" w:rsidRDefault="00C85198" w:rsidP="00F043D9">
      <w:pPr>
        <w:rPr>
          <w:lang w:val="en-US"/>
        </w:rPr>
      </w:pPr>
    </w:p>
    <w:p w14:paraId="69DF4607" w14:textId="358E5967" w:rsidR="00EC5C6A" w:rsidRDefault="00EC5C6A" w:rsidP="00F043D9">
      <w:pPr>
        <w:rPr>
          <w:lang w:val="en-US"/>
        </w:rPr>
      </w:pPr>
    </w:p>
    <w:p w14:paraId="31089C9C" w14:textId="46D2FE6E" w:rsidR="00EC5C6A" w:rsidRDefault="00EC5C6A" w:rsidP="00F043D9">
      <w:pPr>
        <w:rPr>
          <w:lang w:val="en-US"/>
        </w:rPr>
      </w:pPr>
    </w:p>
    <w:p w14:paraId="27778E77" w14:textId="4822AA83" w:rsidR="00EC5C6A" w:rsidRDefault="00EC5C6A" w:rsidP="00F043D9">
      <w:pPr>
        <w:rPr>
          <w:lang w:val="en-US"/>
        </w:rPr>
      </w:pPr>
    </w:p>
    <w:p w14:paraId="74F43C61" w14:textId="0A6DFBEA" w:rsidR="00EC5C6A" w:rsidRDefault="00EC5C6A" w:rsidP="00F043D9">
      <w:pPr>
        <w:rPr>
          <w:lang w:val="en-US"/>
        </w:rPr>
      </w:pPr>
    </w:p>
    <w:p w14:paraId="3865F07D" w14:textId="11AB54EA" w:rsidR="00EC5C6A" w:rsidRDefault="00EC5C6A" w:rsidP="00F043D9">
      <w:pPr>
        <w:rPr>
          <w:lang w:val="en-US"/>
        </w:rPr>
      </w:pPr>
    </w:p>
    <w:p w14:paraId="74E5542B" w14:textId="50032565" w:rsidR="00EC5C6A" w:rsidRDefault="00EC5C6A" w:rsidP="00F043D9">
      <w:pPr>
        <w:rPr>
          <w:lang w:val="en-US"/>
        </w:rPr>
      </w:pPr>
    </w:p>
    <w:p w14:paraId="23BE7147" w14:textId="1A774966" w:rsidR="00EC5C6A" w:rsidRDefault="00EC5C6A" w:rsidP="00F043D9">
      <w:pPr>
        <w:rPr>
          <w:lang w:val="en-US"/>
        </w:rPr>
      </w:pPr>
    </w:p>
    <w:p w14:paraId="6D47832D" w14:textId="77777777" w:rsidR="00EC5C6A" w:rsidRPr="00F043D9" w:rsidRDefault="00EC5C6A" w:rsidP="00F043D9">
      <w:pPr>
        <w:rPr>
          <w:lang w:val="en-US"/>
        </w:rPr>
      </w:pPr>
    </w:p>
    <w:p w14:paraId="0416AB12" w14:textId="025A6C5D" w:rsidR="00790680" w:rsidRDefault="00790680" w:rsidP="00152091">
      <w:pPr>
        <w:pStyle w:val="Heading1"/>
      </w:pPr>
      <w:bookmarkStart w:id="6" w:name="_Toc115941858"/>
      <w:r>
        <w:lastRenderedPageBreak/>
        <w:t>Conclusion</w:t>
      </w:r>
      <w:bookmarkEnd w:id="6"/>
    </w:p>
    <w:p w14:paraId="663CD8D9" w14:textId="1587ACC5" w:rsidR="00790680" w:rsidRDefault="00611E34" w:rsidP="00611E34">
      <w:r>
        <w:t>This report has explored some of the most crucial external factors that affect how higher education institutions such as UWTSD operate by current standards. Indeed, with globalisation, the sector has been exposed to a vast environment, requiring different strategies to accommodate changing circumstances and variabilities. For any organisation operating in this space, it would be essential to closely consider</w:t>
      </w:r>
      <w:r w:rsidR="00AA315C">
        <w:t xml:space="preserve"> the changes within its external environment, similar to any other business organisation seeking to maintain long-term business sustainability. This is highly relevant for the higher education space as the sector is being significantly affected by different technological changes. Not to mention, reputable academic institutions, such as the chosen university, in this space are having to compete on both a domestic and global level.</w:t>
      </w:r>
    </w:p>
    <w:p w14:paraId="3681A04B" w14:textId="68C3C450" w:rsidR="001834FC" w:rsidRDefault="001834FC" w:rsidP="00611E34">
      <w:r>
        <w:br w:type="page"/>
      </w:r>
    </w:p>
    <w:p w14:paraId="17598CB2" w14:textId="61EB02A2" w:rsidR="001834FC" w:rsidRDefault="001834FC" w:rsidP="001834FC">
      <w:pPr>
        <w:pStyle w:val="Heading1"/>
      </w:pPr>
      <w:bookmarkStart w:id="7" w:name="_Toc115941859"/>
      <w:r>
        <w:lastRenderedPageBreak/>
        <w:t>Reference</w:t>
      </w:r>
      <w:bookmarkEnd w:id="7"/>
      <w:r>
        <w:t xml:space="preserve"> </w:t>
      </w:r>
    </w:p>
    <w:p w14:paraId="3802ADD1" w14:textId="77777777" w:rsidR="00611E34" w:rsidRDefault="00611E34" w:rsidP="008D7DC4">
      <w:pPr>
        <w:rPr>
          <w:color w:val="auto"/>
        </w:rPr>
      </w:pPr>
      <w:r>
        <w:t xml:space="preserve">Botha, J. (2018) “The impact of global forces in Higher Education on the development of Institutional Research,” </w:t>
      </w:r>
      <w:r>
        <w:rPr>
          <w:i/>
          <w:iCs/>
        </w:rPr>
        <w:t>Building Capacity in Institutional Research and Decision Support in Higher Education</w:t>
      </w:r>
      <w:r>
        <w:t xml:space="preserve">, pp. 19–36. Available at: https://doi.org/10.1007/978-3-319-71162-1_2. </w:t>
      </w:r>
    </w:p>
    <w:p w14:paraId="59D2F986" w14:textId="77777777" w:rsidR="00611E34" w:rsidRDefault="00611E34" w:rsidP="008D7DC4">
      <w:pPr>
        <w:rPr>
          <w:shd w:val="clear" w:color="auto" w:fill="FFFFFF"/>
        </w:rPr>
      </w:pPr>
      <w:r>
        <w:rPr>
          <w:shd w:val="clear" w:color="auto" w:fill="FFFFFF"/>
        </w:rPr>
        <w:t>Chan, S., 2017. A review of twenty-first century higher education.</w:t>
      </w:r>
      <w:r>
        <w:rPr>
          <w:rStyle w:val="apple-converted-space"/>
          <w:rFonts w:ascii="Open Sans" w:hAnsi="Open Sans" w:cs="Open Sans"/>
          <w:color w:val="000000"/>
          <w:sz w:val="20"/>
          <w:szCs w:val="20"/>
          <w:shd w:val="clear" w:color="auto" w:fill="FFFFFF"/>
        </w:rPr>
        <w:t> </w:t>
      </w:r>
      <w:r>
        <w:rPr>
          <w:i/>
          <w:iCs/>
        </w:rPr>
        <w:t>Journal of Further and Higher Education</w:t>
      </w:r>
      <w:r>
        <w:rPr>
          <w:shd w:val="clear" w:color="auto" w:fill="FFFFFF"/>
        </w:rPr>
        <w:t>, 42(3), pp.327-338.</w:t>
      </w:r>
    </w:p>
    <w:p w14:paraId="0DBB7847" w14:textId="77777777" w:rsidR="00611E34" w:rsidRDefault="00611E34" w:rsidP="0043115A">
      <w:pPr>
        <w:rPr>
          <w:shd w:val="clear" w:color="auto" w:fill="FFFFFF"/>
        </w:rPr>
      </w:pPr>
      <w:r>
        <w:rPr>
          <w:shd w:val="clear" w:color="auto" w:fill="FFFFFF"/>
        </w:rPr>
        <w:t>Deloitte.com. 2022.</w:t>
      </w:r>
      <w:r>
        <w:rPr>
          <w:rStyle w:val="apple-converted-space"/>
          <w:rFonts w:ascii="Open Sans" w:hAnsi="Open Sans" w:cs="Open Sans"/>
          <w:color w:val="000000"/>
          <w:sz w:val="20"/>
          <w:szCs w:val="20"/>
          <w:shd w:val="clear" w:color="auto" w:fill="FFFFFF"/>
        </w:rPr>
        <w:t> </w:t>
      </w:r>
      <w:r>
        <w:rPr>
          <w:i/>
          <w:iCs/>
        </w:rPr>
        <w:t>Higher Education – Perspectives, insights, and analysis | Deloitte US</w:t>
      </w:r>
      <w:r>
        <w:rPr>
          <w:shd w:val="clear" w:color="auto" w:fill="FFFFFF"/>
        </w:rPr>
        <w:t>. [online] Available at: &lt;https://www2.deloitte.com/us/en/pages/public-sector/topics/higher-education.html&gt; [Accessed 6 October 2022].</w:t>
      </w:r>
    </w:p>
    <w:p w14:paraId="6C01F32A" w14:textId="77777777" w:rsidR="00611E34" w:rsidRDefault="00611E34" w:rsidP="0043115A">
      <w:pPr>
        <w:rPr>
          <w:shd w:val="clear" w:color="auto" w:fill="FFFFFF"/>
        </w:rPr>
      </w:pPr>
      <w:r>
        <w:rPr>
          <w:shd w:val="clear" w:color="auto" w:fill="FFFFFF"/>
        </w:rPr>
        <w:t>Henshall, A., 2022.</w:t>
      </w:r>
      <w:r>
        <w:rPr>
          <w:rStyle w:val="apple-converted-space"/>
          <w:rFonts w:ascii="Open Sans" w:hAnsi="Open Sans" w:cs="Open Sans"/>
          <w:color w:val="000000"/>
          <w:sz w:val="20"/>
          <w:szCs w:val="20"/>
          <w:shd w:val="clear" w:color="auto" w:fill="FFFFFF"/>
        </w:rPr>
        <w:t> </w:t>
      </w:r>
      <w:r>
        <w:rPr>
          <w:i/>
          <w:iCs/>
        </w:rPr>
        <w:t>What is Porter’s Five Forces Model? Competitive Position Analysis Explained</w:t>
      </w:r>
      <w:r>
        <w:rPr>
          <w:shd w:val="clear" w:color="auto" w:fill="FFFFFF"/>
        </w:rPr>
        <w:t>. [online] Process.st. Available at: &lt;https://www.process.st/porters-five-forces/&gt; [Accessed 6 October 2022].</w:t>
      </w:r>
      <w:r w:rsidRPr="0043115A">
        <w:rPr>
          <w:shd w:val="clear" w:color="auto" w:fill="FFFFFF"/>
        </w:rPr>
        <w:t xml:space="preserve"> </w:t>
      </w:r>
    </w:p>
    <w:p w14:paraId="21DA7504" w14:textId="77777777" w:rsidR="00611E34" w:rsidRDefault="00611E34" w:rsidP="008D7DC4">
      <w:pPr>
        <w:rPr>
          <w:shd w:val="clear" w:color="auto" w:fill="FFFFFF"/>
        </w:rPr>
      </w:pPr>
      <w:r>
        <w:rPr>
          <w:shd w:val="clear" w:color="auto" w:fill="FFFFFF"/>
        </w:rPr>
        <w:t>Kerr, C., 2011.</w:t>
      </w:r>
      <w:r>
        <w:rPr>
          <w:rStyle w:val="apple-converted-space"/>
          <w:rFonts w:ascii="Open Sans" w:hAnsi="Open Sans" w:cs="Open Sans"/>
          <w:color w:val="000000"/>
          <w:sz w:val="20"/>
          <w:szCs w:val="20"/>
          <w:shd w:val="clear" w:color="auto" w:fill="FFFFFF"/>
        </w:rPr>
        <w:t> </w:t>
      </w:r>
      <w:r>
        <w:rPr>
          <w:i/>
          <w:iCs/>
        </w:rPr>
        <w:t>The uses of the university</w:t>
      </w:r>
      <w:r>
        <w:rPr>
          <w:shd w:val="clear" w:color="auto" w:fill="FFFFFF"/>
        </w:rPr>
        <w:t>. Cambridge, Mass.: Harvard University Press.</w:t>
      </w:r>
    </w:p>
    <w:p w14:paraId="54C7DD83" w14:textId="77777777" w:rsidR="00611E34" w:rsidRPr="0043115A" w:rsidRDefault="00611E34" w:rsidP="000F02BF">
      <w:pPr>
        <w:rPr>
          <w:shd w:val="clear" w:color="auto" w:fill="FFFFFF"/>
        </w:rPr>
      </w:pPr>
      <w:r>
        <w:rPr>
          <w:shd w:val="clear" w:color="auto" w:fill="FFFFFF"/>
        </w:rPr>
        <w:t>Millward, C., 2022.</w:t>
      </w:r>
      <w:r>
        <w:rPr>
          <w:rStyle w:val="apple-converted-space"/>
          <w:rFonts w:ascii="Open Sans" w:hAnsi="Open Sans" w:cs="Open Sans"/>
          <w:color w:val="000000"/>
          <w:sz w:val="20"/>
          <w:szCs w:val="20"/>
          <w:shd w:val="clear" w:color="auto" w:fill="FFFFFF"/>
        </w:rPr>
        <w:t> </w:t>
      </w:r>
      <w:r>
        <w:rPr>
          <w:i/>
          <w:iCs/>
        </w:rPr>
        <w:t>UK higher education News, Research and Analysis - The Conversation</w:t>
      </w:r>
      <w:r>
        <w:rPr>
          <w:shd w:val="clear" w:color="auto" w:fill="FFFFFF"/>
        </w:rPr>
        <w:t>.com [online] The Conversation. Available at: &lt;https://theconversation.com/europe/topics/uk-higher-education-12508&gt; [Accessed 6 October 2022].</w:t>
      </w:r>
    </w:p>
    <w:p w14:paraId="1289DA3C" w14:textId="77777777" w:rsidR="00611E34" w:rsidRDefault="00611E34" w:rsidP="0043115A">
      <w:pPr>
        <w:rPr>
          <w:shd w:val="clear" w:color="auto" w:fill="FFFFFF"/>
        </w:rPr>
      </w:pPr>
      <w:proofErr w:type="spellStart"/>
      <w:r>
        <w:rPr>
          <w:shd w:val="clear" w:color="auto" w:fill="FFFFFF"/>
        </w:rPr>
        <w:t>Peterdy</w:t>
      </w:r>
      <w:proofErr w:type="spellEnd"/>
      <w:r>
        <w:rPr>
          <w:shd w:val="clear" w:color="auto" w:fill="FFFFFF"/>
        </w:rPr>
        <w:t>, K., 2022.</w:t>
      </w:r>
      <w:r>
        <w:rPr>
          <w:rStyle w:val="apple-converted-space"/>
          <w:rFonts w:ascii="Open Sans" w:hAnsi="Open Sans" w:cs="Open Sans"/>
          <w:color w:val="000000"/>
          <w:sz w:val="20"/>
          <w:szCs w:val="20"/>
          <w:shd w:val="clear" w:color="auto" w:fill="FFFFFF"/>
        </w:rPr>
        <w:t> </w:t>
      </w:r>
      <w:r>
        <w:rPr>
          <w:i/>
          <w:iCs/>
        </w:rPr>
        <w:t>PESTEL Analysis</w:t>
      </w:r>
      <w:r>
        <w:rPr>
          <w:shd w:val="clear" w:color="auto" w:fill="FFFFFF"/>
        </w:rPr>
        <w:t>. [online] Corporate Finance Institute.com. Available at: &lt;https://corporatefinanceinstitute.com/resources/knowledge/strategy/pestel-analysis/&gt; [Accessed 6 October 2022].</w:t>
      </w:r>
      <w:r w:rsidRPr="0043115A">
        <w:rPr>
          <w:shd w:val="clear" w:color="auto" w:fill="FFFFFF"/>
        </w:rPr>
        <w:t xml:space="preserve"> </w:t>
      </w:r>
    </w:p>
    <w:p w14:paraId="4D85FC00" w14:textId="77777777" w:rsidR="00611E34" w:rsidRDefault="00611E34" w:rsidP="008D7DC4">
      <w:pPr>
        <w:rPr>
          <w:shd w:val="clear" w:color="auto" w:fill="FFFFFF"/>
        </w:rPr>
      </w:pPr>
      <w:r>
        <w:rPr>
          <w:shd w:val="clear" w:color="auto" w:fill="FFFFFF"/>
        </w:rPr>
        <w:t>Pond, W., 2010. Twenty-first century education and training.</w:t>
      </w:r>
      <w:r>
        <w:rPr>
          <w:rStyle w:val="apple-converted-space"/>
          <w:rFonts w:ascii="Open Sans" w:hAnsi="Open Sans" w:cs="Open Sans"/>
          <w:color w:val="000000"/>
          <w:sz w:val="20"/>
          <w:szCs w:val="20"/>
          <w:shd w:val="clear" w:color="auto" w:fill="FFFFFF"/>
        </w:rPr>
        <w:t> </w:t>
      </w:r>
      <w:r>
        <w:rPr>
          <w:i/>
          <w:iCs/>
        </w:rPr>
        <w:t>The Internet and Higher Education</w:t>
      </w:r>
      <w:r>
        <w:rPr>
          <w:shd w:val="clear" w:color="auto" w:fill="FFFFFF"/>
        </w:rPr>
        <w:t>, 4(3-4), pp.185-192.</w:t>
      </w:r>
    </w:p>
    <w:p w14:paraId="28215B6D" w14:textId="77777777" w:rsidR="00611E34" w:rsidRDefault="00611E34" w:rsidP="00611E34">
      <w:pPr>
        <w:rPr>
          <w:shd w:val="clear" w:color="auto" w:fill="FFFFFF"/>
        </w:rPr>
      </w:pPr>
      <w:r>
        <w:rPr>
          <w:shd w:val="clear" w:color="auto" w:fill="FFFFFF"/>
        </w:rPr>
        <w:t>Rizal, S., 2017. Role of Universities in Disaster Management and Recovery from the Indian Ocean Tsunami: Perspective from Aceh, Indonesia.</w:t>
      </w:r>
      <w:r>
        <w:rPr>
          <w:rStyle w:val="apple-converted-space"/>
          <w:rFonts w:ascii="Open Sans" w:hAnsi="Open Sans" w:cs="Open Sans"/>
          <w:color w:val="000000"/>
          <w:sz w:val="20"/>
          <w:szCs w:val="20"/>
          <w:shd w:val="clear" w:color="auto" w:fill="FFFFFF"/>
        </w:rPr>
        <w:t> </w:t>
      </w:r>
      <w:proofErr w:type="spellStart"/>
      <w:r>
        <w:rPr>
          <w:i/>
          <w:iCs/>
        </w:rPr>
        <w:t>SpringerBriefs</w:t>
      </w:r>
      <w:proofErr w:type="spellEnd"/>
      <w:r>
        <w:rPr>
          <w:i/>
          <w:iCs/>
        </w:rPr>
        <w:t xml:space="preserve"> in Economics</w:t>
      </w:r>
      <w:r>
        <w:rPr>
          <w:shd w:val="clear" w:color="auto" w:fill="FFFFFF"/>
        </w:rPr>
        <w:t>, pp.51-59.</w:t>
      </w:r>
      <w:r w:rsidRPr="00611E34">
        <w:rPr>
          <w:shd w:val="clear" w:color="auto" w:fill="FFFFFF"/>
        </w:rPr>
        <w:t xml:space="preserve"> </w:t>
      </w:r>
    </w:p>
    <w:p w14:paraId="22BD2CC1" w14:textId="0072069C" w:rsidR="00611E34" w:rsidRDefault="00611E34" w:rsidP="008D7DC4">
      <w:pPr>
        <w:rPr>
          <w:shd w:val="clear" w:color="auto" w:fill="FFFFFF"/>
        </w:rPr>
      </w:pPr>
      <w:r>
        <w:rPr>
          <w:shd w:val="clear" w:color="auto" w:fill="FFFFFF"/>
        </w:rPr>
        <w:t>Smith, J., 2010. Academic identities for the twenty-first century.</w:t>
      </w:r>
      <w:r>
        <w:rPr>
          <w:rStyle w:val="apple-converted-space"/>
          <w:rFonts w:ascii="Open Sans" w:hAnsi="Open Sans" w:cs="Open Sans"/>
          <w:color w:val="000000"/>
          <w:sz w:val="20"/>
          <w:szCs w:val="20"/>
          <w:shd w:val="clear" w:color="auto" w:fill="FFFFFF"/>
        </w:rPr>
        <w:t> </w:t>
      </w:r>
      <w:r>
        <w:rPr>
          <w:i/>
          <w:iCs/>
        </w:rPr>
        <w:t>Teaching in Higher Education</w:t>
      </w:r>
      <w:r>
        <w:rPr>
          <w:shd w:val="clear" w:color="auto" w:fill="FFFFFF"/>
        </w:rPr>
        <w:t>, 15(6), pp.721-727.</w:t>
      </w:r>
    </w:p>
    <w:sectPr w:rsidR="00611E34"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9867ED" w14:textId="77777777" w:rsidR="00DC29A8" w:rsidRDefault="00DC29A8" w:rsidP="001834FC">
      <w:pPr>
        <w:spacing w:after="0" w:line="240" w:lineRule="auto"/>
      </w:pPr>
      <w:r>
        <w:separator/>
      </w:r>
    </w:p>
  </w:endnote>
  <w:endnote w:type="continuationSeparator" w:id="0">
    <w:p w14:paraId="624E1588" w14:textId="77777777" w:rsidR="00DC29A8" w:rsidRDefault="00DC29A8"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7FD6E2" w14:textId="77777777" w:rsidR="00DC29A8" w:rsidRDefault="00DC29A8" w:rsidP="001834FC">
      <w:pPr>
        <w:spacing w:after="0" w:line="240" w:lineRule="auto"/>
      </w:pPr>
      <w:r>
        <w:separator/>
      </w:r>
    </w:p>
  </w:footnote>
  <w:footnote w:type="continuationSeparator" w:id="0">
    <w:p w14:paraId="7372CE8C" w14:textId="77777777" w:rsidR="00DC29A8" w:rsidRDefault="00DC29A8"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7.2pt;height:7.2pt" o:bullet="t">
        <v:imagedata r:id="rId1" o:title="msoDC87"/>
      </v:shape>
    </w:pict>
  </w:numPicBullet>
  <w:abstractNum w:abstractNumId="0" w15:restartNumberingAfterBreak="0">
    <w:nsid w:val="7C517584"/>
    <w:multiLevelType w:val="hybridMultilevel"/>
    <w:tmpl w:val="11485944"/>
    <w:lvl w:ilvl="0" w:tplc="08090007">
      <w:start w:val="1"/>
      <w:numFmt w:val="bullet"/>
      <w:lvlText w:val=""/>
      <w:lvlPicBulletId w:val="0"/>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1968887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gUAits/OiwAAAA="/>
  </w:docVars>
  <w:rsids>
    <w:rsidRoot w:val="00A60069"/>
    <w:rsid w:val="000173CC"/>
    <w:rsid w:val="00031C5F"/>
    <w:rsid w:val="00037F6F"/>
    <w:rsid w:val="000E047C"/>
    <w:rsid w:val="000E46D7"/>
    <w:rsid w:val="000F02BF"/>
    <w:rsid w:val="00152091"/>
    <w:rsid w:val="001834FC"/>
    <w:rsid w:val="001A3572"/>
    <w:rsid w:val="001C4A44"/>
    <w:rsid w:val="001D16F6"/>
    <w:rsid w:val="001E0851"/>
    <w:rsid w:val="0022399E"/>
    <w:rsid w:val="002424AE"/>
    <w:rsid w:val="00251950"/>
    <w:rsid w:val="00252195"/>
    <w:rsid w:val="002B0F2E"/>
    <w:rsid w:val="002D4CEF"/>
    <w:rsid w:val="002E23C5"/>
    <w:rsid w:val="00302650"/>
    <w:rsid w:val="00331F45"/>
    <w:rsid w:val="003747BF"/>
    <w:rsid w:val="00380957"/>
    <w:rsid w:val="00396A6B"/>
    <w:rsid w:val="0043115A"/>
    <w:rsid w:val="00491AB6"/>
    <w:rsid w:val="00495166"/>
    <w:rsid w:val="00555475"/>
    <w:rsid w:val="0058455E"/>
    <w:rsid w:val="00587956"/>
    <w:rsid w:val="00611E34"/>
    <w:rsid w:val="00651337"/>
    <w:rsid w:val="006524D9"/>
    <w:rsid w:val="006762F1"/>
    <w:rsid w:val="006F3E7B"/>
    <w:rsid w:val="006F4936"/>
    <w:rsid w:val="007553D7"/>
    <w:rsid w:val="00760E69"/>
    <w:rsid w:val="007728F4"/>
    <w:rsid w:val="00790680"/>
    <w:rsid w:val="007A590C"/>
    <w:rsid w:val="007C7729"/>
    <w:rsid w:val="008179B0"/>
    <w:rsid w:val="00853C6A"/>
    <w:rsid w:val="008A0BB8"/>
    <w:rsid w:val="008B7105"/>
    <w:rsid w:val="008D7DC4"/>
    <w:rsid w:val="008E0E9E"/>
    <w:rsid w:val="009133C8"/>
    <w:rsid w:val="00913C8F"/>
    <w:rsid w:val="00956F80"/>
    <w:rsid w:val="009570D6"/>
    <w:rsid w:val="00975554"/>
    <w:rsid w:val="009A18FF"/>
    <w:rsid w:val="009A40A8"/>
    <w:rsid w:val="009A60E7"/>
    <w:rsid w:val="009D4B21"/>
    <w:rsid w:val="00A46830"/>
    <w:rsid w:val="00A60069"/>
    <w:rsid w:val="00AA315C"/>
    <w:rsid w:val="00B250E2"/>
    <w:rsid w:val="00B45D2E"/>
    <w:rsid w:val="00B47E27"/>
    <w:rsid w:val="00BA5C52"/>
    <w:rsid w:val="00BB6D54"/>
    <w:rsid w:val="00BD5E67"/>
    <w:rsid w:val="00BF7EB8"/>
    <w:rsid w:val="00C002BE"/>
    <w:rsid w:val="00C14BDF"/>
    <w:rsid w:val="00C6427F"/>
    <w:rsid w:val="00C711F3"/>
    <w:rsid w:val="00C77E0D"/>
    <w:rsid w:val="00C82B7A"/>
    <w:rsid w:val="00C85198"/>
    <w:rsid w:val="00CA7097"/>
    <w:rsid w:val="00CC3A3B"/>
    <w:rsid w:val="00CE2F14"/>
    <w:rsid w:val="00D305CF"/>
    <w:rsid w:val="00D77741"/>
    <w:rsid w:val="00D81A3B"/>
    <w:rsid w:val="00DC29A8"/>
    <w:rsid w:val="00E04C52"/>
    <w:rsid w:val="00E126D5"/>
    <w:rsid w:val="00EB7A2D"/>
    <w:rsid w:val="00EC16C3"/>
    <w:rsid w:val="00EC5408"/>
    <w:rsid w:val="00EC5C6A"/>
    <w:rsid w:val="00ED569F"/>
    <w:rsid w:val="00F043D9"/>
    <w:rsid w:val="00F14EBC"/>
    <w:rsid w:val="00F43265"/>
    <w:rsid w:val="00FD00D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unhideWhenUsed/>
    <w:qFormat/>
    <w:rsid w:val="00CC3A3B"/>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D7774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BodyText">
    <w:name w:val="Body Text"/>
    <w:basedOn w:val="Normal"/>
    <w:link w:val="BodyTextChar"/>
    <w:uiPriority w:val="1"/>
    <w:qFormat/>
    <w:rsid w:val="00790680"/>
    <w:pPr>
      <w:widowControl w:val="0"/>
      <w:autoSpaceDE w:val="0"/>
      <w:autoSpaceDN w:val="0"/>
      <w:spacing w:after="0" w:line="240" w:lineRule="auto"/>
      <w:jc w:val="left"/>
    </w:pPr>
    <w:rPr>
      <w:rFonts w:ascii="Arial" w:eastAsia="Arial" w:hAnsi="Arial" w:cs="Arial"/>
      <w:color w:val="auto"/>
      <w:sz w:val="22"/>
      <w:lang w:val="en-US"/>
    </w:rPr>
  </w:style>
  <w:style w:type="character" w:customStyle="1" w:styleId="BodyTextChar">
    <w:name w:val="Body Text Char"/>
    <w:basedOn w:val="DefaultParagraphFont"/>
    <w:link w:val="BodyText"/>
    <w:uiPriority w:val="1"/>
    <w:rsid w:val="00790680"/>
    <w:rPr>
      <w:rFonts w:ascii="Arial" w:eastAsia="Arial" w:hAnsi="Arial" w:cs="Arial"/>
    </w:rPr>
  </w:style>
  <w:style w:type="character" w:customStyle="1" w:styleId="apple-converted-space">
    <w:name w:val="apple-converted-space"/>
    <w:basedOn w:val="DefaultParagraphFont"/>
    <w:rsid w:val="00152091"/>
  </w:style>
  <w:style w:type="character" w:customStyle="1" w:styleId="Heading3Char">
    <w:name w:val="Heading 3 Char"/>
    <w:basedOn w:val="DefaultParagraphFont"/>
    <w:link w:val="Heading3"/>
    <w:uiPriority w:val="9"/>
    <w:rsid w:val="00CC3A3B"/>
    <w:rPr>
      <w:rFonts w:asciiTheme="majorHAnsi" w:eastAsiaTheme="majorEastAsia" w:hAnsiTheme="majorHAnsi" w:cstheme="majorBidi"/>
      <w:color w:val="1F3763" w:themeColor="accent1" w:themeShade="7F"/>
      <w:sz w:val="24"/>
      <w:szCs w:val="24"/>
      <w:lang w:val="en-GB"/>
    </w:rPr>
  </w:style>
  <w:style w:type="paragraph" w:styleId="NormalWeb">
    <w:name w:val="Normal (Web)"/>
    <w:basedOn w:val="Normal"/>
    <w:uiPriority w:val="99"/>
    <w:semiHidden/>
    <w:unhideWhenUsed/>
    <w:rsid w:val="00CC3A3B"/>
    <w:pPr>
      <w:spacing w:before="100" w:beforeAutospacing="1" w:after="100" w:afterAutospacing="1" w:line="240" w:lineRule="auto"/>
      <w:jc w:val="left"/>
    </w:pPr>
    <w:rPr>
      <w:rFonts w:eastAsia="Times New Roman" w:cs="Times New Roman"/>
      <w:color w:val="auto"/>
      <w:szCs w:val="24"/>
      <w:lang w:eastAsia="en-GB" w:bidi="bn-IN"/>
    </w:rPr>
  </w:style>
  <w:style w:type="character" w:styleId="Emphasis">
    <w:name w:val="Emphasis"/>
    <w:basedOn w:val="DefaultParagraphFont"/>
    <w:uiPriority w:val="20"/>
    <w:qFormat/>
    <w:rsid w:val="00CC3A3B"/>
    <w:rPr>
      <w:i/>
      <w:iCs/>
    </w:rPr>
  </w:style>
  <w:style w:type="paragraph" w:styleId="TOC2">
    <w:name w:val="toc 2"/>
    <w:basedOn w:val="Normal"/>
    <w:next w:val="Normal"/>
    <w:autoRedefine/>
    <w:uiPriority w:val="39"/>
    <w:unhideWhenUsed/>
    <w:rsid w:val="00E126D5"/>
    <w:pPr>
      <w:spacing w:after="100"/>
      <w:ind w:left="240"/>
    </w:pPr>
  </w:style>
  <w:style w:type="table" w:styleId="TableGrid">
    <w:name w:val="Table Grid"/>
    <w:basedOn w:val="TableNormal"/>
    <w:uiPriority w:val="39"/>
    <w:rsid w:val="00491A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D77741"/>
    <w:rPr>
      <w:rFonts w:asciiTheme="majorHAnsi" w:eastAsiaTheme="majorEastAsia" w:hAnsiTheme="majorHAnsi" w:cstheme="majorBidi"/>
      <w:i/>
      <w:iCs/>
      <w:color w:val="2F5496" w:themeColor="accent1" w:themeShade="B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9871481">
      <w:bodyDiv w:val="1"/>
      <w:marLeft w:val="0"/>
      <w:marRight w:val="0"/>
      <w:marTop w:val="0"/>
      <w:marBottom w:val="0"/>
      <w:divBdr>
        <w:top w:val="none" w:sz="0" w:space="0" w:color="auto"/>
        <w:left w:val="none" w:sz="0" w:space="0" w:color="auto"/>
        <w:bottom w:val="none" w:sz="0" w:space="0" w:color="auto"/>
        <w:right w:val="none" w:sz="0" w:space="0" w:color="auto"/>
      </w:divBdr>
    </w:div>
    <w:div w:id="423650914">
      <w:bodyDiv w:val="1"/>
      <w:marLeft w:val="0"/>
      <w:marRight w:val="0"/>
      <w:marTop w:val="0"/>
      <w:marBottom w:val="0"/>
      <w:divBdr>
        <w:top w:val="none" w:sz="0" w:space="0" w:color="auto"/>
        <w:left w:val="none" w:sz="0" w:space="0" w:color="auto"/>
        <w:bottom w:val="none" w:sz="0" w:space="0" w:color="auto"/>
        <w:right w:val="none" w:sz="0" w:space="0" w:color="auto"/>
      </w:divBdr>
    </w:div>
    <w:div w:id="467549970">
      <w:bodyDiv w:val="1"/>
      <w:marLeft w:val="0"/>
      <w:marRight w:val="0"/>
      <w:marTop w:val="0"/>
      <w:marBottom w:val="0"/>
      <w:divBdr>
        <w:top w:val="none" w:sz="0" w:space="0" w:color="auto"/>
        <w:left w:val="none" w:sz="0" w:space="0" w:color="auto"/>
        <w:bottom w:val="none" w:sz="0" w:space="0" w:color="auto"/>
        <w:right w:val="none" w:sz="0" w:space="0" w:color="auto"/>
      </w:divBdr>
    </w:div>
    <w:div w:id="1674648255">
      <w:bodyDiv w:val="1"/>
      <w:marLeft w:val="0"/>
      <w:marRight w:val="0"/>
      <w:marTop w:val="0"/>
      <w:marBottom w:val="0"/>
      <w:divBdr>
        <w:top w:val="none" w:sz="0" w:space="0" w:color="auto"/>
        <w:left w:val="none" w:sz="0" w:space="0" w:color="auto"/>
        <w:bottom w:val="none" w:sz="0" w:space="0" w:color="auto"/>
        <w:right w:val="none" w:sz="0" w:space="0" w:color="auto"/>
      </w:divBdr>
    </w:div>
    <w:div w:id="1957442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BCD2EB8-F713-3B4B-85A6-003B44C83E61}">
  <we:reference id="wa200001011" version="1.2.0.0" store="en-GB" storeType="OMEX"/>
  <we:alternateReferences>
    <we:reference id="wa200001011" version="1.2.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2721</Words>
  <Characters>15515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2022-10-18T22:06:00Z</dcterms:created>
  <dcterms:modified xsi:type="dcterms:W3CDTF">2022-10-18T22:27:00Z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documentId_8731</vt:lpwstr>
  </property>
  <property fmtid="{D5CDD505-2E9C-101B-9397-08002B2CF9AE}" pid="3" name="grammarly_documentContext">
    <vt:lpwstr>{"goals":[],"domain":"general","emotions":[],"dialect":"british"}</vt:lpwstr>
  </property>
  <property fmtid="{D5CDD505-2E9C-101B-9397-08002B2CF9AE}" pid="4" name="GrammarlyDocumentId">
    <vt:lpwstr>a5cef19d887700e2253d038bd100e4462ad47eee3b97bc9976fa8ab82f1dbc1c</vt:lpwstr>
  </property>
</Properties>
</file>