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D2B83" w14:textId="77777777" w:rsidR="002A0E4D" w:rsidRDefault="004D33C7">
      <w:pPr>
        <w:spacing w:before="1600"/>
        <w:jc w:val="center"/>
      </w:pPr>
      <w:r>
        <w:rPr>
          <w:b/>
          <w:bCs/>
          <w:color w:val="1F4E79"/>
          <w:sz w:val="40"/>
          <w:szCs w:val="40"/>
        </w:rPr>
        <w:t>BMHP6030 Assignment 2 Report</w:t>
      </w:r>
    </w:p>
    <w:p w14:paraId="0A5B0D65" w14:textId="77777777" w:rsidR="002A0E4D" w:rsidRDefault="004D33C7">
      <w:pPr>
        <w:spacing w:before="400"/>
        <w:jc w:val="center"/>
      </w:pPr>
      <w:r>
        <w:rPr>
          <w:b/>
          <w:bCs/>
          <w:sz w:val="30"/>
          <w:szCs w:val="30"/>
        </w:rPr>
        <w:t>Critical Examination of Health, Wellbeing and Sustainability Policies and Initiatives: SDG 3 and SDG 10</w:t>
      </w:r>
    </w:p>
    <w:p w14:paraId="621D9622" w14:textId="77777777" w:rsidR="002A0E4D" w:rsidRDefault="002A0E4D">
      <w:pPr>
        <w:spacing w:before="1200"/>
      </w:pPr>
    </w:p>
    <w:tbl>
      <w:tblPr>
        <w:tblStyle w:val="a"/>
        <w:tblW w:w="936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80"/>
        <w:gridCol w:w="4680"/>
      </w:tblGrid>
      <w:tr w:rsidR="002A0E4D" w14:paraId="0FC4C24D" w14:textId="77777777">
        <w:trPr>
          <w:jc w:val="center"/>
        </w:trPr>
        <w:tc>
          <w:tcPr>
            <w:tcW w:w="4680" w:type="dxa"/>
            <w:shd w:val="clear" w:color="auto" w:fill="D9EAF7"/>
            <w:vAlign w:val="center"/>
          </w:tcPr>
          <w:p w14:paraId="24158A45" w14:textId="77777777" w:rsidR="002A0E4D" w:rsidRDefault="004D33C7">
            <w:pPr>
              <w:jc w:val="left"/>
            </w:pPr>
            <w:r>
              <w:rPr>
                <w:b/>
                <w:bCs/>
                <w:sz w:val="18"/>
                <w:szCs w:val="18"/>
              </w:rPr>
              <w:t>Student Name</w:t>
            </w:r>
          </w:p>
        </w:tc>
        <w:tc>
          <w:tcPr>
            <w:tcW w:w="4680" w:type="dxa"/>
            <w:vAlign w:val="center"/>
          </w:tcPr>
          <w:p w14:paraId="69662C77" w14:textId="77777777" w:rsidR="002A0E4D" w:rsidRDefault="004D33C7">
            <w:pPr>
              <w:jc w:val="left"/>
            </w:pPr>
            <w:r>
              <w:rPr>
                <w:sz w:val="18"/>
                <w:szCs w:val="18"/>
              </w:rPr>
              <w:t xml:space="preserve">Farhat </w:t>
            </w:r>
            <w:proofErr w:type="spellStart"/>
            <w:r>
              <w:rPr>
                <w:sz w:val="18"/>
                <w:szCs w:val="18"/>
              </w:rPr>
              <w:t>Azhar</w:t>
            </w:r>
            <w:proofErr w:type="spellEnd"/>
            <w:r>
              <w:rPr>
                <w:sz w:val="18"/>
                <w:szCs w:val="18"/>
              </w:rPr>
              <w:t xml:space="preserve"> Student Id: 2213611</w:t>
            </w:r>
          </w:p>
        </w:tc>
      </w:tr>
      <w:tr w:rsidR="002A0E4D" w14:paraId="20E9C1D0" w14:textId="77777777">
        <w:trPr>
          <w:jc w:val="center"/>
        </w:trPr>
        <w:tc>
          <w:tcPr>
            <w:tcW w:w="4680" w:type="dxa"/>
            <w:shd w:val="clear" w:color="auto" w:fill="D9EAF7"/>
            <w:vAlign w:val="center"/>
          </w:tcPr>
          <w:p w14:paraId="0A5EBB20" w14:textId="77777777" w:rsidR="002A0E4D" w:rsidRDefault="004D33C7">
            <w:pPr>
              <w:jc w:val="left"/>
            </w:pPr>
            <w:r>
              <w:rPr>
                <w:b/>
                <w:bCs/>
                <w:sz w:val="18"/>
                <w:szCs w:val="18"/>
              </w:rPr>
              <w:t>Student Number</w:t>
            </w:r>
          </w:p>
        </w:tc>
        <w:tc>
          <w:tcPr>
            <w:tcW w:w="4680" w:type="dxa"/>
            <w:vAlign w:val="center"/>
          </w:tcPr>
          <w:p w14:paraId="6F3D621C" w14:textId="77777777" w:rsidR="002A0E4D" w:rsidRDefault="002A0E4D">
            <w:pPr>
              <w:jc w:val="left"/>
            </w:pPr>
          </w:p>
        </w:tc>
      </w:tr>
      <w:tr w:rsidR="002A0E4D" w14:paraId="210DE0AB" w14:textId="77777777">
        <w:trPr>
          <w:jc w:val="center"/>
        </w:trPr>
        <w:tc>
          <w:tcPr>
            <w:tcW w:w="4680" w:type="dxa"/>
            <w:shd w:val="clear" w:color="auto" w:fill="D9EAF7"/>
            <w:vAlign w:val="center"/>
          </w:tcPr>
          <w:p w14:paraId="42BD02EF" w14:textId="77777777" w:rsidR="002A0E4D" w:rsidRDefault="004D33C7">
            <w:pPr>
              <w:jc w:val="left"/>
            </w:pPr>
            <w:r>
              <w:rPr>
                <w:b/>
                <w:bCs/>
                <w:sz w:val="18"/>
                <w:szCs w:val="18"/>
              </w:rPr>
              <w:t>Module</w:t>
            </w:r>
          </w:p>
        </w:tc>
        <w:tc>
          <w:tcPr>
            <w:tcW w:w="4680" w:type="dxa"/>
            <w:vAlign w:val="center"/>
          </w:tcPr>
          <w:p w14:paraId="68265168" w14:textId="77777777" w:rsidR="002A0E4D" w:rsidRDefault="004D33C7">
            <w:pPr>
              <w:jc w:val="left"/>
            </w:pPr>
            <w:r>
              <w:rPr>
                <w:sz w:val="18"/>
                <w:szCs w:val="18"/>
              </w:rPr>
              <w:t>BMHP6030</w:t>
            </w:r>
          </w:p>
        </w:tc>
      </w:tr>
      <w:tr w:rsidR="002A0E4D" w14:paraId="4CF4ADA8" w14:textId="77777777">
        <w:trPr>
          <w:jc w:val="center"/>
        </w:trPr>
        <w:tc>
          <w:tcPr>
            <w:tcW w:w="4680" w:type="dxa"/>
            <w:shd w:val="clear" w:color="auto" w:fill="D9EAF7"/>
            <w:vAlign w:val="center"/>
          </w:tcPr>
          <w:p w14:paraId="2C70CA74" w14:textId="77777777" w:rsidR="002A0E4D" w:rsidRDefault="004D33C7">
            <w:pPr>
              <w:jc w:val="left"/>
            </w:pPr>
            <w:r>
              <w:rPr>
                <w:b/>
                <w:bCs/>
                <w:sz w:val="18"/>
                <w:szCs w:val="18"/>
              </w:rPr>
              <w:t>Assignment</w:t>
            </w:r>
          </w:p>
        </w:tc>
        <w:tc>
          <w:tcPr>
            <w:tcW w:w="4680" w:type="dxa"/>
            <w:vAlign w:val="center"/>
          </w:tcPr>
          <w:p w14:paraId="7E137ECE" w14:textId="77777777" w:rsidR="002A0E4D" w:rsidRDefault="004D33C7">
            <w:pPr>
              <w:jc w:val="left"/>
            </w:pPr>
            <w:r>
              <w:rPr>
                <w:sz w:val="18"/>
                <w:szCs w:val="18"/>
              </w:rPr>
              <w:t>Assignment 2 - 2000-word Report</w:t>
            </w:r>
          </w:p>
        </w:tc>
      </w:tr>
      <w:tr w:rsidR="002A0E4D" w14:paraId="4EF71FE5" w14:textId="77777777">
        <w:trPr>
          <w:jc w:val="center"/>
        </w:trPr>
        <w:tc>
          <w:tcPr>
            <w:tcW w:w="4680" w:type="dxa"/>
            <w:shd w:val="clear" w:color="auto" w:fill="D9EAF7"/>
            <w:vAlign w:val="center"/>
          </w:tcPr>
          <w:p w14:paraId="61B6D395" w14:textId="77777777" w:rsidR="002A0E4D" w:rsidRDefault="004D33C7">
            <w:pPr>
              <w:jc w:val="left"/>
            </w:pPr>
            <w:r>
              <w:rPr>
                <w:b/>
                <w:bCs/>
                <w:sz w:val="18"/>
                <w:szCs w:val="18"/>
              </w:rPr>
              <w:t>Submission Date</w:t>
            </w:r>
          </w:p>
        </w:tc>
        <w:tc>
          <w:tcPr>
            <w:tcW w:w="4680" w:type="dxa"/>
            <w:vAlign w:val="center"/>
          </w:tcPr>
          <w:p w14:paraId="3DDFD4E5" w14:textId="77777777" w:rsidR="002A0E4D" w:rsidRDefault="002A0E4D">
            <w:pPr>
              <w:jc w:val="left"/>
            </w:pPr>
          </w:p>
        </w:tc>
      </w:tr>
    </w:tbl>
    <w:p w14:paraId="798F71B3" w14:textId="77777777" w:rsidR="002A0E4D" w:rsidRDefault="004D33C7">
      <w:r>
        <w:br w:type="page"/>
      </w:r>
    </w:p>
    <w:p w14:paraId="0F09D43F" w14:textId="77777777" w:rsidR="002A0E4D" w:rsidRDefault="004D33C7">
      <w:pPr>
        <w:pStyle w:val="Heading1"/>
      </w:pPr>
      <w:r>
        <w:lastRenderedPageBreak/>
        <w:t>Table of Contents</w:t>
      </w:r>
    </w:p>
    <w:p w14:paraId="07201DE0" w14:textId="77777777" w:rsidR="002A0E4D" w:rsidRDefault="004D33C7">
      <w:pPr>
        <w:jc w:val="left"/>
      </w:pPr>
      <w:r>
        <w:t>Introduction ......................................................................... 3</w:t>
      </w:r>
    </w:p>
    <w:p w14:paraId="7626DB8F" w14:textId="77777777" w:rsidR="002A0E4D" w:rsidRDefault="004D33C7">
      <w:pPr>
        <w:jc w:val="left"/>
      </w:pPr>
      <w:r>
        <w:t>Section 1: SDG 3 - Good Health and Wellbeing ......................................... 3</w:t>
      </w:r>
    </w:p>
    <w:p w14:paraId="4BC1FE33" w14:textId="77777777" w:rsidR="002A0E4D" w:rsidRDefault="004D33C7">
      <w:pPr>
        <w:jc w:val="left"/>
      </w:pPr>
      <w:r>
        <w:t>Section 2: SDG 10 - Reduced Inequalities ............................................. 5</w:t>
      </w:r>
    </w:p>
    <w:p w14:paraId="6C41D11A" w14:textId="77777777" w:rsidR="002A0E4D" w:rsidRDefault="004D33C7">
      <w:pPr>
        <w:jc w:val="left"/>
      </w:pPr>
      <w:r>
        <w:t>Table 1: Link between SDG 3 and SDG 10 in Health and Social Care .............</w:t>
      </w:r>
      <w:r>
        <w:t>........ 8</w:t>
      </w:r>
    </w:p>
    <w:p w14:paraId="33FFC5D6" w14:textId="77777777" w:rsidR="002A0E4D" w:rsidRDefault="004D33C7">
      <w:pPr>
        <w:jc w:val="left"/>
      </w:pPr>
      <w:r>
        <w:t>Conclusion ........................................................................... 8</w:t>
      </w:r>
    </w:p>
    <w:p w14:paraId="76557217" w14:textId="77777777" w:rsidR="002A0E4D" w:rsidRDefault="004D33C7">
      <w:pPr>
        <w:jc w:val="left"/>
      </w:pPr>
      <w:r>
        <w:t>References ........................................................................... 9</w:t>
      </w:r>
    </w:p>
    <w:p w14:paraId="4706C3E8" w14:textId="77777777" w:rsidR="002A0E4D" w:rsidRDefault="004D33C7">
      <w:r>
        <w:br w:type="page"/>
      </w:r>
    </w:p>
    <w:p w14:paraId="69967651" w14:textId="77777777" w:rsidR="002A0E4D" w:rsidRDefault="004D33C7">
      <w:pPr>
        <w:pStyle w:val="Heading1"/>
      </w:pPr>
      <w:r>
        <w:lastRenderedPageBreak/>
        <w:t>Introduction</w:t>
      </w:r>
    </w:p>
    <w:p w14:paraId="2478EB54"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t xml:space="preserve">Contemporary health and social care are closely linked regarding health, wellbeing and sustainability as this is not possible without looking at improving population health. The Sustainable Development Goals offer a global perspective on health as a social, economic and environmental problem and one which is not just a purely medical problem. This report critically looks at SDG 3: Good health and wellbeing, and SDG 10: Reduced inequalities. These two goals have been chosen due to their strong linkage: outcomes of health are influenced by inequality, and inequality is exacerbated when people suffer poor health, disability, poverty, discrimination or limited access to health care. This report is informed by global, national and local policies and initiatives, specifically in the United Kingdom and in relation to local provision of health and social care. It also uses relevant theories (such as Health Belief Model, Social Cognitive Theory and the social determinants of health framework) to assess the impact of policies on </w:t>
      </w:r>
      <w:proofErr w:type="spellStart"/>
      <w:r w:rsidRPr="00D03A4E">
        <w:rPr>
          <w:b w:val="0"/>
          <w:bCs w:val="0"/>
          <w:color w:val="auto"/>
          <w:sz w:val="22"/>
          <w:szCs w:val="22"/>
        </w:rPr>
        <w:t>behaviour</w:t>
      </w:r>
      <w:proofErr w:type="spellEnd"/>
      <w:r w:rsidRPr="00D03A4E">
        <w:rPr>
          <w:b w:val="0"/>
          <w:bCs w:val="0"/>
          <w:color w:val="auto"/>
          <w:sz w:val="22"/>
          <w:szCs w:val="22"/>
        </w:rPr>
        <w:t>, access and outcomes. The report suggests that whilst progress has been made in the domain of prevention, SDG-related policies have increased equity and integrated working, there has been a lack of uniformity in implementation, particularly in terms of funding and workforce pressures, digital exclusion and structural inequalities. Thus, in order to deliver effectively, local targeting and community engagement must be increased, long-term investment in prevention must be made, and there must be inclusive digital access.</w:t>
      </w:r>
    </w:p>
    <w:p w14:paraId="376D54F3" w14:textId="6747AA89" w:rsidR="00D03A4E" w:rsidRPr="00D03A4E" w:rsidRDefault="00D03A4E" w:rsidP="00D03A4E">
      <w:pPr>
        <w:pStyle w:val="Heading1"/>
      </w:pPr>
      <w:r w:rsidRPr="00D03A4E">
        <w:t xml:space="preserve">SDG 3 - Good Health and </w:t>
      </w:r>
      <w:r w:rsidRPr="00D03A4E">
        <w:t>Well-being</w:t>
      </w:r>
      <w:r w:rsidRPr="00D03A4E">
        <w:t>.</w:t>
      </w:r>
    </w:p>
    <w:p w14:paraId="77172B59" w14:textId="72B8D26B" w:rsidR="00D03A4E" w:rsidRPr="00D03A4E" w:rsidRDefault="00D03A4E" w:rsidP="00D03A4E">
      <w:pPr>
        <w:pStyle w:val="Heading1"/>
        <w:rPr>
          <w:b w:val="0"/>
          <w:bCs w:val="0"/>
          <w:color w:val="auto"/>
          <w:sz w:val="22"/>
          <w:szCs w:val="22"/>
        </w:rPr>
      </w:pPr>
      <w:r w:rsidRPr="00D03A4E">
        <w:rPr>
          <w:b w:val="0"/>
          <w:bCs w:val="0"/>
          <w:color w:val="auto"/>
          <w:sz w:val="22"/>
          <w:szCs w:val="22"/>
        </w:rPr>
        <w:t>SDG 3 is about healthy lives and wellbeing for all, at all ages. This encompasses various priorities such as maternal and child health, communicable diseases, non-communicable diseases, mental health, universal health coverage, vaccination, medicines access, road safety and environmental health (United Nations, 2024). SDG 3 is a global indicator that suggests that health is a key element to sustainable development – it is important for people to be healthy and have the freedom to learn, work, participate in society and live with dignity. But there have been uneven steps forward around the world. Vaccination, screening, mental health services and routine health services were affected by the COVID-19 pandemic, and climate change, conflict, poverty and antimicrobial resistance are on-going threats to population health (WHO, 2024). This highlights the need for resilient health systems, prevention, trust in the community, health literacy and action on broader determinants to achieve SDG 3 – which is not possible in hospitals alone.</w:t>
      </w:r>
    </w:p>
    <w:p w14:paraId="4EE6F562"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lastRenderedPageBreak/>
        <w:t xml:space="preserve">WHO at global level works to support SDG 3 by enabling universal health coverage, health emergency preparedness, health promotion and prevention of </w:t>
      </w:r>
      <w:proofErr w:type="gramStart"/>
      <w:r w:rsidRPr="00D03A4E">
        <w:rPr>
          <w:b w:val="0"/>
          <w:bCs w:val="0"/>
          <w:color w:val="auto"/>
          <w:sz w:val="22"/>
          <w:szCs w:val="22"/>
        </w:rPr>
        <w:t>diseases.</w:t>
      </w:r>
      <w:proofErr w:type="gramEnd"/>
      <w:r w:rsidRPr="00D03A4E">
        <w:rPr>
          <w:b w:val="0"/>
          <w:bCs w:val="0"/>
          <w:color w:val="auto"/>
          <w:sz w:val="22"/>
          <w:szCs w:val="22"/>
        </w:rPr>
        <w:t xml:space="preserve"> The importance of UHC is that it targets to provide individuals with quality health services without financial burden (WHO, 2023). But this is not easy to put into practice in reality. There are a number of reasons why low-income countries suffer from low staffing levels, lack of medicines, inadequate infrastructure and financial resources, and high-income countries too face access inequities due to deprivation, geography, ethnicity and lack of digital access. One of the biggest deficits of global SDG 3 policy therefore is that it has very high aspirations but relies on the national political will and distribution of resources.</w:t>
      </w:r>
    </w:p>
    <w:p w14:paraId="0D609AC7"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t xml:space="preserve">SDG 3 is expressed in the UK in the context of the NHS Long Term Plan, prevention policies, mental health policies, vaccination policies and screening policies. The NHS Long Term Plan aims to focus on prevention, </w:t>
      </w:r>
      <w:proofErr w:type="spellStart"/>
      <w:r w:rsidRPr="00D03A4E">
        <w:rPr>
          <w:b w:val="0"/>
          <w:bCs w:val="0"/>
          <w:color w:val="auto"/>
          <w:sz w:val="22"/>
          <w:szCs w:val="22"/>
        </w:rPr>
        <w:t>personalised</w:t>
      </w:r>
      <w:proofErr w:type="spellEnd"/>
      <w:r w:rsidRPr="00D03A4E">
        <w:rPr>
          <w:b w:val="0"/>
          <w:bCs w:val="0"/>
          <w:color w:val="auto"/>
          <w:sz w:val="22"/>
          <w:szCs w:val="22"/>
        </w:rPr>
        <w:t xml:space="preserve"> care, digital transformation and primary care and reduce health inequalities (NHS England, 2023). This is good news as it acknowledges the need to shift health services from a purely reactive approach to treatment. For </w:t>
      </w:r>
      <w:proofErr w:type="gramStart"/>
      <w:r w:rsidRPr="00D03A4E">
        <w:rPr>
          <w:b w:val="0"/>
          <w:bCs w:val="0"/>
          <w:color w:val="auto"/>
          <w:sz w:val="22"/>
          <w:szCs w:val="22"/>
        </w:rPr>
        <w:t>instance</w:t>
      </w:r>
      <w:proofErr w:type="gramEnd"/>
      <w:r w:rsidRPr="00D03A4E">
        <w:rPr>
          <w:b w:val="0"/>
          <w:bCs w:val="0"/>
          <w:color w:val="auto"/>
          <w:sz w:val="22"/>
          <w:szCs w:val="22"/>
        </w:rPr>
        <w:t xml:space="preserve"> the NHS Diabetes Prevention </w:t>
      </w:r>
      <w:proofErr w:type="spellStart"/>
      <w:r w:rsidRPr="00D03A4E">
        <w:rPr>
          <w:b w:val="0"/>
          <w:bCs w:val="0"/>
          <w:color w:val="auto"/>
          <w:sz w:val="22"/>
          <w:szCs w:val="22"/>
        </w:rPr>
        <w:t>Programme</w:t>
      </w:r>
      <w:proofErr w:type="spellEnd"/>
      <w:r w:rsidRPr="00D03A4E">
        <w:rPr>
          <w:b w:val="0"/>
          <w:bCs w:val="0"/>
          <w:color w:val="auto"/>
          <w:sz w:val="22"/>
          <w:szCs w:val="22"/>
        </w:rPr>
        <w:t xml:space="preserve"> is a </w:t>
      </w:r>
      <w:proofErr w:type="spellStart"/>
      <w:r w:rsidRPr="00D03A4E">
        <w:rPr>
          <w:b w:val="0"/>
          <w:bCs w:val="0"/>
          <w:color w:val="auto"/>
          <w:sz w:val="22"/>
          <w:szCs w:val="22"/>
        </w:rPr>
        <w:t>programme</w:t>
      </w:r>
      <w:proofErr w:type="spellEnd"/>
      <w:r w:rsidRPr="00D03A4E">
        <w:rPr>
          <w:b w:val="0"/>
          <w:bCs w:val="0"/>
          <w:color w:val="auto"/>
          <w:sz w:val="22"/>
          <w:szCs w:val="22"/>
        </w:rPr>
        <w:t xml:space="preserve"> designed to help those with an increased risk of developing type 2 diabetes to make lifestyle changes before they develop the condition (NHS Digital, 2025). This is directly connected to SDG 3 since non-communicable diseases are important causes of early death and service and sustainable service needs. The </w:t>
      </w:r>
      <w:proofErr w:type="spellStart"/>
      <w:r w:rsidRPr="00D03A4E">
        <w:rPr>
          <w:b w:val="0"/>
          <w:bCs w:val="0"/>
          <w:color w:val="auto"/>
          <w:sz w:val="22"/>
          <w:szCs w:val="22"/>
        </w:rPr>
        <w:t>programme</w:t>
      </w:r>
      <w:proofErr w:type="spellEnd"/>
      <w:r w:rsidRPr="00D03A4E">
        <w:rPr>
          <w:b w:val="0"/>
          <w:bCs w:val="0"/>
          <w:color w:val="auto"/>
          <w:sz w:val="22"/>
          <w:szCs w:val="22"/>
        </w:rPr>
        <w:t xml:space="preserve"> is also based on the HBM as participants are encouraged to acknowledge the problem of diabetes, its seriousness and to have confidence in changing action (</w:t>
      </w:r>
      <w:proofErr w:type="spellStart"/>
      <w:r w:rsidRPr="00D03A4E">
        <w:rPr>
          <w:b w:val="0"/>
          <w:bCs w:val="0"/>
          <w:color w:val="auto"/>
          <w:sz w:val="22"/>
          <w:szCs w:val="22"/>
        </w:rPr>
        <w:t>Alyafei</w:t>
      </w:r>
      <w:proofErr w:type="spellEnd"/>
      <w:r w:rsidRPr="00D03A4E">
        <w:rPr>
          <w:b w:val="0"/>
          <w:bCs w:val="0"/>
          <w:color w:val="auto"/>
          <w:sz w:val="22"/>
          <w:szCs w:val="22"/>
        </w:rPr>
        <w:t xml:space="preserve"> and Easton-</w:t>
      </w:r>
      <w:proofErr w:type="spellStart"/>
      <w:r w:rsidRPr="00D03A4E">
        <w:rPr>
          <w:b w:val="0"/>
          <w:bCs w:val="0"/>
          <w:color w:val="auto"/>
          <w:sz w:val="22"/>
          <w:szCs w:val="22"/>
        </w:rPr>
        <w:t>Carr</w:t>
      </w:r>
      <w:proofErr w:type="spellEnd"/>
      <w:r w:rsidRPr="00D03A4E">
        <w:rPr>
          <w:b w:val="0"/>
          <w:bCs w:val="0"/>
          <w:color w:val="auto"/>
          <w:sz w:val="22"/>
          <w:szCs w:val="22"/>
        </w:rPr>
        <w:t xml:space="preserve">, 2024). Criticisms can be made of the </w:t>
      </w:r>
      <w:proofErr w:type="spellStart"/>
      <w:r w:rsidRPr="00D03A4E">
        <w:rPr>
          <w:b w:val="0"/>
          <w:bCs w:val="0"/>
          <w:color w:val="auto"/>
          <w:sz w:val="22"/>
          <w:szCs w:val="22"/>
        </w:rPr>
        <w:t>programme</w:t>
      </w:r>
      <w:proofErr w:type="spellEnd"/>
      <w:r w:rsidRPr="00D03A4E">
        <w:rPr>
          <w:b w:val="0"/>
          <w:bCs w:val="0"/>
          <w:color w:val="auto"/>
          <w:sz w:val="22"/>
          <w:szCs w:val="22"/>
        </w:rPr>
        <w:t xml:space="preserve"> if its emphasis is on individual </w:t>
      </w:r>
      <w:proofErr w:type="spellStart"/>
      <w:r w:rsidRPr="00D03A4E">
        <w:rPr>
          <w:b w:val="0"/>
          <w:bCs w:val="0"/>
          <w:color w:val="auto"/>
          <w:sz w:val="22"/>
          <w:szCs w:val="22"/>
        </w:rPr>
        <w:t>behaviour</w:t>
      </w:r>
      <w:proofErr w:type="spellEnd"/>
      <w:r w:rsidRPr="00D03A4E">
        <w:rPr>
          <w:b w:val="0"/>
          <w:bCs w:val="0"/>
          <w:color w:val="auto"/>
          <w:sz w:val="22"/>
          <w:szCs w:val="22"/>
        </w:rPr>
        <w:t xml:space="preserve"> and it is not sensitive to poverty, food insecurity, cultural barriers, disability and unsafe environments.</w:t>
      </w:r>
    </w:p>
    <w:p w14:paraId="4E1E8687"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lastRenderedPageBreak/>
        <w:t xml:space="preserve">Integrated Care Systems, local authorities and primary care networks and voluntary </w:t>
      </w:r>
      <w:proofErr w:type="spellStart"/>
      <w:r w:rsidRPr="00D03A4E">
        <w:rPr>
          <w:b w:val="0"/>
          <w:bCs w:val="0"/>
          <w:color w:val="auto"/>
          <w:sz w:val="22"/>
          <w:szCs w:val="22"/>
        </w:rPr>
        <w:t>organisations</w:t>
      </w:r>
      <w:proofErr w:type="spellEnd"/>
      <w:r w:rsidRPr="00D03A4E">
        <w:rPr>
          <w:b w:val="0"/>
          <w:bCs w:val="0"/>
          <w:color w:val="auto"/>
          <w:sz w:val="22"/>
          <w:szCs w:val="22"/>
        </w:rPr>
        <w:t xml:space="preserve"> are key to achieving SDG 3 locally. Social prescribing, smoking cessation, NHS health checks, vaccination outreach and Making Every Contact Count are all local initiatives which seek to improve health by preventing and intervening at an early stage. They bring the function of health promotion nearer to the community, and thus can be effective. The relevance of Social Cognitive Theory can be seen in the theory's application to </w:t>
      </w:r>
      <w:proofErr w:type="spellStart"/>
      <w:r w:rsidRPr="00D03A4E">
        <w:rPr>
          <w:b w:val="0"/>
          <w:bCs w:val="0"/>
          <w:color w:val="auto"/>
          <w:sz w:val="22"/>
          <w:szCs w:val="22"/>
        </w:rPr>
        <w:t>behaviour</w:t>
      </w:r>
      <w:proofErr w:type="spellEnd"/>
      <w:r w:rsidRPr="00D03A4E">
        <w:rPr>
          <w:b w:val="0"/>
          <w:bCs w:val="0"/>
          <w:color w:val="auto"/>
          <w:sz w:val="22"/>
          <w:szCs w:val="22"/>
        </w:rPr>
        <w:t xml:space="preserve"> change, as self-efficacy, social support, role modelling, and environmental conditions are all factors that affect </w:t>
      </w:r>
      <w:proofErr w:type="spellStart"/>
      <w:r w:rsidRPr="00D03A4E">
        <w:rPr>
          <w:b w:val="0"/>
          <w:bCs w:val="0"/>
          <w:color w:val="auto"/>
          <w:sz w:val="22"/>
          <w:szCs w:val="22"/>
        </w:rPr>
        <w:t>behaviour</w:t>
      </w:r>
      <w:proofErr w:type="spellEnd"/>
      <w:r w:rsidRPr="00D03A4E">
        <w:rPr>
          <w:b w:val="0"/>
          <w:bCs w:val="0"/>
          <w:color w:val="auto"/>
          <w:sz w:val="22"/>
          <w:szCs w:val="22"/>
        </w:rPr>
        <w:t xml:space="preserve"> change (Bandura, 2023). For example, a person might be aware of the benefits of exercise but he or she won't make the change if he or she doesn't have safe environments, encouragement, inexpensive resources or confidence. Here it is seen that health promotion must be both practical and based on the social context.</w:t>
      </w:r>
    </w:p>
    <w:p w14:paraId="041BD8C4"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t xml:space="preserve">One key constraint is that workforce shortages are a problem in the UK health services, with long lists for appointments, and a lack of funding for primary care and social care resulting in pressure on services. The pressures can affect the quality of the prevention work as urgent needs are likely to take priority. Mental health is a very obvious one. Mental health and wellbeing </w:t>
      </w:r>
      <w:proofErr w:type="gramStart"/>
      <w:r w:rsidRPr="00D03A4E">
        <w:rPr>
          <w:b w:val="0"/>
          <w:bCs w:val="0"/>
          <w:color w:val="auto"/>
          <w:sz w:val="22"/>
          <w:szCs w:val="22"/>
        </w:rPr>
        <w:t>is</w:t>
      </w:r>
      <w:proofErr w:type="gramEnd"/>
      <w:r w:rsidRPr="00D03A4E">
        <w:rPr>
          <w:b w:val="0"/>
          <w:bCs w:val="0"/>
          <w:color w:val="auto"/>
          <w:sz w:val="22"/>
          <w:szCs w:val="22"/>
        </w:rPr>
        <w:t xml:space="preserve"> included in SDG 3 and policy in the UK is </w:t>
      </w:r>
      <w:proofErr w:type="spellStart"/>
      <w:r w:rsidRPr="00D03A4E">
        <w:rPr>
          <w:b w:val="0"/>
          <w:bCs w:val="0"/>
          <w:color w:val="auto"/>
          <w:sz w:val="22"/>
          <w:szCs w:val="22"/>
        </w:rPr>
        <w:t>focussing</w:t>
      </w:r>
      <w:proofErr w:type="spellEnd"/>
      <w:r w:rsidRPr="00D03A4E">
        <w:rPr>
          <w:b w:val="0"/>
          <w:bCs w:val="0"/>
          <w:color w:val="auto"/>
          <w:sz w:val="22"/>
          <w:szCs w:val="22"/>
        </w:rPr>
        <w:t xml:space="preserve"> more on talking therapies and on community mental health services. Demand is high, however, and there are inequalities with access to services based on age, ethnicity, deprivation and geography (NHS England, 2024a). This establishes a disconnect between policy intent and realities. Digital healthcare can also reduce the barriers to accessing care for some patients, but may create an exclusion risk for older people, have low literacy levels, are disabled, live on a low income, and/or do not have private space or a good internet connection (NHS England, 2023a).</w:t>
      </w:r>
    </w:p>
    <w:p w14:paraId="3B578403"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t xml:space="preserve">SDG 3 Recommendations with respect to prevention, equity and local responsiveness. First, it would be important to safeguard preventive services from short-term cuts since prevention lessens service need and the need for long-term illness. Secondly, culturally adapting and co-creating public health programs with communities is important. Thirdly, digital health must be inclusive, meaning that assisted digital support and alternatives to digital should be provided. Lastly, health and social care </w:t>
      </w:r>
      <w:proofErr w:type="spellStart"/>
      <w:r w:rsidRPr="00D03A4E">
        <w:rPr>
          <w:b w:val="0"/>
          <w:bCs w:val="0"/>
          <w:color w:val="auto"/>
          <w:sz w:val="22"/>
          <w:szCs w:val="22"/>
        </w:rPr>
        <w:t>organisations</w:t>
      </w:r>
      <w:proofErr w:type="spellEnd"/>
      <w:r w:rsidRPr="00D03A4E">
        <w:rPr>
          <w:b w:val="0"/>
          <w:bCs w:val="0"/>
          <w:color w:val="auto"/>
          <w:sz w:val="22"/>
          <w:szCs w:val="22"/>
        </w:rPr>
        <w:t xml:space="preserve"> need to assess quantitative outcomes – for example, rates of uptake and hospital admission – as well as qualitative outcomes – for example, patient confidence, trust and experience.</w:t>
      </w:r>
    </w:p>
    <w:p w14:paraId="27703265" w14:textId="188DA29B" w:rsidR="00D03A4E" w:rsidRPr="00D03A4E" w:rsidRDefault="00D03A4E" w:rsidP="00D03A4E">
      <w:pPr>
        <w:pStyle w:val="Heading1"/>
      </w:pPr>
      <w:r w:rsidRPr="00D03A4E">
        <w:lastRenderedPageBreak/>
        <w:t>Section 2 deals with SDG 10 - Reduced Inequalities.</w:t>
      </w:r>
    </w:p>
    <w:p w14:paraId="164A153A"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t>One of the SDGs is SDG 10: Reduce inequality within and between countries. It's all about income inequality, social inclusion, equal opportunity, discrimination, migration, representation and fair distribution of resources (United Nations, 2024a). There is a strong connection to health and wellbeing as inequality influences exposure to risk and access to services, quality of life. Those who reside in deprived areas are at higher risk of having poor housing, insecure work, lower income, food insecurity, and pollution, as well as being less likely to have good access to green space. All of this increases the likelihood of sickness, and diminishes wellbeing. Thus, SDG 10 is not considered a standalone SDG, but rather one of the conditions to ensure the achievement of SDG 3.</w:t>
      </w:r>
    </w:p>
    <w:p w14:paraId="331CFEF4"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t xml:space="preserve">SDG 10 emphasizes the fact that unequal countries and unequal communities have less </w:t>
      </w:r>
      <w:proofErr w:type="spellStart"/>
      <w:r w:rsidRPr="00D03A4E">
        <w:rPr>
          <w:b w:val="0"/>
          <w:bCs w:val="0"/>
          <w:color w:val="auto"/>
          <w:sz w:val="22"/>
          <w:szCs w:val="22"/>
        </w:rPr>
        <w:t>favourable</w:t>
      </w:r>
      <w:proofErr w:type="spellEnd"/>
      <w:r w:rsidRPr="00D03A4E">
        <w:rPr>
          <w:b w:val="0"/>
          <w:bCs w:val="0"/>
          <w:color w:val="auto"/>
          <w:sz w:val="22"/>
          <w:szCs w:val="22"/>
        </w:rPr>
        <w:t xml:space="preserve"> health outcomes globally. The social determinants of health approach to understanding health </w:t>
      </w:r>
      <w:proofErr w:type="gramStart"/>
      <w:r w:rsidRPr="00D03A4E">
        <w:rPr>
          <w:b w:val="0"/>
          <w:bCs w:val="0"/>
          <w:color w:val="auto"/>
          <w:sz w:val="22"/>
          <w:szCs w:val="22"/>
        </w:rPr>
        <w:t>is</w:t>
      </w:r>
      <w:proofErr w:type="gramEnd"/>
      <w:r w:rsidRPr="00D03A4E">
        <w:rPr>
          <w:b w:val="0"/>
          <w:bCs w:val="0"/>
          <w:color w:val="auto"/>
          <w:sz w:val="22"/>
          <w:szCs w:val="22"/>
        </w:rPr>
        <w:t xml:space="preserve"> defined as the conditions in which people are born, grow, live, work and age (WHO, 2023a). This is helpful because it is a way of refocusing from individual fault to structural factors. Despite the efforts to reduce inequality around the world, there are challenges to reducing the inequality, including the systems of trade and debt, conflict, migration policy, climate change, and inequitable vaccine access, which can exacerbate disadvantage. The inequalities were highlighted by the COVID-19 pandemic which affected marginalized groups and poorer countries to a greater extent than others and with less protection (WHO, 2024).</w:t>
      </w:r>
    </w:p>
    <w:p w14:paraId="7A6DA8E9"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lastRenderedPageBreak/>
        <w:t>In England, the inequities in health are well documented. Marmot et al., 2020, highlighted in the Marmot Review 10 Years On, that the progress in life expectancy had slowed and inequalities had become larger with years lived in poor health increasing for those living in poorer areas. The significance of this evidence is that it demonstrates the connections between long term differences in income, employment, education and housing and public services and health inequalities are not coincidental. According to the King's Fund, health inequalities are also ‘inevitable, unacceptable and existing’ inequalities between groups are avoidable, unfair and systematic (King's Fund, 2025). These inequalities impact access to, and experiences and outcomes from, health care. For instance, individuals from deprived communities may have a less convenient ability to attend GP appointments, dental appointments and mental health services, with some ethnic minority groups feeling discriminated against, faced with language barriers and a lack of trust in health services.</w:t>
      </w:r>
    </w:p>
    <w:p w14:paraId="5BF5DD6A"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t xml:space="preserve">Core20PLUS5 is a significant national </w:t>
      </w:r>
      <w:proofErr w:type="spellStart"/>
      <w:r w:rsidRPr="00D03A4E">
        <w:rPr>
          <w:b w:val="0"/>
          <w:bCs w:val="0"/>
          <w:color w:val="auto"/>
          <w:sz w:val="22"/>
          <w:szCs w:val="22"/>
        </w:rPr>
        <w:t>programme</w:t>
      </w:r>
      <w:proofErr w:type="spellEnd"/>
      <w:r w:rsidRPr="00D03A4E">
        <w:rPr>
          <w:b w:val="0"/>
          <w:bCs w:val="0"/>
          <w:color w:val="auto"/>
          <w:sz w:val="22"/>
          <w:szCs w:val="22"/>
        </w:rPr>
        <w:t xml:space="preserve"> that relates to SDG 10. This NHS England approach focuses on the most deprived 20% of the population, locally identified groups of people, and five clinical priority areas, which include: maternity, severe mental illness, chronic respiratory disease, early cancer diagnosis and hypertension case finding (NHS England, 2024b). Its advantage is that it offers a clearly defined structure and direction to the allocation of resources on the most resource-hungry groups. This is a </w:t>
      </w:r>
      <w:proofErr w:type="gramStart"/>
      <w:r w:rsidRPr="00D03A4E">
        <w:rPr>
          <w:b w:val="0"/>
          <w:bCs w:val="0"/>
          <w:color w:val="auto"/>
          <w:sz w:val="22"/>
          <w:szCs w:val="22"/>
        </w:rPr>
        <w:t>more fair</w:t>
      </w:r>
      <w:proofErr w:type="gramEnd"/>
      <w:r w:rsidRPr="00D03A4E">
        <w:rPr>
          <w:b w:val="0"/>
          <w:bCs w:val="0"/>
          <w:color w:val="auto"/>
          <w:sz w:val="22"/>
          <w:szCs w:val="22"/>
        </w:rPr>
        <w:t xml:space="preserve"> alternative to the universal services equating equal benefits for all. But that's not all Core20PLUS5 can't do. Requires good local information, effective leadership, community involvement and adequate resources. The framework might end up being a reporting exercise, if local services are already stretched for resources.</w:t>
      </w:r>
    </w:p>
    <w:p w14:paraId="023C2592"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lastRenderedPageBreak/>
        <w:t xml:space="preserve">Local-level, ICSs should seek to tackle inequalities via population health management, community working and targeted interventions. Local authorities have a critical role to play in housing, transport, education, public health and social care. Reducing barriers for specific groups can be achieved using local smoking cessation services, outreach vaccination clinics, community mental health and digital inclusion </w:t>
      </w:r>
      <w:proofErr w:type="spellStart"/>
      <w:r w:rsidRPr="00D03A4E">
        <w:rPr>
          <w:b w:val="0"/>
          <w:bCs w:val="0"/>
          <w:color w:val="auto"/>
          <w:sz w:val="22"/>
          <w:szCs w:val="22"/>
        </w:rPr>
        <w:t>programmes</w:t>
      </w:r>
      <w:proofErr w:type="spellEnd"/>
      <w:r w:rsidRPr="00D03A4E">
        <w:rPr>
          <w:b w:val="0"/>
          <w:bCs w:val="0"/>
          <w:color w:val="auto"/>
          <w:sz w:val="22"/>
          <w:szCs w:val="22"/>
        </w:rPr>
        <w:t>, for example. Digital inclusion is particularly relevant as there is increasing use of apps by NHS services; online forms and remote consultations. The digital inclusion framework which NHS England has developed acknowledges that digital access is not a replacement for any other form of access (NHS England, 2023a). This would be a solid policy stance, and although it is not being consistently followed, there are signs that it is. Digital-first systems can exacerbate inequalities if a patient either cannot make an appointment digitally or if a patient has not had sufficient experience with digital systems to be confident navigating them and/or does not have private internet to make an appointment.</w:t>
      </w:r>
    </w:p>
    <w:p w14:paraId="587A0165" w14:textId="77777777" w:rsidR="00D03A4E" w:rsidRPr="00D03A4E" w:rsidRDefault="00D03A4E" w:rsidP="00D03A4E">
      <w:pPr>
        <w:pStyle w:val="Heading1"/>
        <w:rPr>
          <w:b w:val="0"/>
          <w:bCs w:val="0"/>
          <w:color w:val="auto"/>
          <w:sz w:val="22"/>
          <w:szCs w:val="22"/>
        </w:rPr>
      </w:pPr>
      <w:r w:rsidRPr="00D03A4E">
        <w:rPr>
          <w:b w:val="0"/>
          <w:bCs w:val="0"/>
          <w:color w:val="auto"/>
          <w:sz w:val="22"/>
          <w:szCs w:val="22"/>
        </w:rPr>
        <w:t xml:space="preserve">Other theories that aid in assessing SDG 10 policies are the Health Belief Model and Social Cognitive Theory. Inequalities in health are not just issues of access to service, but also about access to service for people who feel they can use it. Barriers to engagement can be perceived barriers, lack of self-efficacy, lack of trust, prior discrimination and poor communication. For instance, screening </w:t>
      </w:r>
      <w:proofErr w:type="spellStart"/>
      <w:r w:rsidRPr="00D03A4E">
        <w:rPr>
          <w:b w:val="0"/>
          <w:bCs w:val="0"/>
          <w:color w:val="auto"/>
          <w:sz w:val="22"/>
          <w:szCs w:val="22"/>
        </w:rPr>
        <w:t>programmes</w:t>
      </w:r>
      <w:proofErr w:type="spellEnd"/>
      <w:r w:rsidRPr="00D03A4E">
        <w:rPr>
          <w:b w:val="0"/>
          <w:bCs w:val="0"/>
          <w:color w:val="auto"/>
          <w:sz w:val="22"/>
          <w:szCs w:val="22"/>
        </w:rPr>
        <w:t xml:space="preserve"> can be offered at no cost, but low attendance can occur if the communities don't understand the letters or if appointments are not convenient. Social Cognitive Theory implies that confidence-building, social support and overcoming environmental barriers are key components of interventions to be effective. Hence, it is not just national policy documents that need to focus on inequality reduction, but also relational work and work at the community level.</w:t>
      </w:r>
    </w:p>
    <w:p w14:paraId="6EB7B452" w14:textId="77777777" w:rsidR="00D03A4E" w:rsidRDefault="00D03A4E" w:rsidP="00D03A4E">
      <w:pPr>
        <w:pStyle w:val="Heading1"/>
        <w:rPr>
          <w:b w:val="0"/>
          <w:bCs w:val="0"/>
          <w:color w:val="auto"/>
          <w:sz w:val="22"/>
          <w:szCs w:val="22"/>
        </w:rPr>
      </w:pPr>
      <w:r w:rsidRPr="00D03A4E">
        <w:rPr>
          <w:b w:val="0"/>
          <w:bCs w:val="0"/>
          <w:color w:val="auto"/>
          <w:sz w:val="22"/>
          <w:szCs w:val="22"/>
        </w:rPr>
        <w:lastRenderedPageBreak/>
        <w:t xml:space="preserve">The SDG 10 recommendations should be targeted at structural and service level action. The first step is to the use of equality impact assessments and local data to help health and social care </w:t>
      </w:r>
      <w:proofErr w:type="spellStart"/>
      <w:r w:rsidRPr="00D03A4E">
        <w:rPr>
          <w:b w:val="0"/>
          <w:bCs w:val="0"/>
          <w:color w:val="auto"/>
          <w:sz w:val="22"/>
          <w:szCs w:val="22"/>
        </w:rPr>
        <w:t>organisations</w:t>
      </w:r>
      <w:proofErr w:type="spellEnd"/>
      <w:r w:rsidRPr="00D03A4E">
        <w:rPr>
          <w:b w:val="0"/>
          <w:bCs w:val="0"/>
          <w:color w:val="auto"/>
          <w:sz w:val="22"/>
          <w:szCs w:val="22"/>
        </w:rPr>
        <w:t xml:space="preserve"> discover the missing people from services. Secondly, community </w:t>
      </w:r>
      <w:proofErr w:type="spellStart"/>
      <w:r w:rsidRPr="00D03A4E">
        <w:rPr>
          <w:b w:val="0"/>
          <w:bCs w:val="0"/>
          <w:color w:val="auto"/>
          <w:sz w:val="22"/>
          <w:szCs w:val="22"/>
        </w:rPr>
        <w:t>organisations</w:t>
      </w:r>
      <w:proofErr w:type="spellEnd"/>
      <w:r w:rsidRPr="00D03A4E">
        <w:rPr>
          <w:b w:val="0"/>
          <w:bCs w:val="0"/>
          <w:color w:val="auto"/>
          <w:sz w:val="22"/>
          <w:szCs w:val="22"/>
        </w:rPr>
        <w:t xml:space="preserve"> should be supported as </w:t>
      </w:r>
      <w:proofErr w:type="gramStart"/>
      <w:r w:rsidRPr="00D03A4E">
        <w:rPr>
          <w:b w:val="0"/>
          <w:bCs w:val="0"/>
          <w:color w:val="auto"/>
          <w:sz w:val="22"/>
          <w:szCs w:val="22"/>
        </w:rPr>
        <w:t>long term</w:t>
      </w:r>
      <w:proofErr w:type="gramEnd"/>
      <w:r w:rsidRPr="00D03A4E">
        <w:rPr>
          <w:b w:val="0"/>
          <w:bCs w:val="0"/>
          <w:color w:val="auto"/>
          <w:sz w:val="22"/>
          <w:szCs w:val="22"/>
        </w:rPr>
        <w:t xml:space="preserve"> partners and not as short-term consultation avenues. Digital healthcare needs to be based on accessible alternatives, translation and disability-friendly design and assisted healthcare. Fourth, the national government needs to take measures to influence the broader determinants of health including poverty, housing, employment insecurity and education, as none of these alone are sufficient to eliminate health inequalities. Last, assessment should judge the effectiveness of interventions in closing achievement gaps, rather than the overall success.</w:t>
      </w:r>
    </w:p>
    <w:p w14:paraId="4F24DB5E" w14:textId="6410AC87" w:rsidR="002A0E4D" w:rsidRDefault="004D33C7" w:rsidP="00D03A4E">
      <w:pPr>
        <w:pStyle w:val="Heading1"/>
      </w:pPr>
      <w:r>
        <w:t>Table 1: Link between SDG 3 and SDG 10 in Health and Social Care</w:t>
      </w:r>
    </w:p>
    <w:tbl>
      <w:tblPr>
        <w:tblStyle w:val="a0"/>
        <w:tblW w:w="9376"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44"/>
        <w:gridCol w:w="2344"/>
        <w:gridCol w:w="2344"/>
        <w:gridCol w:w="2344"/>
      </w:tblGrid>
      <w:tr w:rsidR="002A0E4D" w14:paraId="762481B1" w14:textId="77777777" w:rsidTr="00D03A4E">
        <w:trPr>
          <w:trHeight w:val="263"/>
          <w:jc w:val="center"/>
        </w:trPr>
        <w:tc>
          <w:tcPr>
            <w:tcW w:w="2344" w:type="dxa"/>
            <w:shd w:val="clear" w:color="auto" w:fill="1F4E79"/>
            <w:vAlign w:val="center"/>
          </w:tcPr>
          <w:p w14:paraId="54008907" w14:textId="77777777" w:rsidR="002A0E4D" w:rsidRDefault="004D33C7">
            <w:r>
              <w:rPr>
                <w:b/>
                <w:bCs/>
                <w:color w:val="FFFFFF"/>
                <w:sz w:val="18"/>
                <w:szCs w:val="18"/>
              </w:rPr>
              <w:t>Area of practice</w:t>
            </w:r>
          </w:p>
        </w:tc>
        <w:tc>
          <w:tcPr>
            <w:tcW w:w="2344" w:type="dxa"/>
            <w:shd w:val="clear" w:color="auto" w:fill="1F4E79"/>
            <w:vAlign w:val="center"/>
          </w:tcPr>
          <w:p w14:paraId="3395B041" w14:textId="77777777" w:rsidR="002A0E4D" w:rsidRDefault="004D33C7">
            <w:r>
              <w:rPr>
                <w:b/>
                <w:bCs/>
                <w:color w:val="FFFFFF"/>
                <w:sz w:val="18"/>
                <w:szCs w:val="18"/>
              </w:rPr>
              <w:t>Link to SDG 3</w:t>
            </w:r>
          </w:p>
        </w:tc>
        <w:tc>
          <w:tcPr>
            <w:tcW w:w="2344" w:type="dxa"/>
            <w:shd w:val="clear" w:color="auto" w:fill="1F4E79"/>
            <w:vAlign w:val="center"/>
          </w:tcPr>
          <w:p w14:paraId="109777DF" w14:textId="77777777" w:rsidR="002A0E4D" w:rsidRDefault="004D33C7">
            <w:r>
              <w:rPr>
                <w:b/>
                <w:bCs/>
                <w:color w:val="FFFFFF"/>
                <w:sz w:val="18"/>
                <w:szCs w:val="18"/>
              </w:rPr>
              <w:t>Link to SDG 10</w:t>
            </w:r>
          </w:p>
        </w:tc>
        <w:tc>
          <w:tcPr>
            <w:tcW w:w="2344" w:type="dxa"/>
            <w:shd w:val="clear" w:color="auto" w:fill="1F4E79"/>
            <w:vAlign w:val="center"/>
          </w:tcPr>
          <w:p w14:paraId="1DDE59B7" w14:textId="77777777" w:rsidR="002A0E4D" w:rsidRDefault="004D33C7">
            <w:r>
              <w:rPr>
                <w:b/>
                <w:bCs/>
                <w:color w:val="FFFFFF"/>
                <w:sz w:val="18"/>
                <w:szCs w:val="18"/>
              </w:rPr>
              <w:t>Critical issue</w:t>
            </w:r>
          </w:p>
        </w:tc>
      </w:tr>
      <w:tr w:rsidR="002A0E4D" w14:paraId="38B4FFCF" w14:textId="77777777" w:rsidTr="00D03A4E">
        <w:trPr>
          <w:trHeight w:val="1029"/>
          <w:jc w:val="center"/>
        </w:trPr>
        <w:tc>
          <w:tcPr>
            <w:tcW w:w="2344" w:type="dxa"/>
            <w:shd w:val="clear" w:color="auto" w:fill="F2F6FA"/>
            <w:vAlign w:val="center"/>
          </w:tcPr>
          <w:p w14:paraId="719056B0" w14:textId="77777777" w:rsidR="002A0E4D" w:rsidRDefault="004D33C7">
            <w:r>
              <w:rPr>
                <w:sz w:val="18"/>
                <w:szCs w:val="18"/>
              </w:rPr>
              <w:t>Diabetes prevention</w:t>
            </w:r>
          </w:p>
        </w:tc>
        <w:tc>
          <w:tcPr>
            <w:tcW w:w="2344" w:type="dxa"/>
            <w:shd w:val="clear" w:color="auto" w:fill="F2F6FA"/>
            <w:vAlign w:val="center"/>
          </w:tcPr>
          <w:p w14:paraId="495A93A6" w14:textId="77777777" w:rsidR="002A0E4D" w:rsidRDefault="004D33C7">
            <w:r>
              <w:rPr>
                <w:sz w:val="18"/>
                <w:szCs w:val="18"/>
              </w:rPr>
              <w:t>Reduces long-term illness and complications</w:t>
            </w:r>
          </w:p>
        </w:tc>
        <w:tc>
          <w:tcPr>
            <w:tcW w:w="2344" w:type="dxa"/>
            <w:shd w:val="clear" w:color="auto" w:fill="F2F6FA"/>
            <w:vAlign w:val="center"/>
          </w:tcPr>
          <w:p w14:paraId="32DF2EEF" w14:textId="77777777" w:rsidR="002A0E4D" w:rsidRDefault="004D33C7">
            <w:r>
              <w:rPr>
                <w:sz w:val="18"/>
                <w:szCs w:val="18"/>
              </w:rPr>
              <w:t>Must reach deprived and high-risk groups</w:t>
            </w:r>
          </w:p>
        </w:tc>
        <w:tc>
          <w:tcPr>
            <w:tcW w:w="2344" w:type="dxa"/>
            <w:shd w:val="clear" w:color="auto" w:fill="F2F6FA"/>
            <w:vAlign w:val="center"/>
          </w:tcPr>
          <w:p w14:paraId="37184251" w14:textId="77777777" w:rsidR="002A0E4D" w:rsidRDefault="004D33C7">
            <w:proofErr w:type="spellStart"/>
            <w:r>
              <w:rPr>
                <w:sz w:val="18"/>
                <w:szCs w:val="18"/>
              </w:rPr>
              <w:t>Behaviour</w:t>
            </w:r>
            <w:proofErr w:type="spellEnd"/>
            <w:r>
              <w:rPr>
                <w:sz w:val="18"/>
                <w:szCs w:val="18"/>
              </w:rPr>
              <w:t xml:space="preserve"> change is difficult without addressing poverty and food environments</w:t>
            </w:r>
          </w:p>
        </w:tc>
      </w:tr>
      <w:tr w:rsidR="002A0E4D" w14:paraId="543C9A4B" w14:textId="77777777" w:rsidTr="00D03A4E">
        <w:trPr>
          <w:trHeight w:val="790"/>
          <w:jc w:val="center"/>
        </w:trPr>
        <w:tc>
          <w:tcPr>
            <w:tcW w:w="2344" w:type="dxa"/>
            <w:vAlign w:val="center"/>
          </w:tcPr>
          <w:p w14:paraId="12C66EA3" w14:textId="77777777" w:rsidR="002A0E4D" w:rsidRDefault="004D33C7">
            <w:r>
              <w:rPr>
                <w:sz w:val="18"/>
                <w:szCs w:val="18"/>
              </w:rPr>
              <w:t>Mental health support</w:t>
            </w:r>
          </w:p>
        </w:tc>
        <w:tc>
          <w:tcPr>
            <w:tcW w:w="2344" w:type="dxa"/>
            <w:vAlign w:val="center"/>
          </w:tcPr>
          <w:p w14:paraId="618F0CCC" w14:textId="77777777" w:rsidR="002A0E4D" w:rsidRDefault="004D33C7">
            <w:r>
              <w:rPr>
                <w:sz w:val="18"/>
                <w:szCs w:val="18"/>
              </w:rPr>
              <w:t>Promotes wellbeing and reduces crisis demand</w:t>
            </w:r>
          </w:p>
        </w:tc>
        <w:tc>
          <w:tcPr>
            <w:tcW w:w="2344" w:type="dxa"/>
            <w:vAlign w:val="center"/>
          </w:tcPr>
          <w:p w14:paraId="47EAE70B" w14:textId="77777777" w:rsidR="002A0E4D" w:rsidRDefault="004D33C7">
            <w:r>
              <w:rPr>
                <w:sz w:val="18"/>
                <w:szCs w:val="18"/>
              </w:rPr>
              <w:t>Access varies by age, ethnicity, income and location</w:t>
            </w:r>
          </w:p>
        </w:tc>
        <w:tc>
          <w:tcPr>
            <w:tcW w:w="2344" w:type="dxa"/>
            <w:vAlign w:val="center"/>
          </w:tcPr>
          <w:p w14:paraId="19AE7148" w14:textId="77777777" w:rsidR="002A0E4D" w:rsidRDefault="004D33C7">
            <w:r>
              <w:rPr>
                <w:sz w:val="18"/>
                <w:szCs w:val="18"/>
              </w:rPr>
              <w:t>Demand often exceeds service capacity</w:t>
            </w:r>
          </w:p>
        </w:tc>
      </w:tr>
      <w:tr w:rsidR="002A0E4D" w14:paraId="46CFE46D" w14:textId="77777777" w:rsidTr="00D03A4E">
        <w:trPr>
          <w:trHeight w:val="778"/>
          <w:jc w:val="center"/>
        </w:trPr>
        <w:tc>
          <w:tcPr>
            <w:tcW w:w="2344" w:type="dxa"/>
            <w:shd w:val="clear" w:color="auto" w:fill="F2F6FA"/>
            <w:vAlign w:val="center"/>
          </w:tcPr>
          <w:p w14:paraId="33F7FF7F" w14:textId="77777777" w:rsidR="002A0E4D" w:rsidRDefault="004D33C7">
            <w:r>
              <w:rPr>
                <w:sz w:val="18"/>
                <w:szCs w:val="18"/>
              </w:rPr>
              <w:t>Digital healthcare</w:t>
            </w:r>
          </w:p>
        </w:tc>
        <w:tc>
          <w:tcPr>
            <w:tcW w:w="2344" w:type="dxa"/>
            <w:shd w:val="clear" w:color="auto" w:fill="F2F6FA"/>
            <w:vAlign w:val="center"/>
          </w:tcPr>
          <w:p w14:paraId="4C117338" w14:textId="77777777" w:rsidR="002A0E4D" w:rsidRDefault="004D33C7">
            <w:r>
              <w:rPr>
                <w:sz w:val="18"/>
                <w:szCs w:val="18"/>
              </w:rPr>
              <w:t>Can improve convenience and efficiency</w:t>
            </w:r>
          </w:p>
        </w:tc>
        <w:tc>
          <w:tcPr>
            <w:tcW w:w="2344" w:type="dxa"/>
            <w:shd w:val="clear" w:color="auto" w:fill="F2F6FA"/>
            <w:vAlign w:val="center"/>
          </w:tcPr>
          <w:p w14:paraId="547DFB24" w14:textId="77777777" w:rsidR="002A0E4D" w:rsidRDefault="004D33C7">
            <w:r>
              <w:rPr>
                <w:sz w:val="18"/>
                <w:szCs w:val="18"/>
              </w:rPr>
              <w:t>Can exclude people without access, skil</w:t>
            </w:r>
            <w:r>
              <w:rPr>
                <w:sz w:val="18"/>
                <w:szCs w:val="18"/>
              </w:rPr>
              <w:t>ls or confidence</w:t>
            </w:r>
          </w:p>
        </w:tc>
        <w:tc>
          <w:tcPr>
            <w:tcW w:w="2344" w:type="dxa"/>
            <w:shd w:val="clear" w:color="auto" w:fill="F2F6FA"/>
            <w:vAlign w:val="center"/>
          </w:tcPr>
          <w:p w14:paraId="00187F14" w14:textId="77777777" w:rsidR="002A0E4D" w:rsidRDefault="004D33C7">
            <w:r>
              <w:rPr>
                <w:sz w:val="18"/>
                <w:szCs w:val="18"/>
              </w:rPr>
              <w:t>Digital-first systems need non-digital alternatives</w:t>
            </w:r>
          </w:p>
        </w:tc>
      </w:tr>
      <w:tr w:rsidR="002A0E4D" w14:paraId="58725C36" w14:textId="77777777" w:rsidTr="00D03A4E">
        <w:trPr>
          <w:trHeight w:val="514"/>
          <w:jc w:val="center"/>
        </w:trPr>
        <w:tc>
          <w:tcPr>
            <w:tcW w:w="2344" w:type="dxa"/>
            <w:vAlign w:val="center"/>
          </w:tcPr>
          <w:p w14:paraId="307B125A" w14:textId="77777777" w:rsidR="002A0E4D" w:rsidRDefault="004D33C7">
            <w:r>
              <w:rPr>
                <w:sz w:val="18"/>
                <w:szCs w:val="18"/>
              </w:rPr>
              <w:t>Core20PLUS5</w:t>
            </w:r>
          </w:p>
        </w:tc>
        <w:tc>
          <w:tcPr>
            <w:tcW w:w="2344" w:type="dxa"/>
            <w:vAlign w:val="center"/>
          </w:tcPr>
          <w:p w14:paraId="7C7BC542" w14:textId="77777777" w:rsidR="002A0E4D" w:rsidRDefault="004D33C7">
            <w:r>
              <w:rPr>
                <w:sz w:val="18"/>
                <w:szCs w:val="18"/>
              </w:rPr>
              <w:t>Targets priority clinical areas</w:t>
            </w:r>
          </w:p>
        </w:tc>
        <w:tc>
          <w:tcPr>
            <w:tcW w:w="2344" w:type="dxa"/>
            <w:vAlign w:val="center"/>
          </w:tcPr>
          <w:p w14:paraId="334B6884" w14:textId="77777777" w:rsidR="002A0E4D" w:rsidRDefault="004D33C7">
            <w:r>
              <w:rPr>
                <w:sz w:val="18"/>
                <w:szCs w:val="18"/>
              </w:rPr>
              <w:t>Focuses on deprived and inclusion groups</w:t>
            </w:r>
          </w:p>
        </w:tc>
        <w:tc>
          <w:tcPr>
            <w:tcW w:w="2344" w:type="dxa"/>
            <w:vAlign w:val="center"/>
          </w:tcPr>
          <w:p w14:paraId="6EF56D63" w14:textId="77777777" w:rsidR="002A0E4D" w:rsidRDefault="004D33C7">
            <w:r>
              <w:rPr>
                <w:sz w:val="18"/>
                <w:szCs w:val="18"/>
              </w:rPr>
              <w:t>Success depends on local resources and data quality</w:t>
            </w:r>
          </w:p>
        </w:tc>
      </w:tr>
      <w:tr w:rsidR="002A0E4D" w14:paraId="435C0339" w14:textId="77777777" w:rsidTr="00D03A4E">
        <w:trPr>
          <w:trHeight w:val="778"/>
          <w:jc w:val="center"/>
        </w:trPr>
        <w:tc>
          <w:tcPr>
            <w:tcW w:w="2344" w:type="dxa"/>
            <w:shd w:val="clear" w:color="auto" w:fill="F2F6FA"/>
            <w:vAlign w:val="center"/>
          </w:tcPr>
          <w:p w14:paraId="3648572A" w14:textId="77777777" w:rsidR="002A0E4D" w:rsidRDefault="004D33C7">
            <w:r>
              <w:rPr>
                <w:sz w:val="18"/>
                <w:szCs w:val="18"/>
              </w:rPr>
              <w:t>Social prescribing</w:t>
            </w:r>
          </w:p>
        </w:tc>
        <w:tc>
          <w:tcPr>
            <w:tcW w:w="2344" w:type="dxa"/>
            <w:shd w:val="clear" w:color="auto" w:fill="F2F6FA"/>
            <w:vAlign w:val="center"/>
          </w:tcPr>
          <w:p w14:paraId="1044AE0B" w14:textId="77777777" w:rsidR="002A0E4D" w:rsidRDefault="004D33C7">
            <w:r>
              <w:rPr>
                <w:sz w:val="18"/>
                <w:szCs w:val="18"/>
              </w:rPr>
              <w:t>Supports holistic wellbeing</w:t>
            </w:r>
          </w:p>
        </w:tc>
        <w:tc>
          <w:tcPr>
            <w:tcW w:w="2344" w:type="dxa"/>
            <w:shd w:val="clear" w:color="auto" w:fill="F2F6FA"/>
            <w:vAlign w:val="center"/>
          </w:tcPr>
          <w:p w14:paraId="35D58FEC" w14:textId="77777777" w:rsidR="002A0E4D" w:rsidRDefault="004D33C7">
            <w:r>
              <w:rPr>
                <w:sz w:val="18"/>
                <w:szCs w:val="18"/>
              </w:rPr>
              <w:t>Can connect isolated or disadvantaged people to support</w:t>
            </w:r>
          </w:p>
        </w:tc>
        <w:tc>
          <w:tcPr>
            <w:tcW w:w="2344" w:type="dxa"/>
            <w:shd w:val="clear" w:color="auto" w:fill="F2F6FA"/>
            <w:vAlign w:val="center"/>
          </w:tcPr>
          <w:p w14:paraId="5CFF25DA" w14:textId="77777777" w:rsidR="002A0E4D" w:rsidRDefault="004D33C7">
            <w:r>
              <w:rPr>
                <w:sz w:val="18"/>
                <w:szCs w:val="18"/>
              </w:rPr>
              <w:t>Requires sustainable voluntary sector funding</w:t>
            </w:r>
          </w:p>
        </w:tc>
      </w:tr>
    </w:tbl>
    <w:p w14:paraId="3BF4722E" w14:textId="77777777" w:rsidR="002A0E4D" w:rsidRDefault="004D33C7">
      <w:pPr>
        <w:pStyle w:val="Heading1"/>
      </w:pPr>
      <w:r>
        <w:lastRenderedPageBreak/>
        <w:t>Conclusion</w:t>
      </w:r>
    </w:p>
    <w:p w14:paraId="3EE07489" w14:textId="77777777" w:rsidR="00D03A4E" w:rsidRDefault="00D03A4E">
      <w:pPr>
        <w:pStyle w:val="Heading1"/>
        <w:rPr>
          <w:b w:val="0"/>
          <w:bCs w:val="0"/>
          <w:color w:val="auto"/>
          <w:sz w:val="22"/>
          <w:szCs w:val="22"/>
        </w:rPr>
      </w:pPr>
      <w:r w:rsidRPr="00D03A4E">
        <w:rPr>
          <w:b w:val="0"/>
          <w:bCs w:val="0"/>
          <w:color w:val="auto"/>
          <w:sz w:val="22"/>
          <w:szCs w:val="22"/>
        </w:rPr>
        <w:t xml:space="preserve">This report has highlighted the strong links between SDG 3 and SDG 10 in health and social care. SDG 3 aims to ensure healthy lives and wellbeing, which cannot be achieved without tackling inequalities highlighted in SDG 10. There is growing awareness in global, national and local policies of the importance of prevention, equity, sustainability and integrated working. Examples of progress towards more preventive and inclusive care include the NHS Long Term Plan and the diabetes prevention </w:t>
      </w:r>
      <w:proofErr w:type="spellStart"/>
      <w:r w:rsidRPr="00D03A4E">
        <w:rPr>
          <w:b w:val="0"/>
          <w:bCs w:val="0"/>
          <w:color w:val="auto"/>
          <w:sz w:val="22"/>
          <w:szCs w:val="22"/>
        </w:rPr>
        <w:t>programme</w:t>
      </w:r>
      <w:proofErr w:type="spellEnd"/>
      <w:r w:rsidRPr="00D03A4E">
        <w:rPr>
          <w:b w:val="0"/>
          <w:bCs w:val="0"/>
          <w:color w:val="auto"/>
          <w:sz w:val="22"/>
          <w:szCs w:val="22"/>
        </w:rPr>
        <w:t xml:space="preserve">, Core20PLUS5 and the digital inclusion framework. But the key to success is implementation. Shortages in the workforce, funding constraints, digital exclusion, and fragmented services and structural inequality can weaken policies. Health belief model, the social determinants of health framework, and Social cognitive theory suggest that health </w:t>
      </w:r>
      <w:proofErr w:type="spellStart"/>
      <w:r w:rsidRPr="00D03A4E">
        <w:rPr>
          <w:b w:val="0"/>
          <w:bCs w:val="0"/>
          <w:color w:val="auto"/>
          <w:sz w:val="22"/>
          <w:szCs w:val="22"/>
        </w:rPr>
        <w:t>behaviour</w:t>
      </w:r>
      <w:proofErr w:type="spellEnd"/>
      <w:r w:rsidRPr="00D03A4E">
        <w:rPr>
          <w:b w:val="0"/>
          <w:bCs w:val="0"/>
          <w:color w:val="auto"/>
          <w:sz w:val="22"/>
          <w:szCs w:val="22"/>
        </w:rPr>
        <w:t xml:space="preserve"> and service utilization is influenced by confidence, perceived risk, social support and general living conditions. The future of health and social care services must thus involve bringing together clinical care and public health, community engagement, inclusive design of digital services and action on poverty and discrimination. Improved services are not enough for sustainable improvement, it is also about having fairer conditions for health and wellbeing.</w:t>
      </w:r>
    </w:p>
    <w:p w14:paraId="79123576" w14:textId="0252D5CB" w:rsidR="002A0E4D" w:rsidRDefault="004D33C7">
      <w:pPr>
        <w:pStyle w:val="Heading1"/>
      </w:pPr>
      <w:r>
        <w:t>References</w:t>
      </w:r>
    </w:p>
    <w:p w14:paraId="4A99DBFD" w14:textId="77777777" w:rsidR="002A0E4D" w:rsidRDefault="004D33C7">
      <w:pPr>
        <w:spacing w:after="80"/>
        <w:ind w:left="425" w:hanging="425"/>
      </w:pPr>
      <w:proofErr w:type="spellStart"/>
      <w:r>
        <w:t>Alyafei</w:t>
      </w:r>
      <w:proofErr w:type="spellEnd"/>
      <w:r>
        <w:t>, A. and E</w:t>
      </w:r>
      <w:r>
        <w:t>aston-</w:t>
      </w:r>
      <w:proofErr w:type="spellStart"/>
      <w:r>
        <w:t>Carr</w:t>
      </w:r>
      <w:proofErr w:type="spellEnd"/>
      <w:r>
        <w:t xml:space="preserve">, R. (2024) 'The Health Belief Model of behavior change', </w:t>
      </w:r>
      <w:proofErr w:type="spellStart"/>
      <w:r>
        <w:t>StatPearls</w:t>
      </w:r>
      <w:proofErr w:type="spellEnd"/>
      <w:r>
        <w:t xml:space="preserve">. Treasure Island: </w:t>
      </w:r>
      <w:proofErr w:type="spellStart"/>
      <w:r>
        <w:t>StatPearls</w:t>
      </w:r>
      <w:proofErr w:type="spellEnd"/>
      <w:r>
        <w:t xml:space="preserve"> Publishing.</w:t>
      </w:r>
    </w:p>
    <w:p w14:paraId="0B9956F3" w14:textId="77777777" w:rsidR="002A0E4D" w:rsidRDefault="004D33C7">
      <w:pPr>
        <w:spacing w:after="80"/>
        <w:ind w:left="425" w:hanging="425"/>
      </w:pPr>
      <w:r>
        <w:t>Bandura, A. (2023) 'Social cognitive theory: an agentic perspective on human nature', Asian Journal of Social Psychology, 26(1), pp. 1-1</w:t>
      </w:r>
      <w:r>
        <w:t>6.</w:t>
      </w:r>
    </w:p>
    <w:p w14:paraId="14A95A2F" w14:textId="77777777" w:rsidR="002A0E4D" w:rsidRDefault="004D33C7">
      <w:pPr>
        <w:spacing w:after="80"/>
        <w:ind w:left="425" w:hanging="425"/>
      </w:pPr>
      <w:r>
        <w:t xml:space="preserve">Bower, P. et al. (2025) The effectiveness and cost-effectiveness of the NHS Diabetes Prevention </w:t>
      </w:r>
      <w:proofErr w:type="spellStart"/>
      <w:r>
        <w:t>Programme</w:t>
      </w:r>
      <w:proofErr w:type="spellEnd"/>
      <w:r>
        <w:t>. London: NIHR.</w:t>
      </w:r>
    </w:p>
    <w:p w14:paraId="3FF56F80" w14:textId="77777777" w:rsidR="002A0E4D" w:rsidRDefault="004D33C7">
      <w:pPr>
        <w:spacing w:after="80"/>
        <w:ind w:left="425" w:hanging="425"/>
      </w:pPr>
      <w:r>
        <w:t xml:space="preserve">Brunton, L. et al. (2023) 'A qualitative evaluation of the national rollout of a diabetes prevention </w:t>
      </w:r>
      <w:proofErr w:type="spellStart"/>
      <w:r>
        <w:t>programme</w:t>
      </w:r>
      <w:proofErr w:type="spellEnd"/>
      <w:r>
        <w:t xml:space="preserve"> in England', BMC Heal</w:t>
      </w:r>
      <w:r>
        <w:t>th Services Research, 23, pp. 1-13.</w:t>
      </w:r>
    </w:p>
    <w:p w14:paraId="45C364B4" w14:textId="77777777" w:rsidR="002A0E4D" w:rsidRDefault="004D33C7">
      <w:pPr>
        <w:spacing w:after="80"/>
        <w:ind w:left="425" w:hanging="425"/>
      </w:pPr>
      <w:r>
        <w:t xml:space="preserve">Card, A.J. (2023) 'The </w:t>
      </w:r>
      <w:proofErr w:type="spellStart"/>
      <w:r>
        <w:t>biopsychosociotechnical</w:t>
      </w:r>
      <w:proofErr w:type="spellEnd"/>
      <w:r>
        <w:t xml:space="preserve"> model: a systems-based approach to human-</w:t>
      </w:r>
      <w:proofErr w:type="spellStart"/>
      <w:r>
        <w:t>centred</w:t>
      </w:r>
      <w:proofErr w:type="spellEnd"/>
      <w:r>
        <w:t xml:space="preserve"> health improvement', Ergonomics, 66(4), pp. 1-12.</w:t>
      </w:r>
    </w:p>
    <w:p w14:paraId="73FB3A1C" w14:textId="77777777" w:rsidR="002A0E4D" w:rsidRDefault="004D33C7">
      <w:pPr>
        <w:spacing w:after="80"/>
        <w:ind w:left="425" w:hanging="425"/>
      </w:pPr>
      <w:proofErr w:type="spellStart"/>
      <w:r>
        <w:t>Cholley</w:t>
      </w:r>
      <w:proofErr w:type="spellEnd"/>
      <w:r>
        <w:t>-Gomez, M. et al. (2023) 'Effectiveness of multilevel interventions</w:t>
      </w:r>
      <w:r>
        <w:t xml:space="preserve"> based on the socio-ecological model', Frontiers in Public Health, 11, pp. 1-14.</w:t>
      </w:r>
    </w:p>
    <w:p w14:paraId="07F13385" w14:textId="77777777" w:rsidR="002A0E4D" w:rsidRDefault="004D33C7">
      <w:pPr>
        <w:spacing w:after="80"/>
        <w:ind w:left="425" w:hanging="425"/>
      </w:pPr>
      <w:r>
        <w:t>Department of Health and Social Care (2021) Integration and innovation: working together to improve health and social care for all. London: DHSC.</w:t>
      </w:r>
    </w:p>
    <w:p w14:paraId="4B5225CB" w14:textId="77777777" w:rsidR="002A0E4D" w:rsidRDefault="004D33C7">
      <w:pPr>
        <w:spacing w:after="80"/>
        <w:ind w:left="425" w:hanging="425"/>
      </w:pPr>
      <w:r>
        <w:lastRenderedPageBreak/>
        <w:t>Good Things Foundation (2024)</w:t>
      </w:r>
      <w:r>
        <w:t xml:space="preserve"> Mitigating risks of digital exclusion in health systems. London: Good Things Foundation.</w:t>
      </w:r>
    </w:p>
    <w:p w14:paraId="2980CA98" w14:textId="77777777" w:rsidR="002A0E4D" w:rsidRDefault="004D33C7">
      <w:pPr>
        <w:spacing w:after="80"/>
        <w:ind w:left="425" w:hanging="425"/>
      </w:pPr>
      <w:r>
        <w:t>Green, L. et al. (2021) 'Health in All Policies as a key driver for health and wellbeing in a post-COVID-19 world', International Journal of Environmental Research and Public Health, 18(18), pp. 1-13.</w:t>
      </w:r>
    </w:p>
    <w:p w14:paraId="4CE8E7A2" w14:textId="77777777" w:rsidR="002A0E4D" w:rsidRDefault="004D33C7">
      <w:pPr>
        <w:spacing w:after="80"/>
        <w:ind w:left="425" w:hanging="425"/>
      </w:pPr>
      <w:r>
        <w:t>Health Foundation (2024) Health inequalities in England</w:t>
      </w:r>
      <w:r>
        <w:t>. London: Health Foundation.</w:t>
      </w:r>
    </w:p>
    <w:p w14:paraId="1E0B1775" w14:textId="77777777" w:rsidR="002A0E4D" w:rsidRDefault="004D33C7">
      <w:pPr>
        <w:spacing w:after="80"/>
        <w:ind w:left="425" w:hanging="425"/>
      </w:pPr>
      <w:r>
        <w:t>Institute of Health Equity (2020) Health equity in England: The Marmot Review 10 years on. London: Institute of Health Equity.</w:t>
      </w:r>
    </w:p>
    <w:p w14:paraId="2A8FA2AC" w14:textId="77777777" w:rsidR="002A0E4D" w:rsidRDefault="004D33C7">
      <w:pPr>
        <w:spacing w:after="80"/>
        <w:ind w:left="425" w:hanging="425"/>
      </w:pPr>
      <w:r>
        <w:t>King's Fund (2025) What are health inequalities? London: King's Fund.</w:t>
      </w:r>
    </w:p>
    <w:p w14:paraId="636058AE" w14:textId="77777777" w:rsidR="002A0E4D" w:rsidRDefault="004D33C7">
      <w:pPr>
        <w:spacing w:after="80"/>
        <w:ind w:left="425" w:hanging="425"/>
      </w:pPr>
      <w:r>
        <w:t>Marmot, M. (2020) 'Health equi</w:t>
      </w:r>
      <w:r>
        <w:t>ty in England: The Marmot Review 10 years on', BMJ, 368, m693.</w:t>
      </w:r>
    </w:p>
    <w:p w14:paraId="0236EDE5" w14:textId="77777777" w:rsidR="002A0E4D" w:rsidRDefault="004D33C7">
      <w:pPr>
        <w:spacing w:after="80"/>
        <w:ind w:left="425" w:hanging="425"/>
      </w:pPr>
      <w:r>
        <w:t xml:space="preserve">NHS Digital (2025) National Diabetes Audit: Non-Diabetic </w:t>
      </w:r>
      <w:proofErr w:type="spellStart"/>
      <w:r>
        <w:t>Hyperglycaemia</w:t>
      </w:r>
      <w:proofErr w:type="spellEnd"/>
      <w:r>
        <w:t xml:space="preserve"> and Diabetes Prevention </w:t>
      </w:r>
      <w:proofErr w:type="spellStart"/>
      <w:r>
        <w:t>Programme</w:t>
      </w:r>
      <w:proofErr w:type="spellEnd"/>
      <w:r>
        <w:t>. Leeds: NHS Digital.</w:t>
      </w:r>
    </w:p>
    <w:p w14:paraId="10512623" w14:textId="77777777" w:rsidR="002A0E4D" w:rsidRDefault="004D33C7">
      <w:pPr>
        <w:spacing w:after="80"/>
        <w:ind w:left="425" w:hanging="425"/>
      </w:pPr>
      <w:r>
        <w:t>NHS England (2023) The NHS Long Term Plan: progress and priorities</w:t>
      </w:r>
      <w:r>
        <w:t>. London: NHS England.</w:t>
      </w:r>
    </w:p>
    <w:p w14:paraId="1430CC2F" w14:textId="77777777" w:rsidR="002A0E4D" w:rsidRDefault="004D33C7">
      <w:pPr>
        <w:spacing w:after="80"/>
        <w:ind w:left="425" w:hanging="425"/>
      </w:pPr>
      <w:r>
        <w:t>NHS England (2023a) Inclusive digital healthcare: a framework for NHS action on digital inclusion. London: NHS England.</w:t>
      </w:r>
    </w:p>
    <w:p w14:paraId="2F15EBC9" w14:textId="77777777" w:rsidR="002A0E4D" w:rsidRDefault="004D33C7">
      <w:pPr>
        <w:spacing w:after="80"/>
        <w:ind w:left="425" w:hanging="425"/>
      </w:pPr>
      <w:r>
        <w:t>NHS England (2024a) Mental health services monthly statistics. London: NHS England.</w:t>
      </w:r>
    </w:p>
    <w:p w14:paraId="77034726" w14:textId="77777777" w:rsidR="002A0E4D" w:rsidRDefault="004D33C7">
      <w:pPr>
        <w:spacing w:after="80"/>
        <w:ind w:left="425" w:hanging="425"/>
      </w:pPr>
      <w:r>
        <w:t>NHS England (2024b) Core20PLU</w:t>
      </w:r>
      <w:r>
        <w:t>S5: an approach to reducing healthcare inequalities. London: NHS England.</w:t>
      </w:r>
    </w:p>
    <w:p w14:paraId="53CD616F" w14:textId="77777777" w:rsidR="002A0E4D" w:rsidRDefault="004D33C7">
      <w:pPr>
        <w:spacing w:after="80"/>
        <w:ind w:left="425" w:hanging="425"/>
      </w:pPr>
      <w:r>
        <w:t>NHS England (2024c) Our approach to reducing healthcare inequalities. London: NHS England.</w:t>
      </w:r>
    </w:p>
    <w:p w14:paraId="091FB712" w14:textId="77777777" w:rsidR="002A0E4D" w:rsidRDefault="004D33C7">
      <w:pPr>
        <w:spacing w:after="80"/>
        <w:ind w:left="425" w:hanging="425"/>
      </w:pPr>
      <w:r>
        <w:t xml:space="preserve">NHS Race and Health Observatory (2021) Ethnic health inequalities and the NHS. London: NHS </w:t>
      </w:r>
      <w:r>
        <w:t>Race and Health Observatory.</w:t>
      </w:r>
    </w:p>
    <w:p w14:paraId="20BED58E" w14:textId="77777777" w:rsidR="002A0E4D" w:rsidRDefault="004D33C7">
      <w:pPr>
        <w:spacing w:after="80"/>
        <w:ind w:left="425" w:hanging="425"/>
      </w:pPr>
      <w:r>
        <w:t>Office for Health Improvement and Disparities (2021) Health Profile for England 2021. London: OHID.</w:t>
      </w:r>
    </w:p>
    <w:p w14:paraId="54135BE9" w14:textId="77777777" w:rsidR="002A0E4D" w:rsidRDefault="004D33C7">
      <w:pPr>
        <w:spacing w:after="80"/>
        <w:ind w:left="425" w:hanging="425"/>
      </w:pPr>
      <w:r>
        <w:t>Office for Health Improvement and Disparities (2025) Local Authority Health Profiles. London: OHID.</w:t>
      </w:r>
    </w:p>
    <w:p w14:paraId="05B9E3BF" w14:textId="77777777" w:rsidR="002A0E4D" w:rsidRDefault="004D33C7">
      <w:pPr>
        <w:spacing w:after="80"/>
        <w:ind w:left="425" w:hanging="425"/>
      </w:pPr>
      <w:proofErr w:type="spellStart"/>
      <w:r>
        <w:t>Palla</w:t>
      </w:r>
      <w:proofErr w:type="spellEnd"/>
      <w:r>
        <w:t>, S. et al. (2025) 'Ev</w:t>
      </w:r>
      <w:r>
        <w:t>aluation of the biopsychosocial model of health', Journal of Health Psychology, 30(2), pp. 1-12.</w:t>
      </w:r>
    </w:p>
    <w:p w14:paraId="4762D1A8" w14:textId="77777777" w:rsidR="002A0E4D" w:rsidRDefault="004D33C7">
      <w:pPr>
        <w:spacing w:after="80"/>
        <w:ind w:left="425" w:hanging="425"/>
      </w:pPr>
      <w:r>
        <w:t>Public Health England (2020) Disparities in the risk and outcomes of COVID-19. London: PHE.</w:t>
      </w:r>
    </w:p>
    <w:p w14:paraId="3511E782" w14:textId="77777777" w:rsidR="002A0E4D" w:rsidRDefault="004D33C7">
      <w:pPr>
        <w:spacing w:after="80"/>
        <w:ind w:left="425" w:hanging="425"/>
      </w:pPr>
      <w:r>
        <w:t>Robertson, R. et al. (2021) Ethnic health inequalities and the NHS.</w:t>
      </w:r>
      <w:r>
        <w:t xml:space="preserve"> London: NHS Race and Health Observatory.</w:t>
      </w:r>
    </w:p>
    <w:p w14:paraId="0AEB3907" w14:textId="77777777" w:rsidR="002A0E4D" w:rsidRDefault="004D33C7">
      <w:pPr>
        <w:spacing w:after="80"/>
        <w:ind w:left="425" w:hanging="425"/>
      </w:pPr>
      <w:r>
        <w:lastRenderedPageBreak/>
        <w:t>United Nations (2024) Sustainable Development Goal 3: Good health and wellbeing. New York: United Nations.</w:t>
      </w:r>
    </w:p>
    <w:p w14:paraId="7CF76A00" w14:textId="77777777" w:rsidR="002A0E4D" w:rsidRDefault="004D33C7">
      <w:pPr>
        <w:spacing w:after="80"/>
        <w:ind w:left="425" w:hanging="425"/>
      </w:pPr>
      <w:r>
        <w:t>United Nations (2024a) Sustainable Development Goal 10: Reduced inequalities. New York: United Nations.</w:t>
      </w:r>
    </w:p>
    <w:p w14:paraId="3AAA8580" w14:textId="77777777" w:rsidR="002A0E4D" w:rsidRDefault="004D33C7">
      <w:pPr>
        <w:spacing w:after="80"/>
        <w:ind w:left="425" w:hanging="425"/>
      </w:pPr>
      <w:r>
        <w:t>University Hospitals Coventry and Warwickshire NHS Trust (2023) Green Plan 2023-2026. Coventry: UHCW NHS Trust.</w:t>
      </w:r>
    </w:p>
    <w:p w14:paraId="3AD050F3" w14:textId="77777777" w:rsidR="002A0E4D" w:rsidRDefault="004D33C7">
      <w:pPr>
        <w:spacing w:after="80"/>
        <w:ind w:left="425" w:hanging="425"/>
      </w:pPr>
      <w:r>
        <w:t>WHO (2023) Universal health coverage. Ge</w:t>
      </w:r>
      <w:r>
        <w:t>neva: World Health Organization.</w:t>
      </w:r>
    </w:p>
    <w:p w14:paraId="64BE3EC3" w14:textId="77777777" w:rsidR="002A0E4D" w:rsidRDefault="004D33C7">
      <w:pPr>
        <w:spacing w:after="80"/>
        <w:ind w:left="425" w:hanging="425"/>
      </w:pPr>
      <w:r>
        <w:t>WHO (2023a) Social determinants of health. Geneva: World Health Organization.</w:t>
      </w:r>
    </w:p>
    <w:p w14:paraId="717A996D" w14:textId="77777777" w:rsidR="002A0E4D" w:rsidRDefault="004D33C7">
      <w:pPr>
        <w:spacing w:after="80"/>
        <w:ind w:left="425" w:hanging="425"/>
      </w:pPr>
      <w:r>
        <w:t>WHO (2024) World health statistics 2024. Geneva: World Health Organization.</w:t>
      </w:r>
    </w:p>
    <w:p w14:paraId="075CDB98" w14:textId="77777777" w:rsidR="002A0E4D" w:rsidRDefault="004D33C7">
      <w:pPr>
        <w:spacing w:after="80"/>
        <w:ind w:left="425" w:hanging="425"/>
      </w:pPr>
      <w:r>
        <w:t>WHO (2025) Health in All Policies and health for wellbeing. Geneva: W</w:t>
      </w:r>
      <w:r>
        <w:t>orld Health Organization.</w:t>
      </w:r>
    </w:p>
    <w:p w14:paraId="10610667" w14:textId="77777777" w:rsidR="002A0E4D" w:rsidRDefault="004D33C7">
      <w:pPr>
        <w:spacing w:after="80"/>
        <w:ind w:left="425" w:hanging="425"/>
      </w:pPr>
      <w:proofErr w:type="spellStart"/>
      <w:r>
        <w:t>Yolene</w:t>
      </w:r>
      <w:proofErr w:type="spellEnd"/>
      <w:r>
        <w:t>, G. et al. (2024) 'Socio-ecological model and diffusion of innovation approaches for digital health', Digital Health, 10, pp. 1-11.</w:t>
      </w:r>
    </w:p>
    <w:sectPr w:rsidR="002A0E4D">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7F1F4" w14:textId="77777777" w:rsidR="004D33C7" w:rsidRDefault="004D33C7">
      <w:pPr>
        <w:spacing w:after="0" w:line="240" w:lineRule="auto"/>
      </w:pPr>
      <w:r>
        <w:separator/>
      </w:r>
    </w:p>
  </w:endnote>
  <w:endnote w:type="continuationSeparator" w:id="0">
    <w:p w14:paraId="421D852F" w14:textId="77777777" w:rsidR="004D33C7" w:rsidRDefault="004D3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215DD0D-D207-4984-B980-FB72A043BD9D}"/>
    <w:embedBold r:id="rId2" w:fontKey="{3E294509-2228-4F76-879B-1883B9DB9547}"/>
    <w:embedItalic r:id="rId3" w:fontKey="{CA848B4A-D995-4B57-A4FD-39A5F9B45FA8}"/>
    <w:embedBoldItalic r:id="rId4" w:fontKey="{81BD8860-43B2-4810-8192-B6F511BFB6CA}"/>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685A6D7A-BDF4-4733-BAAA-C696B048DAE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55BD3" w14:textId="77777777" w:rsidR="002A0E4D" w:rsidRDefault="004D33C7">
    <w:pPr>
      <w:pBdr>
        <w:top w:val="nil"/>
        <w:left w:val="nil"/>
        <w:bottom w:val="nil"/>
        <w:right w:val="nil"/>
        <w:between w:val="nil"/>
      </w:pBdr>
      <w:tabs>
        <w:tab w:val="center" w:pos="4680"/>
        <w:tab w:val="right" w:pos="9360"/>
      </w:tabs>
      <w:spacing w:after="0" w:line="240" w:lineRule="auto"/>
      <w:jc w:val="center"/>
      <w:rPr>
        <w:color w:val="000000"/>
      </w:rPr>
    </w:pPr>
    <w:r>
      <w:rPr>
        <w:color w:val="000000"/>
        <w:sz w:val="20"/>
        <w:szCs w:val="20"/>
      </w:rPr>
      <w:t xml:space="preserve">Page </w:t>
    </w:r>
    <w:r>
      <w:rPr>
        <w:color w:val="000000"/>
      </w:rPr>
      <w:fldChar w:fldCharType="begin"/>
    </w:r>
    <w:r>
      <w:rPr>
        <w:color w:val="000000"/>
      </w:rPr>
      <w:instrText>PAGE</w:instrText>
    </w:r>
    <w:r>
      <w:rPr>
        <w:color w:val="000000"/>
      </w:rPr>
      <w:fldChar w:fldCharType="separate"/>
    </w:r>
    <w:r w:rsidR="00D03A4E">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4053A" w14:textId="77777777" w:rsidR="004D33C7" w:rsidRDefault="004D33C7">
      <w:pPr>
        <w:spacing w:after="0" w:line="240" w:lineRule="auto"/>
      </w:pPr>
      <w:r>
        <w:separator/>
      </w:r>
    </w:p>
  </w:footnote>
  <w:footnote w:type="continuationSeparator" w:id="0">
    <w:p w14:paraId="3939DDF1" w14:textId="77777777" w:rsidR="004D33C7" w:rsidRDefault="004D33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0E4D"/>
    <w:rsid w:val="002A0E4D"/>
    <w:rsid w:val="004D33C7"/>
    <w:rsid w:val="00D03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8CAFB"/>
  <w15:docId w15:val="{9CD7230A-CD08-4D24-BE69-890EAEACB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bCs/>
      <w:color w:val="1F4E79"/>
      <w:sz w:val="28"/>
      <w:szCs w:val="28"/>
    </w:rPr>
  </w:style>
  <w:style w:type="paragraph" w:styleId="Heading2">
    <w:name w:val="heading 2"/>
    <w:basedOn w:val="Normal"/>
    <w:next w:val="Normal"/>
    <w:uiPriority w:val="9"/>
    <w:semiHidden/>
    <w:unhideWhenUsed/>
    <w:qFormat/>
    <w:pPr>
      <w:keepNext/>
      <w:keepLines/>
      <w:spacing w:before="200" w:after="0"/>
      <w:outlineLvl w:val="1"/>
    </w:pPr>
    <w:rPr>
      <w:b/>
      <w:bCs/>
      <w:color w:val="1F4E79"/>
      <w:sz w:val="24"/>
      <w:szCs w:val="24"/>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b/>
      <w:bCs/>
      <w:color w:val="1F4E79"/>
      <w:sz w:val="36"/>
      <w:szCs w:val="36"/>
    </w:rPr>
  </w:style>
  <w:style w:type="paragraph" w:styleId="Subtitle">
    <w:name w:val="Subtitle"/>
    <w:basedOn w:val="Normal"/>
    <w:next w:val="Normal"/>
    <w:uiPriority w:val="11"/>
    <w:qFormat/>
    <w:rPr>
      <w:rFonts w:ascii="Calibri" w:eastAsia="Calibri" w:hAnsi="Calibri" w:cs="Calibri"/>
      <w:i/>
      <w:iCs/>
      <w:color w:val="4F81BD"/>
      <w:sz w:val="24"/>
      <w:szCs w:val="24"/>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L+S0u9W5YrycIai0lR4Wne7JxA==">CgMxLjA4AHIhMURGTDdMNVltXzhNLWFOU1V0TXB2X1N5ZF9wZm9jRllB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3080</Words>
  <Characters>17556</Characters>
  <Application>Microsoft Office Word</Application>
  <DocSecurity>0</DocSecurity>
  <Lines>146</Lines>
  <Paragraphs>41</Paragraphs>
  <ScaleCrop>false</ScaleCrop>
  <Company/>
  <LinksUpToDate>false</LinksUpToDate>
  <CharactersWithSpaces>20595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ABIGAIL CALPITO</cp:lastModifiedBy>
  <cp:revision>2</cp:revision>
  <dcterms:created xsi:type="dcterms:W3CDTF">2026-06-24T10:18:00Z</dcterms:created>
  <dcterms:modified xsi:type="dcterms:W3CDTF">2026-06-24T10:18:00Z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cd7c06b0-a428-42f2-a45b-7c31b3d24a75</vt:lpwstr>
  </property>
</Properties>
</file>