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9CA221" wp14:paraId="094E2E0B" wp14:textId="7091B94A">
      <w:pPr>
        <w:pStyle w:val="Normal"/>
        <w:rPr>
          <w:noProof w:val="0"/>
          <w:lang w:val="en-US"/>
        </w:rPr>
      </w:pPr>
      <w:r w:rsidRPr="2A86E2EE" w:rsidR="55F0D698">
        <w:rPr>
          <w:rFonts w:ascii="Arial" w:hAnsi="Arial" w:eastAsia="Arial" w:cs="Arial"/>
          <w:b w:val="1"/>
          <w:bCs w:val="1"/>
          <w:noProof w:val="0"/>
          <w:sz w:val="22"/>
          <w:szCs w:val="22"/>
          <w:lang w:val="en-US"/>
        </w:rPr>
        <w:t>Cristian Calin- 2410078                                                                                     Date-</w:t>
      </w:r>
      <w:r w:rsidRPr="2A86E2EE" w:rsidR="50950DAE">
        <w:rPr>
          <w:rFonts w:ascii="Arial" w:hAnsi="Arial" w:eastAsia="Arial" w:cs="Arial"/>
          <w:b w:val="1"/>
          <w:bCs w:val="1"/>
          <w:noProof w:val="0"/>
          <w:sz w:val="22"/>
          <w:szCs w:val="22"/>
          <w:lang w:val="en-US"/>
        </w:rPr>
        <w:t>15/07/2026</w:t>
      </w:r>
      <w:r w:rsidRPr="2A86E2EE" w:rsidR="55F0D698">
        <w:rPr>
          <w:rFonts w:ascii="Arial" w:hAnsi="Arial" w:eastAsia="Arial" w:cs="Arial"/>
          <w:b w:val="1"/>
          <w:bCs w:val="1"/>
          <w:noProof w:val="0"/>
          <w:sz w:val="22"/>
          <w:szCs w:val="22"/>
          <w:lang w:val="en-US"/>
        </w:rPr>
        <w:t xml:space="preserve"> </w:t>
      </w:r>
      <w:r w:rsidRPr="2A86E2EE" w:rsidR="55F0D698">
        <w:rPr>
          <w:rFonts w:ascii="Arial" w:hAnsi="Arial" w:eastAsia="Arial" w:cs="Arial"/>
          <w:b w:val="1"/>
          <w:bCs w:val="1"/>
          <w:noProof w:val="0"/>
          <w:sz w:val="22"/>
          <w:szCs w:val="22"/>
          <w:lang w:val="en-US"/>
        </w:rPr>
        <w:t>Lecturer- Dr Chinomso Nwagboso</w:t>
      </w:r>
    </w:p>
    <w:p xmlns:wp14="http://schemas.microsoft.com/office/word/2010/wordml" w:rsidP="6B9CA221" wp14:paraId="3D581B2D" wp14:textId="4793903F">
      <w:pPr>
        <w:pStyle w:val="Normal"/>
        <w:rPr>
          <w:rFonts w:ascii="Arial" w:hAnsi="Arial" w:eastAsia="Arial" w:cs="Arial"/>
          <w:noProof w:val="0"/>
          <w:sz w:val="22"/>
          <w:szCs w:val="22"/>
          <w:lang w:val="en-US"/>
        </w:rPr>
      </w:pPr>
      <w:r w:rsidRPr="6B9CA221" w:rsidR="45E0E01B">
        <w:rPr>
          <w:rFonts w:ascii="Arial" w:hAnsi="Arial" w:eastAsia="Arial" w:cs="Arial"/>
          <w:b w:val="1"/>
          <w:bCs w:val="1"/>
          <w:noProof w:val="0"/>
          <w:color w:val="000000" w:themeColor="text1" w:themeTint="FF" w:themeShade="FF"/>
          <w:sz w:val="24"/>
          <w:szCs w:val="24"/>
          <w:lang w:val="en-US"/>
        </w:rPr>
        <w:t>Component 2-</w:t>
      </w:r>
      <w:r w:rsidRPr="6B9CA221" w:rsidR="45E0E01B">
        <w:rPr>
          <w:rFonts w:ascii="Arial" w:hAnsi="Arial" w:eastAsia="Arial" w:cs="Arial"/>
          <w:b w:val="1"/>
          <w:bCs w:val="1"/>
          <w:noProof w:val="0"/>
          <w:sz w:val="24"/>
          <w:szCs w:val="24"/>
          <w:lang w:val="en-US"/>
        </w:rPr>
        <w:t xml:space="preserve"> Individual report</w:t>
      </w:r>
      <w:r w:rsidRPr="6B9CA221" w:rsidR="45E0E01B">
        <w:rPr>
          <w:rFonts w:ascii="Arial" w:hAnsi="Arial" w:eastAsia="Arial" w:cs="Arial"/>
          <w:b w:val="1"/>
          <w:bCs w:val="1"/>
          <w:noProof w:val="0"/>
          <w:color w:val="000000" w:themeColor="text1" w:themeTint="FF" w:themeShade="FF"/>
          <w:sz w:val="22"/>
          <w:szCs w:val="22"/>
          <w:lang w:val="en-US"/>
        </w:rPr>
        <w:t>- Information Systems Improvements</w:t>
      </w:r>
    </w:p>
    <w:p xmlns:wp14="http://schemas.microsoft.com/office/word/2010/wordml" w:rsidP="6B9CA221" wp14:paraId="4F29C900" wp14:textId="7956B2A6">
      <w:pPr>
        <w:pStyle w:val="Normal"/>
        <w:rPr>
          <w:rFonts w:ascii="Arial" w:hAnsi="Arial" w:eastAsia="Arial" w:cs="Arial"/>
          <w:b w:val="1"/>
          <w:bCs w:val="1"/>
          <w:noProof w:val="0"/>
          <w:color w:val="000000" w:themeColor="text1" w:themeTint="FF" w:themeShade="FF"/>
          <w:sz w:val="22"/>
          <w:szCs w:val="22"/>
          <w:lang w:val="en-US"/>
        </w:rPr>
      </w:pPr>
    </w:p>
    <w:p xmlns:wp14="http://schemas.microsoft.com/office/word/2010/wordml" w:rsidP="6B9CA221" wp14:paraId="5E35134C" wp14:textId="35B71919">
      <w:pPr>
        <w:pStyle w:val="Heading1"/>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6B9CA221" wp14:paraId="0EAEBB64" wp14:textId="2EF6D2BD">
      <w:pPr>
        <w:pStyle w:val="Heading1"/>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6B9CA221" wp14:paraId="3ECF03C7" wp14:textId="7E558E9A">
      <w:pPr>
        <w:pStyle w:val="Heading1"/>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u w:val="single"/>
          <w:lang w:val="en-US"/>
        </w:rPr>
      </w:pPr>
      <w:r w:rsidRPr="6B9CA221" w:rsidR="4AA34BE7">
        <w:rPr>
          <w:rFonts w:ascii="Calibri" w:hAnsi="Calibri" w:eastAsia="Calibri" w:cs="Calibri"/>
          <w:b w:val="1"/>
          <w:bCs w:val="1"/>
          <w:i w:val="0"/>
          <w:iCs w:val="0"/>
          <w:noProof w:val="0"/>
          <w:color w:val="000000" w:themeColor="text1" w:themeTint="FF" w:themeShade="FF"/>
          <w:sz w:val="24"/>
          <w:szCs w:val="24"/>
          <w:u w:val="single"/>
          <w:lang w:val="en-US"/>
        </w:rPr>
        <w:t>Proposal for Enhancing Information Systems at Maldiva Ltd.</w:t>
      </w:r>
    </w:p>
    <w:p xmlns:wp14="http://schemas.microsoft.com/office/word/2010/wordml" w:rsidP="6B9CA221" wp14:paraId="2CAF70EE" wp14:textId="637E9F29">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u w:val="single"/>
          <w:lang w:val="en-US"/>
        </w:rPr>
      </w:pPr>
      <w:r w:rsidRPr="2A86E2EE" w:rsidR="4A3E7127">
        <w:rPr>
          <w:rFonts w:ascii="Calibri" w:hAnsi="Calibri" w:eastAsia="Calibri" w:cs="Calibri"/>
          <w:b w:val="1"/>
          <w:bCs w:val="1"/>
          <w:i w:val="0"/>
          <w:iCs w:val="0"/>
          <w:noProof w:val="0"/>
          <w:color w:val="000000" w:themeColor="text1" w:themeTint="FF" w:themeShade="FF"/>
          <w:sz w:val="24"/>
          <w:szCs w:val="24"/>
          <w:u w:val="single"/>
          <w:lang w:val="en-US"/>
        </w:rPr>
        <w:t>Boosting Business Performance via an Integrated Enterprise Information System</w:t>
      </w:r>
    </w:p>
    <w:p w:rsidR="2A86E2EE" w:rsidP="2A86E2EE" w:rsidRDefault="2A86E2EE" w14:paraId="7554B39F" w14:textId="6A1A6111">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u w:val="single"/>
          <w:lang w:val="en-US"/>
        </w:rPr>
      </w:pPr>
    </w:p>
    <w:p xmlns:wp14="http://schemas.microsoft.com/office/word/2010/wordml" w:rsidP="2A86E2EE" wp14:paraId="3B7E349F" wp14:textId="041CD89D">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u w:val="single"/>
          <w:lang w:val="en-US"/>
        </w:rPr>
      </w:pPr>
      <w:r w:rsidRPr="2A86E2EE" w:rsidR="4A3E7127">
        <w:rPr>
          <w:rFonts w:ascii="Calibri" w:hAnsi="Calibri" w:eastAsia="Calibri" w:cs="Calibri"/>
          <w:b w:val="1"/>
          <w:bCs w:val="1"/>
          <w:i w:val="0"/>
          <w:iCs w:val="0"/>
          <w:noProof w:val="0"/>
          <w:color w:val="000000" w:themeColor="text1" w:themeTint="FF" w:themeShade="FF"/>
          <w:sz w:val="24"/>
          <w:szCs w:val="24"/>
          <w:u w:val="single"/>
          <w:lang w:val="en-US"/>
        </w:rPr>
        <w:t>Introduction</w:t>
      </w:r>
    </w:p>
    <w:p xmlns:wp14="http://schemas.microsoft.com/office/word/2010/wordml" w:rsidP="2A86E2EE" wp14:paraId="48C93DD7" wp14:textId="2C2EAA4F">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In the contemporary digital economy, information systems are fundamental tools that enable </w:t>
      </w:r>
      <w:r w:rsidRPr="2A86E2EE" w:rsidR="0F6462E2">
        <w:rPr>
          <w:rFonts w:ascii="Calibri" w:hAnsi="Calibri" w:eastAsia="Calibri" w:cs="Calibri"/>
          <w:b w:val="0"/>
          <w:bCs w:val="0"/>
          <w:i w:val="0"/>
          <w:iCs w:val="0"/>
          <w:noProof w:val="0"/>
          <w:color w:val="000000" w:themeColor="text1" w:themeTint="FF" w:themeShade="FF"/>
          <w:sz w:val="24"/>
          <w:szCs w:val="24"/>
          <w:lang w:val="en-US"/>
        </w:rPr>
        <w:t>organi</w:t>
      </w:r>
      <w:r w:rsidRPr="2A86E2EE" w:rsidR="13CCDB75">
        <w:rPr>
          <w:rFonts w:ascii="Calibri" w:hAnsi="Calibri" w:eastAsia="Calibri" w:cs="Calibri"/>
          <w:b w:val="0"/>
          <w:bCs w:val="0"/>
          <w:i w:val="0"/>
          <w:iCs w:val="0"/>
          <w:noProof w:val="0"/>
          <w:color w:val="000000" w:themeColor="text1" w:themeTint="FF" w:themeShade="FF"/>
          <w:sz w:val="24"/>
          <w:szCs w:val="24"/>
          <w:lang w:val="en-US"/>
        </w:rPr>
        <w:t>s</w:t>
      </w:r>
      <w:r w:rsidRPr="2A86E2EE" w:rsidR="0F6462E2">
        <w:rPr>
          <w:rFonts w:ascii="Calibri" w:hAnsi="Calibri" w:eastAsia="Calibri" w:cs="Calibri"/>
          <w:b w:val="0"/>
          <w:bCs w:val="0"/>
          <w:i w:val="0"/>
          <w:iCs w:val="0"/>
          <w:noProof w:val="0"/>
          <w:color w:val="000000" w:themeColor="text1" w:themeTint="FF" w:themeShade="FF"/>
          <w:sz w:val="24"/>
          <w:szCs w:val="24"/>
          <w:lang w:val="en-US"/>
        </w:rPr>
        <w:t>ations</w:t>
      </w: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 to sustain their competitive advantage. Modern enterprises depend on interconnected technologies to streamline daily operations, raise customer satisfaction levels, support informed decision-making, and ensure adherence to relevant legal and regulatory standards. However, as businesses scale, legacy or fragmented systems often act as constraints, reducing operational efficiency and limiting the </w:t>
      </w:r>
      <w:r w:rsidRPr="2A86E2EE" w:rsidR="5D0A6BE4">
        <w:rPr>
          <w:rFonts w:ascii="Calibri" w:hAnsi="Calibri" w:eastAsia="Calibri" w:cs="Calibri"/>
          <w:b w:val="0"/>
          <w:bCs w:val="0"/>
          <w:i w:val="0"/>
          <w:iCs w:val="0"/>
          <w:noProof w:val="0"/>
          <w:color w:val="000000" w:themeColor="text1" w:themeTint="FF" w:themeShade="FF"/>
          <w:sz w:val="24"/>
          <w:szCs w:val="24"/>
          <w:lang w:val="en-US"/>
        </w:rPr>
        <w:t>organisation's</w:t>
      </w: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 capacity to adapt quickly to changing market and customer requirements.</w:t>
      </w:r>
    </w:p>
    <w:p xmlns:wp14="http://schemas.microsoft.com/office/word/2010/wordml" w:rsidP="2A86E2EE" wp14:paraId="72493906" wp14:textId="3062368E">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2A86E2EE" w:rsidR="4A3E7127">
        <w:rPr>
          <w:rFonts w:ascii="Calibri" w:hAnsi="Calibri" w:eastAsia="Calibri" w:cs="Calibri"/>
          <w:b w:val="0"/>
          <w:bCs w:val="0"/>
          <w:i w:val="0"/>
          <w:iCs w:val="0"/>
          <w:noProof w:val="0"/>
          <w:color w:val="000000" w:themeColor="text1" w:themeTint="FF" w:themeShade="FF"/>
          <w:sz w:val="24"/>
          <w:szCs w:val="24"/>
          <w:lang w:val="en-US"/>
        </w:rPr>
        <w:t>Maldiva</w:t>
      </w: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 Ltd. is a fast-growing retailer </w:t>
      </w:r>
      <w:r w:rsidRPr="2A86E2EE" w:rsidR="1E534D56">
        <w:rPr>
          <w:rFonts w:ascii="Calibri" w:hAnsi="Calibri" w:eastAsia="Calibri" w:cs="Calibri"/>
          <w:b w:val="0"/>
          <w:bCs w:val="0"/>
          <w:i w:val="0"/>
          <w:iCs w:val="0"/>
          <w:noProof w:val="0"/>
          <w:color w:val="000000" w:themeColor="text1" w:themeTint="FF" w:themeShade="FF"/>
          <w:sz w:val="24"/>
          <w:szCs w:val="24"/>
          <w:lang w:val="en-US"/>
        </w:rPr>
        <w:t>specializing</w:t>
      </w: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 in consumer electronics, </w:t>
      </w:r>
      <w:r w:rsidRPr="2A86E2EE" w:rsidR="4A3E7127">
        <w:rPr>
          <w:rFonts w:ascii="Calibri" w:hAnsi="Calibri" w:eastAsia="Calibri" w:cs="Calibri"/>
          <w:b w:val="0"/>
          <w:bCs w:val="0"/>
          <w:i w:val="0"/>
          <w:iCs w:val="0"/>
          <w:noProof w:val="0"/>
          <w:color w:val="000000" w:themeColor="text1" w:themeTint="FF" w:themeShade="FF"/>
          <w:sz w:val="24"/>
          <w:szCs w:val="24"/>
          <w:lang w:val="en-US"/>
        </w:rPr>
        <w:t>operating</w:t>
      </w: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 a network of 30 physical stores alongside an online sales channel. Although the company has achieved strong revenue growth over the last twelve months, its existing information infrastructure has not developed in line with this expansion. At present, the firm relies heavily on manual procedures, isolated databases, and spreadsheet-based reporting. This approach creates operational bottlenecks that negatively </w:t>
      </w:r>
      <w:r w:rsidRPr="2A86E2EE" w:rsidR="4A3E7127">
        <w:rPr>
          <w:rFonts w:ascii="Calibri" w:hAnsi="Calibri" w:eastAsia="Calibri" w:cs="Calibri"/>
          <w:b w:val="0"/>
          <w:bCs w:val="0"/>
          <w:i w:val="0"/>
          <w:iCs w:val="0"/>
          <w:noProof w:val="0"/>
          <w:color w:val="000000" w:themeColor="text1" w:themeTint="FF" w:themeShade="FF"/>
          <w:sz w:val="24"/>
          <w:szCs w:val="24"/>
          <w:lang w:val="en-US"/>
        </w:rPr>
        <w:t>impact</w:t>
      </w: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 both internal workflows and </w:t>
      </w:r>
      <w:r w:rsidRPr="2A86E2EE" w:rsidR="322CFB3A">
        <w:rPr>
          <w:rFonts w:ascii="Calibri" w:hAnsi="Calibri" w:eastAsia="Calibri" w:cs="Calibri"/>
          <w:b w:val="0"/>
          <w:bCs w:val="0"/>
          <w:i w:val="0"/>
          <w:iCs w:val="0"/>
          <w:noProof w:val="0"/>
          <w:color w:val="000000" w:themeColor="text1" w:themeTint="FF" w:themeShade="FF"/>
          <w:sz w:val="24"/>
          <w:szCs w:val="24"/>
          <w:lang w:val="en-US"/>
        </w:rPr>
        <w:t>customer</w:t>
      </w: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 experience.</w:t>
      </w:r>
    </w:p>
    <w:p xmlns:wp14="http://schemas.microsoft.com/office/word/2010/wordml" w:rsidP="6B9CA221" wp14:paraId="1BF2C134" wp14:textId="7860781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An analysis of current operations highlights five core challenges. First, inventory is tracked using manual methods, leading to inconsistencies between stock levels recorded in stores and those displayed on the e-commerce platform. This discrepancy </w:t>
      </w:r>
      <w:r w:rsidRPr="6B9CA221" w:rsidR="4AA34BE7">
        <w:rPr>
          <w:rFonts w:ascii="Calibri" w:hAnsi="Calibri" w:eastAsia="Calibri" w:cs="Calibri"/>
          <w:b w:val="0"/>
          <w:bCs w:val="0"/>
          <w:i w:val="0"/>
          <w:iCs w:val="0"/>
          <w:noProof w:val="0"/>
          <w:color w:val="000000" w:themeColor="text1" w:themeTint="FF" w:themeShade="FF"/>
          <w:sz w:val="24"/>
          <w:szCs w:val="24"/>
          <w:lang w:val="en-US"/>
        </w:rPr>
        <w:t>frequently</w:t>
      </w: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 results in customers ordering items that are </w:t>
      </w:r>
      <w:r w:rsidRPr="6B9CA221" w:rsidR="51304638">
        <w:rPr>
          <w:rFonts w:ascii="Calibri" w:hAnsi="Calibri" w:eastAsia="Calibri" w:cs="Calibri"/>
          <w:b w:val="0"/>
          <w:bCs w:val="0"/>
          <w:i w:val="0"/>
          <w:iCs w:val="0"/>
          <w:noProof w:val="0"/>
          <w:color w:val="000000" w:themeColor="text1" w:themeTint="FF" w:themeShade="FF"/>
          <w:sz w:val="24"/>
          <w:szCs w:val="24"/>
          <w:lang w:val="en-US"/>
        </w:rPr>
        <w:t>out</w:t>
      </w: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 of stock, which leads to order cancellations, refund requests, lower customer satisfaction, and potential damage to the company’s reputation.</w:t>
      </w:r>
    </w:p>
    <w:p xmlns:wp14="http://schemas.microsoft.com/office/word/2010/wordml" w:rsidP="6B9CA221" wp14:paraId="0AF8F72C" wp14:textId="2A98E13C">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B9CA221" w:rsidR="4AA34BE7">
        <w:rPr>
          <w:rFonts w:ascii="Calibri" w:hAnsi="Calibri" w:eastAsia="Calibri" w:cs="Calibri"/>
          <w:b w:val="0"/>
          <w:bCs w:val="0"/>
          <w:i w:val="0"/>
          <w:iCs w:val="0"/>
          <w:noProof w:val="0"/>
          <w:color w:val="000000" w:themeColor="text1" w:themeTint="FF" w:themeShade="FF"/>
          <w:sz w:val="24"/>
          <w:szCs w:val="24"/>
          <w:lang w:val="en-US"/>
        </w:rPr>
        <w:t>Second, customer data is stored across multiple unconnected platforms. Without a unified Customer Relationship Management (CRM) system, the business cannot build a complete view of customer preferences and purchasing patterns. This limits its ability to deliver targeted marketing initiatives and provide consistent, efficient support services.</w:t>
      </w:r>
    </w:p>
    <w:p xmlns:wp14="http://schemas.microsoft.com/office/word/2010/wordml" w:rsidP="6B9CA221" wp14:paraId="1022A897" wp14:textId="6E44654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Third, the process of producing management reports is inefficient. Sales data is compiled manually in spreadsheets, which is </w:t>
      </w:r>
      <w:r w:rsidRPr="6B9CA221" w:rsidR="4AA34BE7">
        <w:rPr>
          <w:rFonts w:ascii="Calibri" w:hAnsi="Calibri" w:eastAsia="Calibri" w:cs="Calibri"/>
          <w:b w:val="0"/>
          <w:bCs w:val="0"/>
          <w:i w:val="0"/>
          <w:iCs w:val="0"/>
          <w:noProof w:val="0"/>
          <w:color w:val="000000" w:themeColor="text1" w:themeTint="FF" w:themeShade="FF"/>
          <w:sz w:val="24"/>
          <w:szCs w:val="24"/>
          <w:lang w:val="en-US"/>
        </w:rPr>
        <w:t>labour-intensive</w:t>
      </w: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 carries </w:t>
      </w:r>
      <w:r w:rsidRPr="6B9CA221" w:rsidR="4AA34BE7">
        <w:rPr>
          <w:rFonts w:ascii="Calibri" w:hAnsi="Calibri" w:eastAsia="Calibri" w:cs="Calibri"/>
          <w:b w:val="0"/>
          <w:bCs w:val="0"/>
          <w:i w:val="0"/>
          <w:iCs w:val="0"/>
          <w:noProof w:val="0"/>
          <w:color w:val="000000" w:themeColor="text1" w:themeTint="FF" w:themeShade="FF"/>
          <w:sz w:val="24"/>
          <w:szCs w:val="24"/>
          <w:lang w:val="en-US"/>
        </w:rPr>
        <w:t>a high risk</w:t>
      </w: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 of human error, and does not support real-time analysis. This reduces the accuracy of sales forecasts and </w:t>
      </w:r>
      <w:r w:rsidRPr="6B9CA221" w:rsidR="22487DCF">
        <w:rPr>
          <w:rFonts w:ascii="Calibri" w:hAnsi="Calibri" w:eastAsia="Calibri" w:cs="Calibri"/>
          <w:b w:val="0"/>
          <w:bCs w:val="0"/>
          <w:i w:val="0"/>
          <w:iCs w:val="0"/>
          <w:noProof w:val="0"/>
          <w:color w:val="000000" w:themeColor="text1" w:themeTint="FF" w:themeShade="FF"/>
          <w:sz w:val="24"/>
          <w:szCs w:val="24"/>
          <w:lang w:val="en-US"/>
        </w:rPr>
        <w:t>slows</w:t>
      </w: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 management responses to shifts in market conditions.</w:t>
      </w:r>
    </w:p>
    <w:p xmlns:wp14="http://schemas.microsoft.com/office/word/2010/wordml" w:rsidP="6B9CA221" wp14:paraId="7E815C1B" wp14:textId="6CAA284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B9CA221" w:rsidR="4AA34BE7">
        <w:rPr>
          <w:rFonts w:ascii="Calibri" w:hAnsi="Calibri" w:eastAsia="Calibri" w:cs="Calibri"/>
          <w:b w:val="0"/>
          <w:bCs w:val="0"/>
          <w:i w:val="0"/>
          <w:iCs w:val="0"/>
          <w:noProof w:val="0"/>
          <w:color w:val="000000" w:themeColor="text1" w:themeTint="FF" w:themeShade="FF"/>
          <w:sz w:val="24"/>
          <w:szCs w:val="24"/>
          <w:lang w:val="en-US"/>
        </w:rPr>
        <w:t>Fourth, there are notable gaps in information security. Current systems lack robust user access controls and do not fully meet the requirements of the General Data Protection Regulation (GDPR). This exposes the company to potential data breaches, regulatory fines, and further damage to its standing in the market.</w:t>
      </w:r>
    </w:p>
    <w:p xmlns:wp14="http://schemas.microsoft.com/office/word/2010/wordml" w:rsidP="6B9CA221" wp14:paraId="0D90F58A" wp14:textId="026F5743">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Finally, disconnected systems have created functional silos across the </w:t>
      </w:r>
      <w:r w:rsidRPr="6B9CA221" w:rsidR="4AA34BE7">
        <w:rPr>
          <w:rFonts w:ascii="Calibri" w:hAnsi="Calibri" w:eastAsia="Calibri" w:cs="Calibri"/>
          <w:b w:val="0"/>
          <w:bCs w:val="0"/>
          <w:i w:val="0"/>
          <w:iCs w:val="0"/>
          <w:noProof w:val="0"/>
          <w:color w:val="000000" w:themeColor="text1" w:themeTint="FF" w:themeShade="FF"/>
          <w:sz w:val="24"/>
          <w:szCs w:val="24"/>
          <w:lang w:val="en-US"/>
        </w:rPr>
        <w:t>organization</w:t>
      </w: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 Departments including sales, inventory management, finance, and customer service use separate software packages that do not share data automatically. As a result, staff spend </w:t>
      </w:r>
      <w:r w:rsidRPr="6B9CA221" w:rsidR="4AA34BE7">
        <w:rPr>
          <w:rFonts w:ascii="Calibri" w:hAnsi="Calibri" w:eastAsia="Calibri" w:cs="Calibri"/>
          <w:b w:val="0"/>
          <w:bCs w:val="0"/>
          <w:i w:val="0"/>
          <w:iCs w:val="0"/>
          <w:noProof w:val="0"/>
          <w:color w:val="000000" w:themeColor="text1" w:themeTint="FF" w:themeShade="FF"/>
          <w:sz w:val="24"/>
          <w:szCs w:val="24"/>
          <w:lang w:val="en-US"/>
        </w:rPr>
        <w:t>significant time</w:t>
      </w:r>
      <w:r w:rsidRPr="6B9CA221" w:rsidR="4AA34BE7">
        <w:rPr>
          <w:rFonts w:ascii="Calibri" w:hAnsi="Calibri" w:eastAsia="Calibri" w:cs="Calibri"/>
          <w:b w:val="0"/>
          <w:bCs w:val="0"/>
          <w:i w:val="0"/>
          <w:iCs w:val="0"/>
          <w:noProof w:val="0"/>
          <w:color w:val="000000" w:themeColor="text1" w:themeTint="FF" w:themeShade="FF"/>
          <w:sz w:val="24"/>
          <w:szCs w:val="24"/>
          <w:lang w:val="en-US"/>
        </w:rPr>
        <w:t xml:space="preserve"> entering and transferring data manually, which raises operational costs and lowers overall productivity.</w:t>
      </w:r>
    </w:p>
    <w:p xmlns:wp14="http://schemas.microsoft.com/office/word/2010/wordml" w:rsidP="6B9CA221" wp14:paraId="28B9FBCF" wp14:textId="40953EB4">
      <w:pPr>
        <w:spacing w:before="0" w:beforeAutospacing="off" w:after="0" w:afterAutospacing="off" w:line="360" w:lineRule="auto"/>
      </w:pP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This document assesses the weaknesses of </w:t>
      </w:r>
      <w:r w:rsidRPr="2A86E2EE" w:rsidR="4A3E7127">
        <w:rPr>
          <w:rFonts w:ascii="Calibri" w:hAnsi="Calibri" w:eastAsia="Calibri" w:cs="Calibri"/>
          <w:b w:val="0"/>
          <w:bCs w:val="0"/>
          <w:i w:val="0"/>
          <w:iCs w:val="0"/>
          <w:noProof w:val="0"/>
          <w:color w:val="000000" w:themeColor="text1" w:themeTint="FF" w:themeShade="FF"/>
          <w:sz w:val="24"/>
          <w:szCs w:val="24"/>
          <w:lang w:val="en-US"/>
        </w:rPr>
        <w:t>Maldiva</w:t>
      </w: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 Ltd.’s current information systems and proposes the adoption of an integrated Enterprise Resource Planning (ERP) platform, supported by dedicated CRM functionality and Business Intelligence (BI) reporting tools. It also sets out a structured implementation plan designed to secure the maximum benefits from the new system while </w:t>
      </w:r>
      <w:r w:rsidRPr="2A86E2EE" w:rsidR="653A85D9">
        <w:rPr>
          <w:rFonts w:ascii="Calibri" w:hAnsi="Calibri" w:eastAsia="Calibri" w:cs="Calibri"/>
          <w:b w:val="0"/>
          <w:bCs w:val="0"/>
          <w:i w:val="0"/>
          <w:iCs w:val="0"/>
          <w:noProof w:val="0"/>
          <w:color w:val="000000" w:themeColor="text1" w:themeTint="FF" w:themeShade="FF"/>
          <w:sz w:val="24"/>
          <w:szCs w:val="24"/>
          <w:lang w:val="en-US"/>
        </w:rPr>
        <w:t>minimizing</w:t>
      </w:r>
      <w:r w:rsidRPr="2A86E2EE" w:rsidR="4A3E7127">
        <w:rPr>
          <w:rFonts w:ascii="Calibri" w:hAnsi="Calibri" w:eastAsia="Calibri" w:cs="Calibri"/>
          <w:b w:val="0"/>
          <w:bCs w:val="0"/>
          <w:i w:val="0"/>
          <w:iCs w:val="0"/>
          <w:noProof w:val="0"/>
          <w:color w:val="000000" w:themeColor="text1" w:themeTint="FF" w:themeShade="FF"/>
          <w:sz w:val="24"/>
          <w:szCs w:val="24"/>
          <w:lang w:val="en-US"/>
        </w:rPr>
        <w:t xml:space="preserve"> disruption to day-to-day business activities.</w:t>
      </w:r>
    </w:p>
    <w:p w:rsidR="2EF2ECBF" w:rsidP="2A86E2EE" w:rsidRDefault="2EF2ECBF" w14:paraId="5CC563F5" w14:textId="2A982DC3">
      <w:pPr>
        <w:pStyle w:val="Heading2"/>
        <w:spacing w:before="299" w:beforeAutospacing="off" w:after="299" w:afterAutospacing="off"/>
        <w:rPr>
          <w:rFonts w:ascii="Calibri" w:hAnsi="Calibri" w:eastAsia="Calibri" w:cs="Calibri"/>
          <w:b w:val="1"/>
          <w:bCs w:val="1"/>
          <w:noProof w:val="0"/>
          <w:color w:val="auto"/>
          <w:sz w:val="36"/>
          <w:szCs w:val="36"/>
          <w:lang w:val="en-US"/>
        </w:rPr>
      </w:pPr>
      <w:r w:rsidRPr="2A86E2EE" w:rsidR="2EF2ECBF">
        <w:rPr>
          <w:rFonts w:ascii="Calibri" w:hAnsi="Calibri" w:eastAsia="Calibri" w:cs="Calibri"/>
          <w:b w:val="1"/>
          <w:bCs w:val="1"/>
          <w:noProof w:val="0"/>
          <w:color w:val="auto"/>
          <w:sz w:val="36"/>
          <w:szCs w:val="36"/>
          <w:lang w:val="en-US"/>
        </w:rPr>
        <w:t>The Proposed Integrated Enterprise Architecture</w:t>
      </w:r>
    </w:p>
    <w:p w:rsidR="2EF2ECBF" w:rsidP="2A86E2EE" w:rsidRDefault="2EF2ECBF" w14:paraId="66F65654" w14:textId="20AB243D">
      <w:pPr>
        <w:pStyle w:val="Heading3"/>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Enterprise Resource Planning (ERP)</w:t>
      </w:r>
    </w:p>
    <w:p w:rsidR="2EF2ECBF" w:rsidP="2A86E2EE" w:rsidRDefault="2EF2ECBF" w14:paraId="3CDB5668" w14:textId="0D46713A">
      <w:p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An ERP system consolidates core business operations into a unified, relational database management system (RDBMS), eliminating data fragmentation (Stair and Reynolds, 2021). For Maldiva Ltd., the ERP system will host modular components encompassing inventory management, sales, purchasing, core finance, order fulfillment, and supply chain management.</w:t>
      </w:r>
    </w:p>
    <w:p w:rsidR="2EF2ECBF" w:rsidP="2A86E2EE" w:rsidRDefault="2EF2ECBF" w14:paraId="6D7CCADF" w14:textId="5AA7B8C7">
      <w:p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Prominent market leaders offer viable options for Maldiva Ltd.:</w:t>
      </w:r>
    </w:p>
    <w:p w:rsidR="2EF2ECBF" w:rsidP="2A86E2EE" w:rsidRDefault="2EF2ECBF" w14:paraId="13B9C174" w14:textId="658AFFF3">
      <w:pPr>
        <w:pStyle w:val="ListParagraph"/>
        <w:numPr>
          <w:ilvl w:val="0"/>
          <w:numId w:val="7"/>
        </w:num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SAP S/4HANA:</w:t>
      </w:r>
      <w:r w:rsidRPr="2A86E2EE" w:rsidR="2EF2ECBF">
        <w:rPr>
          <w:rFonts w:ascii="Calibri" w:hAnsi="Calibri" w:eastAsia="Calibri" w:cs="Calibri"/>
          <w:noProof w:val="0"/>
          <w:color w:val="auto"/>
          <w:sz w:val="24"/>
          <w:szCs w:val="24"/>
          <w:lang w:val="en-US"/>
        </w:rPr>
        <w:t xml:space="preserve"> Best suited for massive multinational corporations, though it carries substantial capital expenditure and complex deployment structures (SAP, 2024).</w:t>
      </w:r>
    </w:p>
    <w:p w:rsidR="2EF2ECBF" w:rsidP="2A86E2EE" w:rsidRDefault="2EF2ECBF" w14:paraId="7E23B77E" w14:textId="571BE9CA">
      <w:pPr>
        <w:pStyle w:val="ListParagraph"/>
        <w:numPr>
          <w:ilvl w:val="0"/>
          <w:numId w:val="7"/>
        </w:num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Oracle NetSuite:</w:t>
      </w:r>
      <w:r w:rsidRPr="2A86E2EE" w:rsidR="2EF2ECBF">
        <w:rPr>
          <w:rFonts w:ascii="Calibri" w:hAnsi="Calibri" w:eastAsia="Calibri" w:cs="Calibri"/>
          <w:noProof w:val="0"/>
          <w:color w:val="auto"/>
          <w:sz w:val="24"/>
          <w:szCs w:val="24"/>
          <w:lang w:val="en-US"/>
        </w:rPr>
        <w:t xml:space="preserve"> A native cloud-based solution highly optimized for mid-to-large enterprises undergoing rapid expansion (Oracle, 2024).</w:t>
      </w:r>
    </w:p>
    <w:p w:rsidR="2EF2ECBF" w:rsidP="2A86E2EE" w:rsidRDefault="2EF2ECBF" w14:paraId="3DDB4D01" w14:textId="110807A6">
      <w:pPr>
        <w:pStyle w:val="ListParagraph"/>
        <w:numPr>
          <w:ilvl w:val="0"/>
          <w:numId w:val="7"/>
        </w:num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Microsoft Dynamics 365:</w:t>
      </w:r>
      <w:r w:rsidRPr="2A86E2EE" w:rsidR="2EF2ECBF">
        <w:rPr>
          <w:rFonts w:ascii="Calibri" w:hAnsi="Calibri" w:eastAsia="Calibri" w:cs="Calibri"/>
          <w:noProof w:val="0"/>
          <w:color w:val="auto"/>
          <w:sz w:val="24"/>
          <w:szCs w:val="24"/>
          <w:lang w:val="en-US"/>
        </w:rPr>
        <w:t xml:space="preserve"> Highly modular, offering seamless integration with pre-existing Microsoft applications, balancing scalability and usability (Microsoft, 2024).</w:t>
      </w:r>
    </w:p>
    <w:p w:rsidR="2EF2ECBF" w:rsidP="2A86E2EE" w:rsidRDefault="2EF2ECBF" w14:paraId="7D9FA259" w14:textId="65681BD8">
      <w:p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Given Maldiva Ltd.'s mid-market scale and rapid 30-store growth, Oracle NetSuite or Microsoft Dynamics 365 represent the most viable strategic matches due to their lower total cost of ownership (TCO) and rapid deployment timelines.</w:t>
      </w:r>
    </w:p>
    <w:p w:rsidR="2EF2ECBF" w:rsidP="2A86E2EE" w:rsidRDefault="2EF2ECBF" w14:paraId="57806526" w14:textId="550F548A">
      <w:pPr>
        <w:pStyle w:val="Heading4"/>
        <w:spacing w:before="319" w:beforeAutospacing="off" w:after="319" w:afterAutospacing="off"/>
        <w:rPr>
          <w:rFonts w:ascii="Calibri" w:hAnsi="Calibri" w:eastAsia="Calibri" w:cs="Calibri"/>
          <w:b w:val="1"/>
          <w:bCs w:val="1"/>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Operational Benefits of the ERP Module:</w:t>
      </w:r>
    </w:p>
    <w:p w:rsidR="2EF2ECBF" w:rsidP="2A86E2EE" w:rsidRDefault="2EF2ECBF" w14:paraId="023B7D27" w14:textId="390B4805">
      <w:pPr>
        <w:pStyle w:val="ListParagraph"/>
        <w:numPr>
          <w:ilvl w:val="0"/>
          <w:numId w:val="8"/>
        </w:num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Real-Time Inventory Control:</w:t>
      </w:r>
      <w:r w:rsidRPr="2A86E2EE" w:rsidR="2EF2ECBF">
        <w:rPr>
          <w:rFonts w:ascii="Calibri" w:hAnsi="Calibri" w:eastAsia="Calibri" w:cs="Calibri"/>
          <w:noProof w:val="0"/>
          <w:color w:val="auto"/>
          <w:sz w:val="24"/>
          <w:szCs w:val="24"/>
          <w:lang w:val="en-US"/>
        </w:rPr>
        <w:t xml:space="preserve"> In legacy environments, inventory is managed via manual batch updates. A cloud-based ERP integrates all point-of-sale (POS) systems and e-commerce portals. Every transaction triggers a physical and logical inventory update, preventing stock-outs and online order cancellations.</w:t>
      </w:r>
    </w:p>
    <w:p w:rsidR="2EF2ECBF" w:rsidP="2A86E2EE" w:rsidRDefault="2EF2ECBF" w14:paraId="4D74949D" w14:textId="2B37B3B7">
      <w:pPr>
        <w:pStyle w:val="ListParagraph"/>
        <w:numPr>
          <w:ilvl w:val="0"/>
          <w:numId w:val="8"/>
        </w:num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Optimized Supply Chain Management:</w:t>
      </w:r>
      <w:r w:rsidRPr="2A86E2EE" w:rsidR="2EF2ECBF">
        <w:rPr>
          <w:rFonts w:ascii="Calibri" w:hAnsi="Calibri" w:eastAsia="Calibri" w:cs="Calibri"/>
          <w:noProof w:val="0"/>
          <w:color w:val="auto"/>
          <w:sz w:val="24"/>
          <w:szCs w:val="24"/>
          <w:lang w:val="en-US"/>
        </w:rPr>
        <w:t xml:space="preserve"> ERP systems utilize Material Requirements Planning (MRP) algorithms to evaluate historical sales trends, lead times, and seasonal demand. When stock levels dip below safety parameters, the system triggers automated purchase requisitions, minimizing carrying costs (Turban, Pollard and Wood, 2021).</w:t>
      </w:r>
    </w:p>
    <w:p w:rsidR="2EF2ECBF" w:rsidP="2A86E2EE" w:rsidRDefault="2EF2ECBF" w14:paraId="0369688E" w14:textId="7264A9FE">
      <w:pPr>
        <w:pStyle w:val="ListParagraph"/>
        <w:numPr>
          <w:ilvl w:val="0"/>
          <w:numId w:val="8"/>
        </w:num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Cross-Departmental Synergy:</w:t>
      </w:r>
      <w:r w:rsidRPr="2A86E2EE" w:rsidR="2EF2ECBF">
        <w:rPr>
          <w:rFonts w:ascii="Calibri" w:hAnsi="Calibri" w:eastAsia="Calibri" w:cs="Calibri"/>
          <w:noProof w:val="0"/>
          <w:color w:val="auto"/>
          <w:sz w:val="24"/>
          <w:szCs w:val="24"/>
          <w:lang w:val="en-US"/>
        </w:rPr>
        <w:t xml:space="preserve"> Financial ledgers are automatically updated when sales or purchases occur. Instead of manually cross-referencing paper invoices, the accounting department benefits from instant transaction-to-ledger postings, accelerating the financial close.</w:t>
      </w:r>
    </w:p>
    <w:p w:rsidR="2EF2ECBF" w:rsidP="2A86E2EE" w:rsidRDefault="2EF2ECBF" w14:paraId="77A7F80C" w14:textId="76D14152">
      <w:pPr>
        <w:pStyle w:val="Heading3"/>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Customer Relationship Management (CRM)</w:t>
      </w:r>
    </w:p>
    <w:p w:rsidR="2EF2ECBF" w:rsidP="2A86E2EE" w:rsidRDefault="2EF2ECBF" w14:paraId="48ADD4E8" w14:textId="145EAD71">
      <w:p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To complement the ERP, a Customer Relationship Management (CRM) system (such as Salesforce, Microsoft Dynamics CRM, or HubSpot) is required to manage customer touchpoints and engagement lifecycles (Chaffey and Ellis-Chadwick, 2019).</w:t>
      </w:r>
    </w:p>
    <w:p w:rsidR="2EF2ECBF" w:rsidP="2A86E2EE" w:rsidRDefault="2EF2ECBF" w14:paraId="0898390F" w14:textId="2F4AC08D">
      <w:pPr>
        <w:pStyle w:val="Heading4"/>
        <w:spacing w:before="319" w:beforeAutospacing="off" w:after="319" w:afterAutospacing="off"/>
        <w:rPr>
          <w:rFonts w:ascii="Calibri" w:hAnsi="Calibri" w:eastAsia="Calibri" w:cs="Calibri"/>
          <w:b w:val="1"/>
          <w:bCs w:val="1"/>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Strategic Value of the CRM Module:</w:t>
      </w:r>
    </w:p>
    <w:p w:rsidR="2EF2ECBF" w:rsidP="2A86E2EE" w:rsidRDefault="2EF2ECBF" w14:paraId="7D562A6F" w14:textId="19A02DC2">
      <w:pPr>
        <w:pStyle w:val="ListParagraph"/>
        <w:numPr>
          <w:ilvl w:val="0"/>
          <w:numId w:val="9"/>
        </w:num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Personalized Marketing:</w:t>
      </w:r>
      <w:r w:rsidRPr="2A86E2EE" w:rsidR="2EF2ECBF">
        <w:rPr>
          <w:rFonts w:ascii="Calibri" w:hAnsi="Calibri" w:eastAsia="Calibri" w:cs="Calibri"/>
          <w:noProof w:val="0"/>
          <w:color w:val="auto"/>
          <w:sz w:val="24"/>
          <w:szCs w:val="24"/>
          <w:lang w:val="en-US"/>
        </w:rPr>
        <w:t xml:space="preserve"> By aggregating data on transactional histories and browsing behaviors, the marketing department can segment the customer database. Targeted, personalized promotional offers boost conversion rates and customer lifetime value (CLV).</w:t>
      </w:r>
    </w:p>
    <w:p w:rsidR="2EF2ECBF" w:rsidP="2A86E2EE" w:rsidRDefault="2EF2ECBF" w14:paraId="733BB9C2" w14:textId="175D7E10">
      <w:pPr>
        <w:pStyle w:val="ListParagraph"/>
        <w:numPr>
          <w:ilvl w:val="0"/>
          <w:numId w:val="9"/>
        </w:num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Omnichannel Customer Support:</w:t>
      </w:r>
      <w:r w:rsidRPr="2A86E2EE" w:rsidR="2EF2ECBF">
        <w:rPr>
          <w:rFonts w:ascii="Calibri" w:hAnsi="Calibri" w:eastAsia="Calibri" w:cs="Calibri"/>
          <w:noProof w:val="0"/>
          <w:color w:val="auto"/>
          <w:sz w:val="24"/>
          <w:szCs w:val="24"/>
          <w:lang w:val="en-US"/>
        </w:rPr>
        <w:t xml:space="preserve"> Legacy support environments suffer from information asymmetry. The CRM consolidates past correspondence, warranty status, and return history into a single interface, allowing support agents to resolve issues quickly.</w:t>
      </w:r>
    </w:p>
    <w:p w:rsidR="2EF2ECBF" w:rsidP="2A86E2EE" w:rsidRDefault="2EF2ECBF" w14:paraId="7252CFCE" w14:textId="7FA4C890">
      <w:pPr>
        <w:pStyle w:val="ListParagraph"/>
        <w:numPr>
          <w:ilvl w:val="0"/>
          <w:numId w:val="9"/>
        </w:num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Customer Retention:</w:t>
      </w:r>
      <w:r w:rsidRPr="2A86E2EE" w:rsidR="2EF2ECBF">
        <w:rPr>
          <w:rFonts w:ascii="Calibri" w:hAnsi="Calibri" w:eastAsia="Calibri" w:cs="Calibri"/>
          <w:noProof w:val="0"/>
          <w:color w:val="auto"/>
          <w:sz w:val="24"/>
          <w:szCs w:val="24"/>
          <w:lang w:val="en-US"/>
        </w:rPr>
        <w:t xml:space="preserve"> In the highly competitive consumer electronics market, acquisition is costlier than retention. A centralized CRM tracks satisfaction metrics and flags accounts displaying "churn indicators"—such as a drop-off in purchase frequency—allowing proactive retention campaigns.</w:t>
      </w:r>
    </w:p>
    <w:p w:rsidR="2EF2ECBF" w:rsidP="2A86E2EE" w:rsidRDefault="2EF2ECBF" w14:paraId="48BD0597" w14:textId="47F9741D">
      <w:pPr>
        <w:pStyle w:val="Heading3"/>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Business Intelligence (BI) and Advanced Analytics</w:t>
      </w:r>
    </w:p>
    <w:p w:rsidR="2EF2ECBF" w:rsidP="2A86E2EE" w:rsidRDefault="2EF2ECBF" w14:paraId="1AA701E7" w14:textId="46A28404">
      <w:p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With transactional data flowing from the ERP and customer data managed by the CRM, Maldiva Ltd. will generate vast volumes of raw data. Business Intelligence (BI) platforms, such as Microsoft Power BI or Tableau, act as the analytical layer, transforming unstructured and structured enterprise data into interactive visualizations (Sharda, Delen and Turban, 2020).</w:t>
      </w:r>
    </w:p>
    <w:p w:rsidR="2EF2ECBF" w:rsidP="2A86E2EE" w:rsidRDefault="2EF2ECBF" w14:paraId="356D551B" w14:textId="6C16FFDD">
      <w:p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By leveraging an Extract, Transform, Load (ETL) pipeline, raw data from the ERP and CRM databases is consolidated into a centralized data warehouse. The BI tool reads from this repository to generate dynamic, real-time dashboards for executives. Instead of relying on static spreadsheet reports, managers can analyze sales, regional margins, and inventory turns on demand, enabling agile strategic forecasting.</w:t>
      </w:r>
    </w:p>
    <w:p w:rsidR="2EF2ECBF" w:rsidP="2A86E2EE" w:rsidRDefault="2EF2ECBF" w14:paraId="5DDFB619" w14:textId="22FCA51B">
      <w:pPr>
        <w:pStyle w:val="Heading2"/>
        <w:spacing w:before="299" w:beforeAutospacing="off" w:after="299" w:afterAutospacing="off"/>
        <w:rPr>
          <w:rFonts w:ascii="Calibri" w:hAnsi="Calibri" w:eastAsia="Calibri" w:cs="Calibri"/>
          <w:b w:val="1"/>
          <w:bCs w:val="1"/>
          <w:noProof w:val="0"/>
          <w:color w:val="auto"/>
          <w:sz w:val="36"/>
          <w:szCs w:val="36"/>
          <w:lang w:val="en-US"/>
        </w:rPr>
      </w:pPr>
      <w:r w:rsidRPr="2A86E2EE" w:rsidR="2EF2ECBF">
        <w:rPr>
          <w:rFonts w:ascii="Calibri" w:hAnsi="Calibri" w:eastAsia="Calibri" w:cs="Calibri"/>
          <w:b w:val="1"/>
          <w:bCs w:val="1"/>
          <w:noProof w:val="0"/>
          <w:color w:val="auto"/>
          <w:sz w:val="36"/>
          <w:szCs w:val="36"/>
          <w:lang w:val="en-US"/>
        </w:rPr>
        <w:t>Information Security, Governance, and GDPR Compliance</w:t>
      </w:r>
    </w:p>
    <w:p w:rsidR="2EF2ECBF" w:rsidP="2A86E2EE" w:rsidRDefault="2EF2ECBF" w14:paraId="3C989FE4" w14:textId="59AEE8AA">
      <w:pPr>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Operating across 30 physical locations and a digital storefront exposes Maldiva Ltd. to cybersecurity risks. Furthermore, processing consumer data subjects the business to strict legal standards, notably the General Data Protection Regulation (GDPR) (European Union, 2016). Implementing a cloud-based enterprise solution strengthens the organization's compliance and risk posture:</w:t>
      </w:r>
    </w:p>
    <w:tbl>
      <w:tblPr>
        <w:tblStyle w:val="TableNormal"/>
        <w:bidiVisual w:val="0"/>
        <w:tblW w:w="0" w:type="auto"/>
        <w:tblLook w:val="06A0" w:firstRow="1" w:lastRow="0" w:firstColumn="1" w:lastColumn="0" w:noHBand="1" w:noVBand="1"/>
      </w:tblPr>
      <w:tblGrid>
        <w:gridCol w:w="1656"/>
        <w:gridCol w:w="3820"/>
        <w:gridCol w:w="3884"/>
      </w:tblGrid>
      <w:tr w:rsidR="2A86E2EE" w:rsidTr="2A86E2EE" w14:paraId="560D16CA">
        <w:trPr>
          <w:trHeight w:val="300"/>
        </w:trPr>
        <w:tc>
          <w:tcPr>
            <w:tcW w:w="1656" w:type="dxa"/>
            <w:tcMar/>
            <w:vAlign w:val="center"/>
          </w:tcPr>
          <w:p w:rsidR="2A86E2EE" w:rsidP="2A86E2EE" w:rsidRDefault="2A86E2EE" w14:paraId="077B16D0" w14:textId="4CE27C11">
            <w:pPr>
              <w:spacing w:before="0" w:beforeAutospacing="off" w:after="0" w:afterAutospacing="off"/>
              <w:jc w:val="center"/>
              <w:rPr>
                <w:rFonts w:ascii="Calibri" w:hAnsi="Calibri" w:eastAsia="Calibri" w:cs="Calibri"/>
                <w:b w:val="1"/>
                <w:bCs w:val="1"/>
                <w:color w:val="auto"/>
              </w:rPr>
            </w:pPr>
            <w:r w:rsidRPr="2A86E2EE" w:rsidR="2A86E2EE">
              <w:rPr>
                <w:rFonts w:ascii="Calibri" w:hAnsi="Calibri" w:eastAsia="Calibri" w:cs="Calibri"/>
                <w:b w:val="1"/>
                <w:bCs w:val="1"/>
                <w:color w:val="auto"/>
              </w:rPr>
              <w:t>Security Feature</w:t>
            </w:r>
          </w:p>
        </w:tc>
        <w:tc>
          <w:tcPr>
            <w:tcW w:w="3820" w:type="dxa"/>
            <w:tcMar/>
            <w:vAlign w:val="center"/>
          </w:tcPr>
          <w:p w:rsidR="2A86E2EE" w:rsidP="2A86E2EE" w:rsidRDefault="2A86E2EE" w14:paraId="70AF50AB" w14:textId="4CF24A0A">
            <w:pPr>
              <w:spacing w:before="0" w:beforeAutospacing="off" w:after="0" w:afterAutospacing="off"/>
              <w:jc w:val="center"/>
              <w:rPr>
                <w:rFonts w:ascii="Calibri" w:hAnsi="Calibri" w:eastAsia="Calibri" w:cs="Calibri"/>
                <w:b w:val="1"/>
                <w:bCs w:val="1"/>
                <w:color w:val="auto"/>
              </w:rPr>
            </w:pPr>
            <w:r w:rsidRPr="2A86E2EE" w:rsidR="2A86E2EE">
              <w:rPr>
                <w:rFonts w:ascii="Calibri" w:hAnsi="Calibri" w:eastAsia="Calibri" w:cs="Calibri"/>
                <w:b w:val="1"/>
                <w:bCs w:val="1"/>
                <w:color w:val="auto"/>
              </w:rPr>
              <w:t>Technical Mechanism</w:t>
            </w:r>
          </w:p>
        </w:tc>
        <w:tc>
          <w:tcPr>
            <w:tcW w:w="3884" w:type="dxa"/>
            <w:tcMar/>
            <w:vAlign w:val="center"/>
          </w:tcPr>
          <w:p w:rsidR="2A86E2EE" w:rsidP="2A86E2EE" w:rsidRDefault="2A86E2EE" w14:paraId="227A7AEB" w14:textId="2496F20F">
            <w:pPr>
              <w:spacing w:before="0" w:beforeAutospacing="off" w:after="0" w:afterAutospacing="off"/>
              <w:jc w:val="center"/>
              <w:rPr>
                <w:rFonts w:ascii="Calibri" w:hAnsi="Calibri" w:eastAsia="Calibri" w:cs="Calibri"/>
                <w:b w:val="1"/>
                <w:bCs w:val="1"/>
                <w:color w:val="auto"/>
              </w:rPr>
            </w:pPr>
            <w:r w:rsidRPr="2A86E2EE" w:rsidR="2A86E2EE">
              <w:rPr>
                <w:rFonts w:ascii="Calibri" w:hAnsi="Calibri" w:eastAsia="Calibri" w:cs="Calibri"/>
                <w:b w:val="1"/>
                <w:bCs w:val="1"/>
                <w:color w:val="auto"/>
              </w:rPr>
              <w:t>Strategic Relevance to Maldiva Ltd.</w:t>
            </w:r>
          </w:p>
        </w:tc>
      </w:tr>
      <w:tr w:rsidR="2A86E2EE" w:rsidTr="2A86E2EE" w14:paraId="18A96F40">
        <w:trPr>
          <w:trHeight w:val="300"/>
        </w:trPr>
        <w:tc>
          <w:tcPr>
            <w:tcW w:w="1656" w:type="dxa"/>
            <w:tcMar/>
            <w:vAlign w:val="center"/>
          </w:tcPr>
          <w:p w:rsidR="2A86E2EE" w:rsidP="2A86E2EE" w:rsidRDefault="2A86E2EE" w14:paraId="3B784984" w14:textId="21EF64E4">
            <w:pPr>
              <w:spacing w:before="0" w:beforeAutospacing="off" w:after="0" w:afterAutospacing="off"/>
              <w:rPr>
                <w:rFonts w:ascii="Calibri" w:hAnsi="Calibri" w:eastAsia="Calibri" w:cs="Calibri"/>
                <w:b w:val="1"/>
                <w:bCs w:val="1"/>
                <w:color w:val="auto"/>
              </w:rPr>
            </w:pPr>
            <w:r w:rsidRPr="2A86E2EE" w:rsidR="2A86E2EE">
              <w:rPr>
                <w:rFonts w:ascii="Calibri" w:hAnsi="Calibri" w:eastAsia="Calibri" w:cs="Calibri"/>
                <w:b w:val="1"/>
                <w:bCs w:val="1"/>
                <w:color w:val="auto"/>
              </w:rPr>
              <w:t>Multi-Factor Authentication (MFA)</w:t>
            </w:r>
          </w:p>
        </w:tc>
        <w:tc>
          <w:tcPr>
            <w:tcW w:w="3820" w:type="dxa"/>
            <w:tcMar/>
            <w:vAlign w:val="center"/>
          </w:tcPr>
          <w:p w:rsidR="2A86E2EE" w:rsidP="2A86E2EE" w:rsidRDefault="2A86E2EE" w14:paraId="64DEFB65" w14:textId="155ED8E7">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Requires a password and a dynamic cryptographic token (e.g., authenticator apps).</w:t>
            </w:r>
          </w:p>
        </w:tc>
        <w:tc>
          <w:tcPr>
            <w:tcW w:w="3884" w:type="dxa"/>
            <w:tcMar/>
            <w:vAlign w:val="center"/>
          </w:tcPr>
          <w:p w:rsidR="2A86E2EE" w:rsidP="2A86E2EE" w:rsidRDefault="2A86E2EE" w14:paraId="62CD5228" w14:textId="24C4A791">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Mitigates up to 99.9% of automated credential-stuffing cyberattacks.</w:t>
            </w:r>
          </w:p>
        </w:tc>
      </w:tr>
      <w:tr w:rsidR="2A86E2EE" w:rsidTr="2A86E2EE" w14:paraId="21B0B7BE">
        <w:trPr>
          <w:trHeight w:val="300"/>
        </w:trPr>
        <w:tc>
          <w:tcPr>
            <w:tcW w:w="1656" w:type="dxa"/>
            <w:tcMar/>
            <w:vAlign w:val="center"/>
          </w:tcPr>
          <w:p w:rsidR="2A86E2EE" w:rsidP="2A86E2EE" w:rsidRDefault="2A86E2EE" w14:paraId="653080A1" w14:textId="16F70429">
            <w:pPr>
              <w:spacing w:before="0" w:beforeAutospacing="off" w:after="0" w:afterAutospacing="off"/>
              <w:rPr>
                <w:rFonts w:ascii="Calibri" w:hAnsi="Calibri" w:eastAsia="Calibri" w:cs="Calibri"/>
                <w:b w:val="1"/>
                <w:bCs w:val="1"/>
                <w:color w:val="auto"/>
              </w:rPr>
            </w:pPr>
            <w:r w:rsidRPr="2A86E2EE" w:rsidR="2A86E2EE">
              <w:rPr>
                <w:rFonts w:ascii="Calibri" w:hAnsi="Calibri" w:eastAsia="Calibri" w:cs="Calibri"/>
                <w:b w:val="1"/>
                <w:bCs w:val="1"/>
                <w:color w:val="auto"/>
              </w:rPr>
              <w:t>Role-Based Access Control (RBAC)</w:t>
            </w:r>
          </w:p>
        </w:tc>
        <w:tc>
          <w:tcPr>
            <w:tcW w:w="3820" w:type="dxa"/>
            <w:tcMar/>
            <w:vAlign w:val="center"/>
          </w:tcPr>
          <w:p w:rsidR="2A86E2EE" w:rsidP="2A86E2EE" w:rsidRDefault="2A86E2EE" w14:paraId="6D643FC4" w14:textId="5112B659">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Restricts system access based on job roles (e.g., cashiers cannot view financial ledgers).</w:t>
            </w:r>
          </w:p>
        </w:tc>
        <w:tc>
          <w:tcPr>
            <w:tcW w:w="3884" w:type="dxa"/>
            <w:tcMar/>
            <w:vAlign w:val="center"/>
          </w:tcPr>
          <w:p w:rsidR="2A86E2EE" w:rsidP="2A86E2EE" w:rsidRDefault="2A86E2EE" w14:paraId="7F4ACAD8" w14:textId="06C6D2B3">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Enforces the principle of least privilege, preventing internal data leaks.</w:t>
            </w:r>
          </w:p>
        </w:tc>
      </w:tr>
      <w:tr w:rsidR="2A86E2EE" w:rsidTr="2A86E2EE" w14:paraId="32DE2333">
        <w:trPr>
          <w:trHeight w:val="300"/>
        </w:trPr>
        <w:tc>
          <w:tcPr>
            <w:tcW w:w="1656" w:type="dxa"/>
            <w:tcMar/>
            <w:vAlign w:val="center"/>
          </w:tcPr>
          <w:p w:rsidR="2A86E2EE" w:rsidP="2A86E2EE" w:rsidRDefault="2A86E2EE" w14:paraId="175E1025" w14:textId="11A1CCC5">
            <w:pPr>
              <w:spacing w:before="0" w:beforeAutospacing="off" w:after="0" w:afterAutospacing="off"/>
              <w:rPr>
                <w:rFonts w:ascii="Calibri" w:hAnsi="Calibri" w:eastAsia="Calibri" w:cs="Calibri"/>
                <w:b w:val="1"/>
                <w:bCs w:val="1"/>
                <w:color w:val="auto"/>
              </w:rPr>
            </w:pPr>
            <w:r w:rsidRPr="2A86E2EE" w:rsidR="2A86E2EE">
              <w:rPr>
                <w:rFonts w:ascii="Calibri" w:hAnsi="Calibri" w:eastAsia="Calibri" w:cs="Calibri"/>
                <w:b w:val="1"/>
                <w:bCs w:val="1"/>
                <w:color w:val="auto"/>
              </w:rPr>
              <w:t>Advanced Data Encryption</w:t>
            </w:r>
          </w:p>
        </w:tc>
        <w:tc>
          <w:tcPr>
            <w:tcW w:w="3820" w:type="dxa"/>
            <w:tcMar/>
            <w:vAlign w:val="center"/>
          </w:tcPr>
          <w:p w:rsidR="2A86E2EE" w:rsidP="2A86E2EE" w:rsidRDefault="2A86E2EE" w14:paraId="09DCDB10" w14:textId="494E68D3">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Employs AES-256 for data-at-rest and TLS 1.3 for data-in-transit.</w:t>
            </w:r>
          </w:p>
        </w:tc>
        <w:tc>
          <w:tcPr>
            <w:tcW w:w="3884" w:type="dxa"/>
            <w:tcMar/>
            <w:vAlign w:val="center"/>
          </w:tcPr>
          <w:p w:rsidR="2A86E2EE" w:rsidP="2A86E2EE" w:rsidRDefault="2A86E2EE" w14:paraId="50455A19" w14:textId="01978481">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Ensures customer payment and personal identity details remain unreadable if intercepted.</w:t>
            </w:r>
          </w:p>
        </w:tc>
      </w:tr>
      <w:tr w:rsidR="2A86E2EE" w:rsidTr="2A86E2EE" w14:paraId="2F6E463D">
        <w:trPr>
          <w:trHeight w:val="300"/>
        </w:trPr>
        <w:tc>
          <w:tcPr>
            <w:tcW w:w="1656" w:type="dxa"/>
            <w:tcMar/>
            <w:vAlign w:val="center"/>
          </w:tcPr>
          <w:p w:rsidR="2A86E2EE" w:rsidP="2A86E2EE" w:rsidRDefault="2A86E2EE" w14:paraId="561270EC" w14:textId="49CD7CD8">
            <w:pPr>
              <w:spacing w:before="0" w:beforeAutospacing="off" w:after="0" w:afterAutospacing="off"/>
              <w:rPr>
                <w:rFonts w:ascii="Calibri" w:hAnsi="Calibri" w:eastAsia="Calibri" w:cs="Calibri"/>
                <w:b w:val="1"/>
                <w:bCs w:val="1"/>
                <w:color w:val="auto"/>
              </w:rPr>
            </w:pPr>
            <w:r w:rsidRPr="2A86E2EE" w:rsidR="2A86E2EE">
              <w:rPr>
                <w:rFonts w:ascii="Calibri" w:hAnsi="Calibri" w:eastAsia="Calibri" w:cs="Calibri"/>
                <w:b w:val="1"/>
                <w:bCs w:val="1"/>
                <w:color w:val="auto"/>
              </w:rPr>
              <w:t>Automated Backups &amp; DR</w:t>
            </w:r>
          </w:p>
        </w:tc>
        <w:tc>
          <w:tcPr>
            <w:tcW w:w="3820" w:type="dxa"/>
            <w:tcMar/>
            <w:vAlign w:val="center"/>
          </w:tcPr>
          <w:p w:rsidR="2A86E2EE" w:rsidP="2A86E2EE" w:rsidRDefault="2A86E2EE" w14:paraId="572E2E63" w14:textId="72E4E203">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Real-time cloud replication across geographically distributed data centers.</w:t>
            </w:r>
          </w:p>
        </w:tc>
        <w:tc>
          <w:tcPr>
            <w:tcW w:w="3884" w:type="dxa"/>
            <w:tcMar/>
            <w:vAlign w:val="center"/>
          </w:tcPr>
          <w:p w:rsidR="2A86E2EE" w:rsidP="2A86E2EE" w:rsidRDefault="2A86E2EE" w14:paraId="3D398991" w14:textId="7E52EA8F">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Minimizes recovery time objectives (RTO) in ransom or outage scenarios.</w:t>
            </w:r>
          </w:p>
        </w:tc>
      </w:tr>
      <w:tr w:rsidR="2A86E2EE" w:rsidTr="2A86E2EE" w14:paraId="0350C331">
        <w:trPr>
          <w:trHeight w:val="300"/>
        </w:trPr>
        <w:tc>
          <w:tcPr>
            <w:tcW w:w="1656" w:type="dxa"/>
            <w:tcMar/>
            <w:vAlign w:val="center"/>
          </w:tcPr>
          <w:p w:rsidR="2A86E2EE" w:rsidP="2A86E2EE" w:rsidRDefault="2A86E2EE" w14:paraId="04576B89" w14:textId="38CF898A">
            <w:pPr>
              <w:spacing w:before="0" w:beforeAutospacing="off" w:after="0" w:afterAutospacing="off"/>
              <w:rPr>
                <w:rFonts w:ascii="Calibri" w:hAnsi="Calibri" w:eastAsia="Calibri" w:cs="Calibri"/>
                <w:b w:val="1"/>
                <w:bCs w:val="1"/>
                <w:color w:val="auto"/>
              </w:rPr>
            </w:pPr>
            <w:r w:rsidRPr="2A86E2EE" w:rsidR="2A86E2EE">
              <w:rPr>
                <w:rFonts w:ascii="Calibri" w:hAnsi="Calibri" w:eastAsia="Calibri" w:cs="Calibri"/>
                <w:b w:val="1"/>
                <w:bCs w:val="1"/>
                <w:color w:val="auto"/>
              </w:rPr>
              <w:t>Immutable Audit Logs</w:t>
            </w:r>
          </w:p>
        </w:tc>
        <w:tc>
          <w:tcPr>
            <w:tcW w:w="3820" w:type="dxa"/>
            <w:tcMar/>
            <w:vAlign w:val="center"/>
          </w:tcPr>
          <w:p w:rsidR="2A86E2EE" w:rsidP="2A86E2EE" w:rsidRDefault="2A86E2EE" w14:paraId="34FA5C19" w14:textId="4A50E59C">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Cryptographically logs every system transaction and user login.</w:t>
            </w:r>
          </w:p>
        </w:tc>
        <w:tc>
          <w:tcPr>
            <w:tcW w:w="3884" w:type="dxa"/>
            <w:tcMar/>
            <w:vAlign w:val="center"/>
          </w:tcPr>
          <w:p w:rsidR="2A86E2EE" w:rsidP="2A86E2EE" w:rsidRDefault="2A86E2EE" w14:paraId="20C0077A" w14:textId="7CE4438C">
            <w:pPr>
              <w:spacing w:before="0" w:beforeAutospacing="off" w:after="0" w:afterAutospacing="off"/>
              <w:rPr>
                <w:rFonts w:ascii="Calibri" w:hAnsi="Calibri" w:eastAsia="Calibri" w:cs="Calibri"/>
                <w:color w:val="auto"/>
              </w:rPr>
            </w:pPr>
            <w:r w:rsidRPr="2A86E2EE" w:rsidR="2A86E2EE">
              <w:rPr>
                <w:rFonts w:ascii="Calibri" w:hAnsi="Calibri" w:eastAsia="Calibri" w:cs="Calibri"/>
                <w:color w:val="auto"/>
              </w:rPr>
              <w:t>Provides forensic documentation required for GDPR compliance reviews.</w:t>
            </w:r>
          </w:p>
        </w:tc>
      </w:tr>
    </w:tbl>
    <w:p w:rsidR="2EF2ECBF" w:rsidP="2A86E2EE" w:rsidRDefault="2EF2ECBF" w14:paraId="0954D89E" w14:textId="6284ADAB">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Under GDPR, organizations must prove "privacy by design and default" (European Union, 2016). The proposed CRM/ERP architecture enforces compliance by structuring data fields to respect data subject rights, such as the "Right to be Forgotten" (Article 17). Automated data retention policies can purge customer records once their retention period expires, shielding Maldiva Ltd. from regulatory fines.</w:t>
      </w:r>
    </w:p>
    <w:p w:rsidR="2EF2ECBF" w:rsidP="2A86E2EE" w:rsidRDefault="2EF2ECBF" w14:paraId="0CAB69D4" w14:textId="747CE509">
      <w:pPr>
        <w:pStyle w:val="Heading2"/>
        <w:bidi w:val="0"/>
        <w:spacing w:before="299" w:beforeAutospacing="off" w:after="299" w:afterAutospacing="off"/>
        <w:rPr>
          <w:rFonts w:ascii="Calibri" w:hAnsi="Calibri" w:eastAsia="Calibri" w:cs="Calibri"/>
          <w:b w:val="1"/>
          <w:bCs w:val="1"/>
          <w:noProof w:val="0"/>
          <w:color w:val="auto"/>
          <w:sz w:val="36"/>
          <w:szCs w:val="36"/>
          <w:lang w:val="en-US"/>
        </w:rPr>
      </w:pPr>
      <w:r w:rsidRPr="2A86E2EE" w:rsidR="2EF2ECBF">
        <w:rPr>
          <w:rFonts w:ascii="Calibri" w:hAnsi="Calibri" w:eastAsia="Calibri" w:cs="Calibri"/>
          <w:b w:val="1"/>
          <w:bCs w:val="1"/>
          <w:noProof w:val="0"/>
          <w:color w:val="auto"/>
          <w:sz w:val="36"/>
          <w:szCs w:val="36"/>
          <w:lang w:val="en-US"/>
        </w:rPr>
        <w:t>Implementation Methodology and Phased Rollout</w:t>
      </w:r>
    </w:p>
    <w:p w:rsidR="2EF2ECBF" w:rsidP="2A86E2EE" w:rsidRDefault="2EF2ECBF" w14:paraId="15ABC169" w14:textId="63505A4C">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To minimize disruption and manage project risks, a phased implementation plan is proposed (O'Brien and Marakas, 2019).</w:t>
      </w:r>
    </w:p>
    <w:p w:rsidR="2EF2ECBF" w:rsidP="2A86E2EE" w:rsidRDefault="2EF2ECBF" w14:paraId="605BD43F" w14:textId="792392A0">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Phase 1: Requirements Analysis</w:t>
      </w:r>
    </w:p>
    <w:p w:rsidR="2EF2ECBF" w:rsidP="2A86E2EE" w:rsidRDefault="2EF2ECBF" w14:paraId="33308D64" w14:textId="236814C0">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A dedicated, cross-functional steering committee must be established, comprising the CIO, financial controllers, logistics managers, and external IT consultants. This phase focuses on mapping current "as-is" workflows and designing desired "to-be" workflows to define functional software requirements.</w:t>
      </w:r>
    </w:p>
    <w:p w:rsidR="2EF2ECBF" w:rsidP="2A86E2EE" w:rsidRDefault="2EF2ECBF" w14:paraId="05DE8332" w14:textId="1C2B1893">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Phase 2: System Selection</w:t>
      </w:r>
    </w:p>
    <w:p w:rsidR="2EF2ECBF" w:rsidP="2A86E2EE" w:rsidRDefault="2EF2ECBF" w14:paraId="4C0B318D" w14:textId="49C24316">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The steering committee evaluates competing software vendors against a weighted selection matrix. Key criteria include:</w:t>
      </w:r>
    </w:p>
    <w:p w:rsidR="2EF2ECBF" w:rsidP="2A86E2EE" w:rsidRDefault="2EF2ECBF" w14:paraId="7FDA4A15" w14:textId="172204E1">
      <w:pPr>
        <w:pStyle w:val="ListParagraph"/>
        <w:numPr>
          <w:ilvl w:val="0"/>
          <w:numId w:val="10"/>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Functional fit to requirements (35%)</w:t>
      </w:r>
    </w:p>
    <w:p w:rsidR="2EF2ECBF" w:rsidP="2A86E2EE" w:rsidRDefault="2EF2ECBF" w14:paraId="6E21B8F5" w14:textId="4AC3DBA3">
      <w:pPr>
        <w:pStyle w:val="ListParagraph"/>
        <w:numPr>
          <w:ilvl w:val="0"/>
          <w:numId w:val="10"/>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Total cost of ownership, including licensing, implementation, and maintenance (25%)</w:t>
      </w:r>
    </w:p>
    <w:p w:rsidR="2EF2ECBF" w:rsidP="2A86E2EE" w:rsidRDefault="2EF2ECBF" w14:paraId="278E9763" w14:textId="0A60F35D">
      <w:pPr>
        <w:pStyle w:val="ListParagraph"/>
        <w:numPr>
          <w:ilvl w:val="0"/>
          <w:numId w:val="10"/>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Security architectures and compliance features (20%)</w:t>
      </w:r>
    </w:p>
    <w:p w:rsidR="2EF2ECBF" w:rsidP="2A86E2EE" w:rsidRDefault="2EF2ECBF" w14:paraId="09F130EB" w14:textId="1DD3EF2C">
      <w:pPr>
        <w:pStyle w:val="ListParagraph"/>
        <w:numPr>
          <w:ilvl w:val="0"/>
          <w:numId w:val="10"/>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Integration capabilities and user experience (20%)</w:t>
      </w:r>
    </w:p>
    <w:p w:rsidR="2EF2ECBF" w:rsidP="2A86E2EE" w:rsidRDefault="2EF2ECBF" w14:paraId="6D3E03A0" w14:textId="22CCD121">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Phase 3: System Design &amp; Configuration</w:t>
      </w:r>
    </w:p>
    <w:p w:rsidR="2EF2ECBF" w:rsidP="2A86E2EE" w:rsidRDefault="2EF2ECBF" w14:paraId="1872CD63" w14:textId="540272D3">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This stage translates requirements into system configurations. Cloud environments are provisioned, chart of accounts structures are aligned with financial standards, database schemas are defined, and user access groups are established. Crucially, legacy data structures are reviewed to identify data cleanup opportunities.</w:t>
      </w:r>
    </w:p>
    <w:p w:rsidR="2EF2ECBF" w:rsidP="2A86E2EE" w:rsidRDefault="2EF2ECBF" w14:paraId="79A474A4" w14:textId="4E51E91B">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Phase 4: Data Cleansing and Migration</w:t>
      </w:r>
    </w:p>
    <w:p w:rsidR="2EF2ECBF" w:rsidP="2A86E2EE" w:rsidRDefault="2EF2ECBF" w14:paraId="205AF22B" w14:textId="65F5D74F">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"Garbage in, garbage out" (GIGO) is a primary reason ERP implementations fail (Stair and Reynolds, 2021). Before transferring legacy records into the new database, the data must undergo an extensive ETL process. Duplicate customer records, obsolete SKU entries, and incorrect billing histories are scrubbed, ensuring clean datasets.</w:t>
      </w:r>
    </w:p>
    <w:p w:rsidR="2EF2ECBF" w:rsidP="2A86E2EE" w:rsidRDefault="2EF2ECBF" w14:paraId="06DA2269" w14:textId="370BFE3B">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Phase 5: Comprehensive Staff Training</w:t>
      </w:r>
    </w:p>
    <w:p w:rsidR="2EF2ECBF" w:rsidP="2A86E2EE" w:rsidRDefault="2EF2ECBF" w14:paraId="4078A29B" w14:textId="523379E3">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According to the Technology Acceptance Model (TAM), perceived usefulness and perceived ease of use are the primary drivers of technology adoption (Davis, 1989). A comprehensive training program is essential. Training should be tailored to specific user cohorts (e.g., cashiers, warehouse operators) and reinforced with clear user manuals, reference guides, and sandbox practice environments.</w:t>
      </w:r>
    </w:p>
    <w:p w:rsidR="2EF2ECBF" w:rsidP="2A86E2EE" w:rsidRDefault="2EF2ECBF" w14:paraId="04898958" w14:textId="30A21440">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Phase 6: System and Security Testing</w:t>
      </w:r>
    </w:p>
    <w:p w:rsidR="2EF2ECBF" w:rsidP="2A86E2EE" w:rsidRDefault="2EF2ECBF" w14:paraId="41925FB9" w14:textId="19981B14">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Rigorous testing protocols must be executed prior to launch:</w:t>
      </w:r>
    </w:p>
    <w:p w:rsidR="2EF2ECBF" w:rsidP="2A86E2EE" w:rsidRDefault="2EF2ECBF" w14:paraId="1801CC42" w14:textId="4D95BA57">
      <w:pPr>
        <w:pStyle w:val="ListParagraph"/>
        <w:numPr>
          <w:ilvl w:val="0"/>
          <w:numId w:val="11"/>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User Acceptance Testing (UAT):</w:t>
      </w:r>
      <w:r w:rsidRPr="2A86E2EE" w:rsidR="2EF2ECBF">
        <w:rPr>
          <w:rFonts w:ascii="Calibri" w:hAnsi="Calibri" w:eastAsia="Calibri" w:cs="Calibri"/>
          <w:noProof w:val="0"/>
          <w:color w:val="auto"/>
          <w:sz w:val="24"/>
          <w:szCs w:val="24"/>
          <w:lang w:val="en-US"/>
        </w:rPr>
        <w:t xml:space="preserve"> Verifies that business users can successfully complete daily tasks.</w:t>
      </w:r>
    </w:p>
    <w:p w:rsidR="2EF2ECBF" w:rsidP="2A86E2EE" w:rsidRDefault="2EF2ECBF" w14:paraId="23A8E5AF" w14:textId="6FBBE162">
      <w:pPr>
        <w:pStyle w:val="ListParagraph"/>
        <w:numPr>
          <w:ilvl w:val="0"/>
          <w:numId w:val="11"/>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Integration Testing:</w:t>
      </w:r>
      <w:r w:rsidRPr="2A86E2EE" w:rsidR="2EF2ECBF">
        <w:rPr>
          <w:rFonts w:ascii="Calibri" w:hAnsi="Calibri" w:eastAsia="Calibri" w:cs="Calibri"/>
          <w:noProof w:val="0"/>
          <w:color w:val="auto"/>
          <w:sz w:val="24"/>
          <w:szCs w:val="24"/>
          <w:lang w:val="en-US"/>
        </w:rPr>
        <w:t xml:space="preserve"> Ensures data flows smoothly between the ERP, CRM, and BI systems without loss.</w:t>
      </w:r>
    </w:p>
    <w:p w:rsidR="2EF2ECBF" w:rsidP="2A86E2EE" w:rsidRDefault="2EF2ECBF" w14:paraId="2B9E6AA8" w14:textId="338CB3FE">
      <w:pPr>
        <w:pStyle w:val="ListParagraph"/>
        <w:numPr>
          <w:ilvl w:val="0"/>
          <w:numId w:val="11"/>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b w:val="1"/>
          <w:bCs w:val="1"/>
          <w:noProof w:val="0"/>
          <w:color w:val="auto"/>
          <w:sz w:val="24"/>
          <w:szCs w:val="24"/>
          <w:lang w:val="en-US"/>
        </w:rPr>
        <w:t>Vulnerability Assessments:</w:t>
      </w:r>
      <w:r w:rsidRPr="2A86E2EE" w:rsidR="2EF2ECBF">
        <w:rPr>
          <w:rFonts w:ascii="Calibri" w:hAnsi="Calibri" w:eastAsia="Calibri" w:cs="Calibri"/>
          <w:noProof w:val="0"/>
          <w:color w:val="auto"/>
          <w:sz w:val="24"/>
          <w:szCs w:val="24"/>
          <w:lang w:val="en-US"/>
        </w:rPr>
        <w:t xml:space="preserve"> Confirms security controls are robust under attack scenarios.</w:t>
      </w:r>
    </w:p>
    <w:p w:rsidR="2EF2ECBF" w:rsidP="2A86E2EE" w:rsidRDefault="2EF2ECBF" w14:paraId="1A32D4D4" w14:textId="680CB1A8">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Phase 7: Go-Live and Pilot Rollout</w:t>
      </w:r>
    </w:p>
    <w:p w:rsidR="2EF2ECBF" w:rsidP="2A86E2EE" w:rsidRDefault="2EF2ECBF" w14:paraId="78FA01A4" w14:textId="2B3AF741">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To mitigate operational risk, a pilot implementation strategy is recommended over a "big bang" approach. The system will initially go live in only three physical stores and the digital storefront. This allows the implementation team to isolate and resolve unexpected bugs before deploying the system to the remaining 27 physical locations.</w:t>
      </w:r>
    </w:p>
    <w:p w:rsidR="2EF2ECBF" w:rsidP="2A86E2EE" w:rsidRDefault="2EF2ECBF" w14:paraId="4F4CFE19" w14:textId="47831DDC">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Phase 8: Continuous Monitoring &amp; Optimization</w:t>
      </w:r>
    </w:p>
    <w:p w:rsidR="2EF2ECBF" w:rsidP="2A86E2EE" w:rsidRDefault="2EF2ECBF" w14:paraId="184D08FF" w14:textId="190B2350">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Post-implementation, the IT steering committee transitions to continuous monitoring. Systems performance metrics (e.g., API response times) and user satisfaction surveys are evaluated regularly. Software patches and security configurations are updated dynamically to counter evolving cyber threats.</w:t>
      </w:r>
    </w:p>
    <w:p w:rsidR="2EF2ECBF" w:rsidP="2A86E2EE" w:rsidRDefault="2EF2ECBF" w14:paraId="69ACA76B" w14:textId="79E866C9">
      <w:pPr>
        <w:pStyle w:val="Heading2"/>
        <w:bidi w:val="0"/>
        <w:spacing w:before="299" w:beforeAutospacing="off" w:after="299" w:afterAutospacing="off"/>
        <w:rPr>
          <w:rFonts w:ascii="Calibri" w:hAnsi="Calibri" w:eastAsia="Calibri" w:cs="Calibri"/>
          <w:b w:val="1"/>
          <w:bCs w:val="1"/>
          <w:noProof w:val="0"/>
          <w:color w:val="auto"/>
          <w:sz w:val="36"/>
          <w:szCs w:val="36"/>
          <w:lang w:val="en-US"/>
        </w:rPr>
      </w:pPr>
      <w:r w:rsidRPr="2A86E2EE" w:rsidR="2EF2ECBF">
        <w:rPr>
          <w:rFonts w:ascii="Calibri" w:hAnsi="Calibri" w:eastAsia="Calibri" w:cs="Calibri"/>
          <w:b w:val="1"/>
          <w:bCs w:val="1"/>
          <w:noProof w:val="0"/>
          <w:color w:val="auto"/>
          <w:sz w:val="36"/>
          <w:szCs w:val="36"/>
          <w:lang w:val="en-US"/>
        </w:rPr>
        <w:t>Managing Implementation Challenges and Change Management</w:t>
      </w:r>
    </w:p>
    <w:p w:rsidR="2EF2ECBF" w:rsidP="2A86E2EE" w:rsidRDefault="2EF2ECBF" w14:paraId="4D740F21" w14:textId="79904314">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ERP implementations represent massive socio-technical shifts that often meet with organizational inertia. According to Lewin’s Three-Step Change Model, successful change management requires unfreezing the current state, moving to the new state, and refreezing the change to prevent employees from reverting to legacy habits (Lewin, 1951).</w:t>
      </w:r>
    </w:p>
    <w:p w:rsidR="2EF2ECBF" w:rsidP="2A86E2EE" w:rsidRDefault="2EF2ECBF" w14:paraId="2827F18E" w14:textId="38E07230">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Employee Resistance</w:t>
      </w:r>
    </w:p>
    <w:p w:rsidR="2EF2ECBF" w:rsidP="2A86E2EE" w:rsidRDefault="2EF2ECBF" w14:paraId="77F891CA" w14:textId="4D7CB145">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The shift from informal, spreadsheet-based processes to structured, auditable ERP workflows can cause anxiety among employees. To address this, leadership must clearly communicate the benefits of the new system—such as the elimination of repetitive manual entry—while providing robust support channels and identifying "Change Champions" within each department to foster peer-to-peer training.</w:t>
      </w:r>
    </w:p>
    <w:p w:rsidR="2EF2ECBF" w:rsidP="2A86E2EE" w:rsidRDefault="2EF2ECBF" w14:paraId="4FDC94B8" w14:textId="7D24A370">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Data Migration Integrity</w:t>
      </w:r>
    </w:p>
    <w:p w:rsidR="2EF2ECBF" w:rsidP="2A86E2EE" w:rsidRDefault="2EF2ECBF" w14:paraId="4CEEBCA6" w14:textId="08819E2A">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Migrating disjointed data into a structured system carries operational risk. If inventory balances or customer records are mapped incorrectly, it can disrupt sales. To manage this risk, Maldiva Ltd. must execute multiple dry-run migrations in testing environments to validate data mapping rules before the final cutover.</w:t>
      </w:r>
    </w:p>
    <w:p w:rsidR="2EF2ECBF" w:rsidP="2A86E2EE" w:rsidRDefault="2EF2ECBF" w14:paraId="08528C67" w14:textId="4DA1BE71">
      <w:pPr>
        <w:pStyle w:val="Heading3"/>
        <w:bidi w:val="0"/>
        <w:spacing w:before="281" w:beforeAutospacing="off" w:after="281" w:afterAutospacing="off"/>
        <w:rPr>
          <w:rFonts w:ascii="Calibri" w:hAnsi="Calibri" w:eastAsia="Calibri" w:cs="Calibri"/>
          <w:b w:val="1"/>
          <w:bCs w:val="1"/>
          <w:noProof w:val="0"/>
          <w:color w:val="auto"/>
          <w:sz w:val="28"/>
          <w:szCs w:val="28"/>
          <w:lang w:val="en-US"/>
        </w:rPr>
      </w:pPr>
      <w:r w:rsidRPr="2A86E2EE" w:rsidR="2EF2ECBF">
        <w:rPr>
          <w:rFonts w:ascii="Calibri" w:hAnsi="Calibri" w:eastAsia="Calibri" w:cs="Calibri"/>
          <w:b w:val="1"/>
          <w:bCs w:val="1"/>
          <w:noProof w:val="0"/>
          <w:color w:val="auto"/>
          <w:sz w:val="28"/>
          <w:szCs w:val="28"/>
          <w:lang w:val="en-US"/>
        </w:rPr>
        <w:t>Minimizing Operational Disruption</w:t>
      </w:r>
    </w:p>
    <w:p w:rsidR="2EF2ECBF" w:rsidP="2A86E2EE" w:rsidRDefault="2EF2ECBF" w14:paraId="65AD4F45" w14:textId="13DD6C3C">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Deploying a new system can temporarily slow down transaction times and order fulfillment. By adopting the phased rollout strategy outlined in Phase 7, Maldiva Ltd. isolates these disruptions to a small subset of the business, protecting overall revenue during the transition.</w:t>
      </w:r>
    </w:p>
    <w:p w:rsidR="2EF2ECBF" w:rsidP="2A86E2EE" w:rsidRDefault="2EF2ECBF" w14:paraId="02F05D97" w14:textId="06A69225">
      <w:pPr>
        <w:pStyle w:val="Heading2"/>
        <w:bidi w:val="0"/>
        <w:spacing w:before="299" w:beforeAutospacing="off" w:after="299" w:afterAutospacing="off"/>
        <w:rPr>
          <w:rFonts w:ascii="Calibri" w:hAnsi="Calibri" w:eastAsia="Calibri" w:cs="Calibri"/>
          <w:b w:val="1"/>
          <w:bCs w:val="1"/>
          <w:noProof w:val="0"/>
          <w:color w:val="auto"/>
          <w:sz w:val="36"/>
          <w:szCs w:val="36"/>
          <w:lang w:val="en-US"/>
        </w:rPr>
      </w:pPr>
      <w:r w:rsidRPr="2A86E2EE" w:rsidR="2EF2ECBF">
        <w:rPr>
          <w:rFonts w:ascii="Calibri" w:hAnsi="Calibri" w:eastAsia="Calibri" w:cs="Calibri"/>
          <w:b w:val="1"/>
          <w:bCs w:val="1"/>
          <w:noProof w:val="0"/>
          <w:color w:val="auto"/>
          <w:sz w:val="36"/>
          <w:szCs w:val="36"/>
          <w:lang w:val="en-US"/>
        </w:rPr>
        <w:t>Justification and Strategic Return on Investment (ROI)</w:t>
      </w:r>
    </w:p>
    <w:p w:rsidR="2EF2ECBF" w:rsidP="2A86E2EE" w:rsidRDefault="2EF2ECBF" w14:paraId="77232B84" w14:textId="42837D35">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While the capital cost of implementing an integrated ERP, CRM, and BI system is substantial, the strategic and operational returns justify the investment.</w:t>
      </w:r>
    </w:p>
    <w:p w:rsidR="2EF2ECBF" w:rsidP="2A86E2EE" w:rsidRDefault="2EF2ECBF" w14:paraId="344E3B59" w14:textId="6388F645">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The unified cloud architecture eliminates the direct and indirect costs of manual data entry, incorrect inventory records, and missed sales opportunities. Over a 3-to-5-year horizon, the reduction in labor costs, optimized warehouse carrying capacity, increased customer retention, and mitigation of compliance risks will deliver a substantial, quantifiable return on investment. Furthermore, the scalable, cloud-based infrastructure provides a modern technological foundation that allows Maldiva Ltd. to rapidly onboard new retail locations and easily adapt to shifting market demands.</w:t>
      </w:r>
    </w:p>
    <w:p w:rsidR="2EF2ECBF" w:rsidP="2A86E2EE" w:rsidRDefault="2EF2ECBF" w14:paraId="46ECFB48" w14:textId="4E0DB6C0">
      <w:pPr>
        <w:pStyle w:val="Heading2"/>
        <w:bidi w:val="0"/>
        <w:spacing w:before="299" w:beforeAutospacing="off" w:after="299" w:afterAutospacing="off"/>
        <w:rPr>
          <w:rFonts w:ascii="Calibri" w:hAnsi="Calibri" w:eastAsia="Calibri" w:cs="Calibri"/>
          <w:b w:val="1"/>
          <w:bCs w:val="1"/>
          <w:noProof w:val="0"/>
          <w:color w:val="auto"/>
          <w:sz w:val="36"/>
          <w:szCs w:val="36"/>
          <w:lang w:val="en-US"/>
        </w:rPr>
      </w:pPr>
      <w:r w:rsidRPr="2A86E2EE" w:rsidR="2EF2ECBF">
        <w:rPr>
          <w:rFonts w:ascii="Calibri" w:hAnsi="Calibri" w:eastAsia="Calibri" w:cs="Calibri"/>
          <w:b w:val="1"/>
          <w:bCs w:val="1"/>
          <w:noProof w:val="0"/>
          <w:color w:val="auto"/>
          <w:sz w:val="36"/>
          <w:szCs w:val="36"/>
          <w:lang w:val="en-US"/>
        </w:rPr>
        <w:t>Conclusion</w:t>
      </w:r>
    </w:p>
    <w:p w:rsidR="2EF2ECBF" w:rsidP="2A86E2EE" w:rsidRDefault="2EF2ECBF" w14:paraId="0A88873F" w14:textId="52D2437F">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Maldiva Ltd. stands at a critical juncture where its legacy IT infrastructure can no longer support its growth. Continuing to rely on fragmented spreadsheets, manual stock counts, and siloed customer databases will lead to inventory errors, customer churn, and increased regulatory risks under GDPR.</w:t>
      </w:r>
    </w:p>
    <w:p w:rsidR="2EF2ECBF" w:rsidP="2A86E2EE" w:rsidRDefault="2EF2ECBF" w14:paraId="1F3687D7" w14:textId="7F93E633">
      <w:p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Implementing an integrated, cloud-based ERP system, backed by CRM software and BI analytics, offers a proven, scalable solution. By automating workflows, centralizing transactional data, and offering real-time visibility, this architecture will eliminate operational inefficiencies and improve strategic decision-making. Managed through a careful, phased implementation methodology and structured change management practices, this digital transformation will secure a strong competitive advantage for Maldiva Ltd. and support its future expansion in the consumer electronics market.</w:t>
      </w:r>
    </w:p>
    <w:p w:rsidR="2EF2ECBF" w:rsidP="2A86E2EE" w:rsidRDefault="2EF2ECBF" w14:paraId="194B6BC8" w14:textId="5A250468">
      <w:pPr>
        <w:pStyle w:val="Heading2"/>
        <w:bidi w:val="0"/>
        <w:spacing w:before="299" w:beforeAutospacing="off" w:after="299" w:afterAutospacing="off"/>
        <w:rPr>
          <w:rFonts w:ascii="Calibri" w:hAnsi="Calibri" w:eastAsia="Calibri" w:cs="Calibri"/>
          <w:b w:val="1"/>
          <w:bCs w:val="1"/>
          <w:noProof w:val="0"/>
          <w:color w:val="auto"/>
          <w:sz w:val="36"/>
          <w:szCs w:val="36"/>
          <w:lang w:val="en-US"/>
        </w:rPr>
      </w:pPr>
      <w:r w:rsidRPr="2A86E2EE" w:rsidR="2EF2ECBF">
        <w:rPr>
          <w:rFonts w:ascii="Calibri" w:hAnsi="Calibri" w:eastAsia="Calibri" w:cs="Calibri"/>
          <w:b w:val="1"/>
          <w:bCs w:val="1"/>
          <w:noProof w:val="0"/>
          <w:color w:val="auto"/>
          <w:sz w:val="36"/>
          <w:szCs w:val="36"/>
          <w:lang w:val="en-US"/>
        </w:rPr>
        <w:t>References</w:t>
      </w:r>
    </w:p>
    <w:p w:rsidR="2EF2ECBF" w:rsidP="2A86E2EE" w:rsidRDefault="2EF2ECBF" w14:paraId="12EA9680" w14:textId="20061724">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Barney, J. (1991) 'Firm Resources and Sustained Competitive Advantage', </w:t>
      </w:r>
      <w:r w:rsidRPr="2A86E2EE" w:rsidR="2EF2ECBF">
        <w:rPr>
          <w:rFonts w:ascii="Calibri" w:hAnsi="Calibri" w:eastAsia="Calibri" w:cs="Calibri"/>
          <w:i w:val="1"/>
          <w:iCs w:val="1"/>
          <w:noProof w:val="0"/>
          <w:color w:val="auto"/>
          <w:sz w:val="24"/>
          <w:szCs w:val="24"/>
          <w:lang w:val="en-US"/>
        </w:rPr>
        <w:t>Journal of Management</w:t>
      </w:r>
      <w:r w:rsidRPr="2A86E2EE" w:rsidR="2EF2ECBF">
        <w:rPr>
          <w:rFonts w:ascii="Calibri" w:hAnsi="Calibri" w:eastAsia="Calibri" w:cs="Calibri"/>
          <w:noProof w:val="0"/>
          <w:color w:val="auto"/>
          <w:sz w:val="24"/>
          <w:szCs w:val="24"/>
          <w:lang w:val="en-US"/>
        </w:rPr>
        <w:t>, 17(1), pp. 99–120.</w:t>
      </w:r>
    </w:p>
    <w:p w:rsidR="2EF2ECBF" w:rsidP="2A86E2EE" w:rsidRDefault="2EF2ECBF" w14:paraId="154059D1" w14:textId="118026A5">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Chaffey, D. and Ellis-Chadwick, F. (2019) </w:t>
      </w:r>
      <w:r w:rsidRPr="2A86E2EE" w:rsidR="2EF2ECBF">
        <w:rPr>
          <w:rFonts w:ascii="Calibri" w:hAnsi="Calibri" w:eastAsia="Calibri" w:cs="Calibri"/>
          <w:i w:val="1"/>
          <w:iCs w:val="1"/>
          <w:noProof w:val="0"/>
          <w:color w:val="auto"/>
          <w:sz w:val="24"/>
          <w:szCs w:val="24"/>
          <w:lang w:val="en-US"/>
        </w:rPr>
        <w:t>Digital Marketing: Strategy, Implementation and Practice</w:t>
      </w:r>
      <w:r w:rsidRPr="2A86E2EE" w:rsidR="2EF2ECBF">
        <w:rPr>
          <w:rFonts w:ascii="Calibri" w:hAnsi="Calibri" w:eastAsia="Calibri" w:cs="Calibri"/>
          <w:noProof w:val="0"/>
          <w:color w:val="auto"/>
          <w:sz w:val="24"/>
          <w:szCs w:val="24"/>
          <w:lang w:val="en-US"/>
        </w:rPr>
        <w:t>. 7th ed. Harlow: Pearson.</w:t>
      </w:r>
    </w:p>
    <w:p w:rsidR="2EF2ECBF" w:rsidP="2A86E2EE" w:rsidRDefault="2EF2ECBF" w14:paraId="49703E08" w14:textId="3B376ACD">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Davis, F.D. (1989) 'Perceived Usefulness, Perceived Ease of Use, and User Acceptance of Information Technology', </w:t>
      </w:r>
      <w:r w:rsidRPr="2A86E2EE" w:rsidR="2EF2ECBF">
        <w:rPr>
          <w:rFonts w:ascii="Calibri" w:hAnsi="Calibri" w:eastAsia="Calibri" w:cs="Calibri"/>
          <w:i w:val="1"/>
          <w:iCs w:val="1"/>
          <w:noProof w:val="0"/>
          <w:color w:val="auto"/>
          <w:sz w:val="24"/>
          <w:szCs w:val="24"/>
          <w:lang w:val="en-US"/>
        </w:rPr>
        <w:t>MIS Quarterly</w:t>
      </w:r>
      <w:r w:rsidRPr="2A86E2EE" w:rsidR="2EF2ECBF">
        <w:rPr>
          <w:rFonts w:ascii="Calibri" w:hAnsi="Calibri" w:eastAsia="Calibri" w:cs="Calibri"/>
          <w:noProof w:val="0"/>
          <w:color w:val="auto"/>
          <w:sz w:val="24"/>
          <w:szCs w:val="24"/>
          <w:lang w:val="en-US"/>
        </w:rPr>
        <w:t>, 13(3), pp. 319–340.</w:t>
      </w:r>
    </w:p>
    <w:p w:rsidR="2EF2ECBF" w:rsidP="2A86E2EE" w:rsidRDefault="2EF2ECBF" w14:paraId="04529F12" w14:textId="1D740277">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European Union (2016) </w:t>
      </w:r>
      <w:r w:rsidRPr="2A86E2EE" w:rsidR="2EF2ECBF">
        <w:rPr>
          <w:rFonts w:ascii="Calibri" w:hAnsi="Calibri" w:eastAsia="Calibri" w:cs="Calibri"/>
          <w:i w:val="1"/>
          <w:iCs w:val="1"/>
          <w:noProof w:val="0"/>
          <w:color w:val="auto"/>
          <w:sz w:val="24"/>
          <w:szCs w:val="24"/>
          <w:lang w:val="en-US"/>
        </w:rPr>
        <w:t>General Data Protection Regulation (EU) 2016/679</w:t>
      </w:r>
      <w:r w:rsidRPr="2A86E2EE" w:rsidR="2EF2ECBF">
        <w:rPr>
          <w:rFonts w:ascii="Calibri" w:hAnsi="Calibri" w:eastAsia="Calibri" w:cs="Calibri"/>
          <w:noProof w:val="0"/>
          <w:color w:val="auto"/>
          <w:sz w:val="24"/>
          <w:szCs w:val="24"/>
          <w:lang w:val="en-US"/>
        </w:rPr>
        <w:t>. Luxembourg: Publications Office of the European Union.</w:t>
      </w:r>
    </w:p>
    <w:p w:rsidR="2EF2ECBF" w:rsidP="2A86E2EE" w:rsidRDefault="2EF2ECBF" w14:paraId="03E1EFB5" w14:textId="112C2010">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Laudon, K.C. and Laudon, J.P. (2022) </w:t>
      </w:r>
      <w:r w:rsidRPr="2A86E2EE" w:rsidR="2EF2ECBF">
        <w:rPr>
          <w:rFonts w:ascii="Calibri" w:hAnsi="Calibri" w:eastAsia="Calibri" w:cs="Calibri"/>
          <w:i w:val="1"/>
          <w:iCs w:val="1"/>
          <w:noProof w:val="0"/>
          <w:color w:val="auto"/>
          <w:sz w:val="24"/>
          <w:szCs w:val="24"/>
          <w:lang w:val="en-US"/>
        </w:rPr>
        <w:t>Management Information Systems: Managing the Digital Firm</w:t>
      </w:r>
      <w:r w:rsidRPr="2A86E2EE" w:rsidR="2EF2ECBF">
        <w:rPr>
          <w:rFonts w:ascii="Calibri" w:hAnsi="Calibri" w:eastAsia="Calibri" w:cs="Calibri"/>
          <w:noProof w:val="0"/>
          <w:color w:val="auto"/>
          <w:sz w:val="24"/>
          <w:szCs w:val="24"/>
          <w:lang w:val="en-US"/>
        </w:rPr>
        <w:t>. 17th ed. Harlow: Pearson.</w:t>
      </w:r>
    </w:p>
    <w:p w:rsidR="2EF2ECBF" w:rsidP="2A86E2EE" w:rsidRDefault="2EF2ECBF" w14:paraId="6A41DA3B" w14:textId="01629D85">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Lewin, K. (1951) </w:t>
      </w:r>
      <w:r w:rsidRPr="2A86E2EE" w:rsidR="2EF2ECBF">
        <w:rPr>
          <w:rFonts w:ascii="Calibri" w:hAnsi="Calibri" w:eastAsia="Calibri" w:cs="Calibri"/>
          <w:i w:val="1"/>
          <w:iCs w:val="1"/>
          <w:noProof w:val="0"/>
          <w:color w:val="auto"/>
          <w:sz w:val="24"/>
          <w:szCs w:val="24"/>
          <w:lang w:val="en-US"/>
        </w:rPr>
        <w:t>Field Theory in Social Science</w:t>
      </w:r>
      <w:r w:rsidRPr="2A86E2EE" w:rsidR="2EF2ECBF">
        <w:rPr>
          <w:rFonts w:ascii="Calibri" w:hAnsi="Calibri" w:eastAsia="Calibri" w:cs="Calibri"/>
          <w:noProof w:val="0"/>
          <w:color w:val="auto"/>
          <w:sz w:val="24"/>
          <w:szCs w:val="24"/>
          <w:lang w:val="en-US"/>
        </w:rPr>
        <w:t>. New York: Harper &amp; Row.</w:t>
      </w:r>
    </w:p>
    <w:p w:rsidR="2EF2ECBF" w:rsidP="2A86E2EE" w:rsidRDefault="2EF2ECBF" w14:paraId="58AB5A31" w14:textId="0E645930">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Microsoft (2024) </w:t>
      </w:r>
      <w:r w:rsidRPr="2A86E2EE" w:rsidR="2EF2ECBF">
        <w:rPr>
          <w:rFonts w:ascii="Calibri" w:hAnsi="Calibri" w:eastAsia="Calibri" w:cs="Calibri"/>
          <w:i w:val="1"/>
          <w:iCs w:val="1"/>
          <w:noProof w:val="0"/>
          <w:color w:val="auto"/>
          <w:sz w:val="24"/>
          <w:szCs w:val="24"/>
          <w:lang w:val="en-US"/>
        </w:rPr>
        <w:t>Microsoft Dynamics 365 Documentation</w:t>
      </w:r>
      <w:r w:rsidRPr="2A86E2EE" w:rsidR="2EF2ECBF">
        <w:rPr>
          <w:rFonts w:ascii="Calibri" w:hAnsi="Calibri" w:eastAsia="Calibri" w:cs="Calibri"/>
          <w:noProof w:val="0"/>
          <w:color w:val="auto"/>
          <w:sz w:val="24"/>
          <w:szCs w:val="24"/>
          <w:lang w:val="en-US"/>
        </w:rPr>
        <w:t xml:space="preserve">. Available at: </w:t>
      </w:r>
      <w:hyperlink r:id="R7afb6ebec4dc4b17">
        <w:r w:rsidRPr="2A86E2EE" w:rsidR="2EF2ECBF">
          <w:rPr>
            <w:rStyle w:val="Hyperlink"/>
            <w:rFonts w:ascii="Calibri" w:hAnsi="Calibri" w:eastAsia="Calibri" w:cs="Calibri"/>
            <w:noProof w:val="0"/>
            <w:color w:val="auto"/>
            <w:lang w:val="en-US"/>
          </w:rPr>
          <w:t>https://learn.microsoft.com/</w:t>
        </w:r>
      </w:hyperlink>
      <w:r w:rsidRPr="2A86E2EE" w:rsidR="2EF2ECBF">
        <w:rPr>
          <w:rFonts w:ascii="Calibri" w:hAnsi="Calibri" w:eastAsia="Calibri" w:cs="Calibri"/>
          <w:noProof w:val="0"/>
          <w:color w:val="auto"/>
          <w:sz w:val="24"/>
          <w:szCs w:val="24"/>
          <w:lang w:val="en-US"/>
        </w:rPr>
        <w:t xml:space="preserve"> (Accessed: 15 July 2026).</w:t>
      </w:r>
    </w:p>
    <w:p w:rsidR="2EF2ECBF" w:rsidP="2A86E2EE" w:rsidRDefault="2EF2ECBF" w14:paraId="46A5F926" w14:textId="06988499">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O'Brien, J.A. and Marakas, G.M. (2019) </w:t>
      </w:r>
      <w:r w:rsidRPr="2A86E2EE" w:rsidR="2EF2ECBF">
        <w:rPr>
          <w:rFonts w:ascii="Calibri" w:hAnsi="Calibri" w:eastAsia="Calibri" w:cs="Calibri"/>
          <w:i w:val="1"/>
          <w:iCs w:val="1"/>
          <w:noProof w:val="0"/>
          <w:color w:val="auto"/>
          <w:sz w:val="24"/>
          <w:szCs w:val="24"/>
          <w:lang w:val="en-US"/>
        </w:rPr>
        <w:t>Management Information Systems</w:t>
      </w:r>
      <w:r w:rsidRPr="2A86E2EE" w:rsidR="2EF2ECBF">
        <w:rPr>
          <w:rFonts w:ascii="Calibri" w:hAnsi="Calibri" w:eastAsia="Calibri" w:cs="Calibri"/>
          <w:noProof w:val="0"/>
          <w:color w:val="auto"/>
          <w:sz w:val="24"/>
          <w:szCs w:val="24"/>
          <w:lang w:val="en-US"/>
        </w:rPr>
        <w:t>. 11th ed. New York: McGraw-Hill.</w:t>
      </w:r>
    </w:p>
    <w:p w:rsidR="2EF2ECBF" w:rsidP="2A86E2EE" w:rsidRDefault="2EF2ECBF" w14:paraId="2B971E1F" w14:textId="2881E4CF">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Oracle (2024) </w:t>
      </w:r>
      <w:r w:rsidRPr="2A86E2EE" w:rsidR="2EF2ECBF">
        <w:rPr>
          <w:rFonts w:ascii="Calibri" w:hAnsi="Calibri" w:eastAsia="Calibri" w:cs="Calibri"/>
          <w:i w:val="1"/>
          <w:iCs w:val="1"/>
          <w:noProof w:val="0"/>
          <w:color w:val="auto"/>
          <w:sz w:val="24"/>
          <w:szCs w:val="24"/>
          <w:lang w:val="en-US"/>
        </w:rPr>
        <w:t>Oracle NetSuite ERP Overview</w:t>
      </w:r>
      <w:r w:rsidRPr="2A86E2EE" w:rsidR="2EF2ECBF">
        <w:rPr>
          <w:rFonts w:ascii="Calibri" w:hAnsi="Calibri" w:eastAsia="Calibri" w:cs="Calibri"/>
          <w:noProof w:val="0"/>
          <w:color w:val="auto"/>
          <w:sz w:val="24"/>
          <w:szCs w:val="24"/>
          <w:lang w:val="en-US"/>
        </w:rPr>
        <w:t xml:space="preserve">. Available at: </w:t>
      </w:r>
      <w:hyperlink r:id="R0ec5be737d464b88">
        <w:r w:rsidRPr="2A86E2EE" w:rsidR="2EF2ECBF">
          <w:rPr>
            <w:rStyle w:val="Hyperlink"/>
            <w:rFonts w:ascii="Calibri" w:hAnsi="Calibri" w:eastAsia="Calibri" w:cs="Calibri"/>
            <w:noProof w:val="0"/>
            <w:color w:val="auto"/>
            <w:lang w:val="en-US"/>
          </w:rPr>
          <w:t>https://www.netsuite.com/</w:t>
        </w:r>
      </w:hyperlink>
      <w:r w:rsidRPr="2A86E2EE" w:rsidR="2EF2ECBF">
        <w:rPr>
          <w:rFonts w:ascii="Calibri" w:hAnsi="Calibri" w:eastAsia="Calibri" w:cs="Calibri"/>
          <w:noProof w:val="0"/>
          <w:color w:val="auto"/>
          <w:sz w:val="24"/>
          <w:szCs w:val="24"/>
          <w:lang w:val="en-US"/>
        </w:rPr>
        <w:t xml:space="preserve"> (Accessed: 15 July 2026).</w:t>
      </w:r>
    </w:p>
    <w:p w:rsidR="2EF2ECBF" w:rsidP="2A86E2EE" w:rsidRDefault="2EF2ECBF" w14:paraId="3E849D89" w14:textId="726E21BB">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Porter, M.E. (2001) 'Strategy and the Internet', </w:t>
      </w:r>
      <w:r w:rsidRPr="2A86E2EE" w:rsidR="2EF2ECBF">
        <w:rPr>
          <w:rFonts w:ascii="Calibri" w:hAnsi="Calibri" w:eastAsia="Calibri" w:cs="Calibri"/>
          <w:i w:val="1"/>
          <w:iCs w:val="1"/>
          <w:noProof w:val="0"/>
          <w:color w:val="auto"/>
          <w:sz w:val="24"/>
          <w:szCs w:val="24"/>
          <w:lang w:val="en-US"/>
        </w:rPr>
        <w:t>Harvard Business Review</w:t>
      </w:r>
      <w:r w:rsidRPr="2A86E2EE" w:rsidR="2EF2ECBF">
        <w:rPr>
          <w:rFonts w:ascii="Calibri" w:hAnsi="Calibri" w:eastAsia="Calibri" w:cs="Calibri"/>
          <w:noProof w:val="0"/>
          <w:color w:val="auto"/>
          <w:sz w:val="24"/>
          <w:szCs w:val="24"/>
          <w:lang w:val="en-US"/>
        </w:rPr>
        <w:t>, 79(3), pp. 62–78.</w:t>
      </w:r>
    </w:p>
    <w:p w:rsidR="2EF2ECBF" w:rsidP="2A86E2EE" w:rsidRDefault="2EF2ECBF" w14:paraId="6E0A8C66" w14:textId="73F83082">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SAP (2024) </w:t>
      </w:r>
      <w:r w:rsidRPr="2A86E2EE" w:rsidR="2EF2ECBF">
        <w:rPr>
          <w:rFonts w:ascii="Calibri" w:hAnsi="Calibri" w:eastAsia="Calibri" w:cs="Calibri"/>
          <w:i w:val="1"/>
          <w:iCs w:val="1"/>
          <w:noProof w:val="0"/>
          <w:color w:val="auto"/>
          <w:sz w:val="24"/>
          <w:szCs w:val="24"/>
          <w:lang w:val="en-US"/>
        </w:rPr>
        <w:t>SAP S/4HANA Overview</w:t>
      </w:r>
      <w:r w:rsidRPr="2A86E2EE" w:rsidR="2EF2ECBF">
        <w:rPr>
          <w:rFonts w:ascii="Calibri" w:hAnsi="Calibri" w:eastAsia="Calibri" w:cs="Calibri"/>
          <w:noProof w:val="0"/>
          <w:color w:val="auto"/>
          <w:sz w:val="24"/>
          <w:szCs w:val="24"/>
          <w:lang w:val="en-US"/>
        </w:rPr>
        <w:t xml:space="preserve">. Available at: </w:t>
      </w:r>
      <w:hyperlink r:id="Rdbddf6d9b4e847e9">
        <w:r w:rsidRPr="2A86E2EE" w:rsidR="2EF2ECBF">
          <w:rPr>
            <w:rStyle w:val="Hyperlink"/>
            <w:rFonts w:ascii="Calibri" w:hAnsi="Calibri" w:eastAsia="Calibri" w:cs="Calibri"/>
            <w:noProof w:val="0"/>
            <w:color w:val="auto"/>
            <w:lang w:val="en-US"/>
          </w:rPr>
          <w:t>https://www.sap.com/</w:t>
        </w:r>
      </w:hyperlink>
      <w:r w:rsidRPr="2A86E2EE" w:rsidR="2EF2ECBF">
        <w:rPr>
          <w:rFonts w:ascii="Calibri" w:hAnsi="Calibri" w:eastAsia="Calibri" w:cs="Calibri"/>
          <w:noProof w:val="0"/>
          <w:color w:val="auto"/>
          <w:sz w:val="24"/>
          <w:szCs w:val="24"/>
          <w:lang w:val="en-US"/>
        </w:rPr>
        <w:t xml:space="preserve"> (Accessed: 15 July 2026).</w:t>
      </w:r>
    </w:p>
    <w:p w:rsidR="2EF2ECBF" w:rsidP="2A86E2EE" w:rsidRDefault="2EF2ECBF" w14:paraId="60A8C383" w14:textId="4F05217F">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Sharda, R., Delen, D. and Turban, E. (2020) </w:t>
      </w:r>
      <w:r w:rsidRPr="2A86E2EE" w:rsidR="2EF2ECBF">
        <w:rPr>
          <w:rFonts w:ascii="Calibri" w:hAnsi="Calibri" w:eastAsia="Calibri" w:cs="Calibri"/>
          <w:i w:val="1"/>
          <w:iCs w:val="1"/>
          <w:noProof w:val="0"/>
          <w:color w:val="auto"/>
          <w:sz w:val="24"/>
          <w:szCs w:val="24"/>
          <w:lang w:val="en-US"/>
        </w:rPr>
        <w:t>Analytics, Data Science, &amp; Artificial Intelligence: Systems for Decision Support</w:t>
      </w:r>
      <w:r w:rsidRPr="2A86E2EE" w:rsidR="2EF2ECBF">
        <w:rPr>
          <w:rFonts w:ascii="Calibri" w:hAnsi="Calibri" w:eastAsia="Calibri" w:cs="Calibri"/>
          <w:noProof w:val="0"/>
          <w:color w:val="auto"/>
          <w:sz w:val="24"/>
          <w:szCs w:val="24"/>
          <w:lang w:val="en-US"/>
        </w:rPr>
        <w:t>. 11th ed. Harlow: Pearson.</w:t>
      </w:r>
    </w:p>
    <w:p w:rsidR="2EF2ECBF" w:rsidP="2A86E2EE" w:rsidRDefault="2EF2ECBF" w14:paraId="22312575" w14:textId="0F5D787D">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Stair, R. and Reynolds, G. (2021) </w:t>
      </w:r>
      <w:r w:rsidRPr="2A86E2EE" w:rsidR="2EF2ECBF">
        <w:rPr>
          <w:rFonts w:ascii="Calibri" w:hAnsi="Calibri" w:eastAsia="Calibri" w:cs="Calibri"/>
          <w:i w:val="1"/>
          <w:iCs w:val="1"/>
          <w:noProof w:val="0"/>
          <w:color w:val="auto"/>
          <w:sz w:val="24"/>
          <w:szCs w:val="24"/>
          <w:lang w:val="en-US"/>
        </w:rPr>
        <w:t>Principles of Information Systems</w:t>
      </w:r>
      <w:r w:rsidRPr="2A86E2EE" w:rsidR="2EF2ECBF">
        <w:rPr>
          <w:rFonts w:ascii="Calibri" w:hAnsi="Calibri" w:eastAsia="Calibri" w:cs="Calibri"/>
          <w:noProof w:val="0"/>
          <w:color w:val="auto"/>
          <w:sz w:val="24"/>
          <w:szCs w:val="24"/>
          <w:lang w:val="en-US"/>
        </w:rPr>
        <w:t>. 14th ed. Boston: Cengage Learning.</w:t>
      </w:r>
    </w:p>
    <w:p w:rsidR="2EF2ECBF" w:rsidP="2A86E2EE" w:rsidRDefault="2EF2ECBF" w14:paraId="6394C62A" w14:textId="195DBFA7">
      <w:pPr>
        <w:pStyle w:val="ListParagraph"/>
        <w:numPr>
          <w:ilvl w:val="0"/>
          <w:numId w:val="12"/>
        </w:numPr>
        <w:bidi w:val="0"/>
        <w:spacing w:before="240" w:beforeAutospacing="off" w:after="240" w:afterAutospacing="off"/>
        <w:rPr>
          <w:rFonts w:ascii="Calibri" w:hAnsi="Calibri" w:eastAsia="Calibri" w:cs="Calibri"/>
          <w:noProof w:val="0"/>
          <w:color w:val="auto"/>
          <w:sz w:val="24"/>
          <w:szCs w:val="24"/>
          <w:lang w:val="en-US"/>
        </w:rPr>
      </w:pPr>
      <w:r w:rsidRPr="2A86E2EE" w:rsidR="2EF2ECBF">
        <w:rPr>
          <w:rFonts w:ascii="Calibri" w:hAnsi="Calibri" w:eastAsia="Calibri" w:cs="Calibri"/>
          <w:noProof w:val="0"/>
          <w:color w:val="auto"/>
          <w:sz w:val="24"/>
          <w:szCs w:val="24"/>
          <w:lang w:val="en-US"/>
        </w:rPr>
        <w:t xml:space="preserve">Turban, E., Pollard, C. and Wood, G. (2021) </w:t>
      </w:r>
      <w:r w:rsidRPr="2A86E2EE" w:rsidR="2EF2ECBF">
        <w:rPr>
          <w:rFonts w:ascii="Calibri" w:hAnsi="Calibri" w:eastAsia="Calibri" w:cs="Calibri"/>
          <w:i w:val="1"/>
          <w:iCs w:val="1"/>
          <w:noProof w:val="0"/>
          <w:color w:val="auto"/>
          <w:sz w:val="24"/>
          <w:szCs w:val="24"/>
          <w:lang w:val="en-US"/>
        </w:rPr>
        <w:t>Information Technology for Management</w:t>
      </w:r>
      <w:r w:rsidRPr="2A86E2EE" w:rsidR="2EF2ECBF">
        <w:rPr>
          <w:rFonts w:ascii="Calibri" w:hAnsi="Calibri" w:eastAsia="Calibri" w:cs="Calibri"/>
          <w:noProof w:val="0"/>
          <w:color w:val="auto"/>
          <w:sz w:val="24"/>
          <w:szCs w:val="24"/>
          <w:lang w:val="en-US"/>
        </w:rPr>
        <w:t>. 12th ed. Hoboken: Wiley.</w:t>
      </w:r>
    </w:p>
    <w:p w:rsidR="2A86E2EE" w:rsidP="2A86E2EE" w:rsidRDefault="2A86E2EE" w14:paraId="74D5B222" w14:textId="76546597">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p14:paraId="2C078E63" wp14:textId="6F6A06B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5d201f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8610a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9a84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aba78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a41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c8acf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a5fc6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638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0f9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95828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f7e5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69e4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4F0300"/>
    <w:rsid w:val="0F6462E2"/>
    <w:rsid w:val="13CCDB75"/>
    <w:rsid w:val="186504C1"/>
    <w:rsid w:val="1BF0FCDD"/>
    <w:rsid w:val="1E534D56"/>
    <w:rsid w:val="22487DCF"/>
    <w:rsid w:val="2A86E2EE"/>
    <w:rsid w:val="2EF2ECBF"/>
    <w:rsid w:val="322CFB3A"/>
    <w:rsid w:val="33C90BDA"/>
    <w:rsid w:val="3D117902"/>
    <w:rsid w:val="3F0F4DE6"/>
    <w:rsid w:val="439F4D2A"/>
    <w:rsid w:val="44C4588A"/>
    <w:rsid w:val="45E0E01B"/>
    <w:rsid w:val="4600E7BA"/>
    <w:rsid w:val="4854B57C"/>
    <w:rsid w:val="4A3E7127"/>
    <w:rsid w:val="4AA34BE7"/>
    <w:rsid w:val="4EDE6848"/>
    <w:rsid w:val="507AC59A"/>
    <w:rsid w:val="50950DAE"/>
    <w:rsid w:val="51304638"/>
    <w:rsid w:val="55F0D698"/>
    <w:rsid w:val="570A7B7B"/>
    <w:rsid w:val="5D0A6BE4"/>
    <w:rsid w:val="653A85D9"/>
    <w:rsid w:val="674F0300"/>
    <w:rsid w:val="6B9CA221"/>
    <w:rsid w:val="6ED15F9C"/>
    <w:rsid w:val="6F24E6F5"/>
    <w:rsid w:val="7BA49C23"/>
    <w:rsid w:val="7BA49C23"/>
    <w:rsid w:val="7F676B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42231"/>
  <w15:chartTrackingRefBased/>
  <w15:docId w15:val="{E58A74F5-5AE2-4D8E-BCC4-254A0822C2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B9CA22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B9CA22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B9CA22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A86E2EE"/>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2A86E2EE"/>
    <w:pPr>
      <w:spacing/>
      <w:ind w:left="720"/>
      <w:contextualSpacing/>
    </w:pPr>
  </w:style>
  <w:style w:type="character" w:styleId="Hyperlink">
    <w:uiPriority w:val="99"/>
    <w:name w:val="Hyperlink"/>
    <w:basedOn w:val="DefaultParagraphFont"/>
    <w:unhideWhenUsed/>
    <w:rsid w:val="2A86E2E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earn.microsoft.com/" TargetMode="External" Id="R7afb6ebec4dc4b17" /><Relationship Type="http://schemas.openxmlformats.org/officeDocument/2006/relationships/hyperlink" Target="https://www.netsuite.com/" TargetMode="External" Id="R0ec5be737d464b88" /><Relationship Type="http://schemas.openxmlformats.org/officeDocument/2006/relationships/hyperlink" Target="https://www.sap.com/" TargetMode="External" Id="Rdbddf6d9b4e847e9" /><Relationship Type="http://schemas.openxmlformats.org/officeDocument/2006/relationships/numbering" Target="numbering.xml" Id="R3b3547e8a18041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2026-07-08T09:02:52.6533035Z</dcterms:created>
  <dcterms:modified xsi:type="dcterms:W3CDTF">2026-07-15T10:41:15.0552104Z</dcterms:modified>
  <dc:creator>Cristian Calin (2410078)</dc:creator>
  <lastModifiedBy>Cristian Calin (2410078)</lastModifiedBy>
</coreProperties>
</file>