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88A433" w14:textId="77777777" w:rsidR="00F64606" w:rsidRPr="00F64606" w:rsidRDefault="00F64606" w:rsidP="00F64606">
      <w:pPr>
        <w:pStyle w:val="Heading1"/>
      </w:pPr>
      <w:r w:rsidRPr="00F64606">
        <w:t>Name: Vaishnavi Odedra</w:t>
      </w:r>
    </w:p>
    <w:p w14:paraId="7CD0C914" w14:textId="1090A14C" w:rsidR="00F64606" w:rsidRPr="00F64606" w:rsidRDefault="00F64606" w:rsidP="00F64606">
      <w:pPr>
        <w:pStyle w:val="Heading1"/>
      </w:pPr>
      <w:r w:rsidRPr="00F64606">
        <w:t>Student id: 2541605</w:t>
      </w:r>
    </w:p>
    <w:p w14:paraId="57D0EEA8" w14:textId="2578BF77" w:rsidR="009E77BC" w:rsidRPr="00F64606" w:rsidRDefault="00000000" w:rsidP="00F64606">
      <w:pPr>
        <w:pStyle w:val="Heading1"/>
      </w:pPr>
      <w:r w:rsidRPr="00F64606">
        <w:t>MODUL CODE: LCHS7002</w:t>
      </w:r>
    </w:p>
    <w:p w14:paraId="05608365" w14:textId="77777777" w:rsidR="009E77BC" w:rsidRPr="00F64606" w:rsidRDefault="00000000" w:rsidP="00F64606">
      <w:pPr>
        <w:pStyle w:val="Heading1"/>
      </w:pPr>
      <w:r w:rsidRPr="00F64606">
        <w:t>MODULE: Health Care System Organisation and Leadership</w:t>
      </w:r>
    </w:p>
    <w:p w14:paraId="629D5D6E" w14:textId="77777777" w:rsidR="009E77BC" w:rsidRPr="00F64606" w:rsidRDefault="009E77BC" w:rsidP="00F64606">
      <w:pPr>
        <w:pStyle w:val="Heading1"/>
      </w:pPr>
    </w:p>
    <w:p w14:paraId="6BD659F1" w14:textId="7F95E784" w:rsidR="000C12F4" w:rsidRPr="00F64606" w:rsidRDefault="006F7AD5" w:rsidP="00F64606">
      <w:pPr>
        <w:pStyle w:val="Heading1"/>
      </w:pPr>
      <w:r>
        <w:rPr>
          <w:noProof/>
        </w:rPr>
        <w:drawing>
          <wp:inline distT="0" distB="0" distL="0" distR="0" wp14:anchorId="290EB183" wp14:editId="3132F411">
            <wp:extent cx="5731510" cy="3823335"/>
            <wp:effectExtent l="0" t="0" r="2540" b="5715"/>
            <wp:docPr id="5036675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3823335"/>
                    </a:xfrm>
                    <a:prstGeom prst="rect">
                      <a:avLst/>
                    </a:prstGeom>
                    <a:noFill/>
                    <a:ln>
                      <a:noFill/>
                    </a:ln>
                  </pic:spPr>
                </pic:pic>
              </a:graphicData>
            </a:graphic>
          </wp:inline>
        </w:drawing>
      </w:r>
    </w:p>
    <w:p w14:paraId="1561E9B1" w14:textId="77777777" w:rsidR="000C12F4" w:rsidRPr="00F64606" w:rsidRDefault="000C12F4" w:rsidP="00F64606">
      <w:pPr>
        <w:jc w:val="both"/>
        <w:rPr>
          <w:rFonts w:asciiTheme="minorHAnsi" w:hAnsiTheme="minorHAnsi" w:cs="Arial"/>
          <w:b/>
          <w:sz w:val="32"/>
          <w:szCs w:val="32"/>
        </w:rPr>
      </w:pPr>
    </w:p>
    <w:p w14:paraId="3701503B" w14:textId="77777777" w:rsidR="000C12F4" w:rsidRDefault="000C12F4" w:rsidP="001030D3">
      <w:pPr>
        <w:jc w:val="both"/>
        <w:rPr>
          <w:rFonts w:ascii="Arial" w:hAnsi="Arial" w:cs="Arial"/>
          <w:b/>
        </w:rPr>
      </w:pPr>
    </w:p>
    <w:p w14:paraId="001A65D7" w14:textId="77777777" w:rsidR="000C12F4" w:rsidRDefault="000C12F4" w:rsidP="001030D3">
      <w:pPr>
        <w:jc w:val="both"/>
        <w:rPr>
          <w:rFonts w:ascii="Arial" w:hAnsi="Arial" w:cs="Arial"/>
          <w:b/>
        </w:rPr>
      </w:pPr>
    </w:p>
    <w:p w14:paraId="7F4622CB" w14:textId="77777777" w:rsidR="006F7AD5" w:rsidRDefault="006F7AD5" w:rsidP="00D53752">
      <w:pPr>
        <w:pStyle w:val="Heading1"/>
      </w:pPr>
    </w:p>
    <w:p w14:paraId="6C42A20A" w14:textId="0AC9EAEC" w:rsidR="00F64606" w:rsidRDefault="00F64606" w:rsidP="00D53752">
      <w:pPr>
        <w:pStyle w:val="Heading1"/>
      </w:pPr>
      <w:r>
        <w:t xml:space="preserve">Table of </w:t>
      </w:r>
      <w:r w:rsidR="00D53752">
        <w:t>content:</w:t>
      </w:r>
      <w:r>
        <w:t xml:space="preserve"> </w:t>
      </w:r>
    </w:p>
    <w:tbl>
      <w:tblPr>
        <w:tblStyle w:val="PlainTable1"/>
        <w:tblW w:w="0" w:type="auto"/>
        <w:tblLook w:val="04A0" w:firstRow="1" w:lastRow="0" w:firstColumn="1" w:lastColumn="0" w:noHBand="0" w:noVBand="1"/>
      </w:tblPr>
      <w:tblGrid>
        <w:gridCol w:w="7701"/>
        <w:gridCol w:w="1315"/>
      </w:tblGrid>
      <w:tr w:rsidR="00231908" w:rsidRPr="00231908" w14:paraId="7B905C9D" w14:textId="77777777" w:rsidTr="0023190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FDBCCB0" w14:textId="77777777" w:rsidR="00231908" w:rsidRPr="00231908" w:rsidRDefault="00231908" w:rsidP="00231908">
            <w:pPr>
              <w:spacing w:after="160" w:line="256" w:lineRule="auto"/>
              <w:jc w:val="both"/>
              <w:rPr>
                <w:rFonts w:ascii="Arial" w:hAnsi="Arial" w:cs="Arial"/>
                <w:sz w:val="32"/>
                <w:szCs w:val="32"/>
              </w:rPr>
            </w:pPr>
            <w:r w:rsidRPr="00231908">
              <w:rPr>
                <w:rFonts w:ascii="Arial" w:hAnsi="Arial" w:cs="Arial"/>
                <w:sz w:val="32"/>
                <w:szCs w:val="32"/>
              </w:rPr>
              <w:t>Table of Contents</w:t>
            </w:r>
          </w:p>
        </w:tc>
        <w:tc>
          <w:tcPr>
            <w:tcW w:w="0" w:type="auto"/>
            <w:hideMark/>
          </w:tcPr>
          <w:p w14:paraId="3E486D28" w14:textId="77777777" w:rsidR="00231908" w:rsidRPr="00231908" w:rsidRDefault="00231908" w:rsidP="00231908">
            <w:pPr>
              <w:spacing w:after="160" w:line="256" w:lineRule="auto"/>
              <w:jc w:val="both"/>
              <w:cnfStyle w:val="100000000000" w:firstRow="1" w:lastRow="0" w:firstColumn="0" w:lastColumn="0" w:oddVBand="0" w:evenVBand="0" w:oddHBand="0" w:evenHBand="0" w:firstRowFirstColumn="0" w:firstRowLastColumn="0" w:lastRowFirstColumn="0" w:lastRowLastColumn="0"/>
              <w:rPr>
                <w:rFonts w:ascii="Arial" w:hAnsi="Arial" w:cs="Arial"/>
                <w:sz w:val="32"/>
                <w:szCs w:val="32"/>
              </w:rPr>
            </w:pPr>
            <w:r w:rsidRPr="00231908">
              <w:rPr>
                <w:rFonts w:ascii="Arial" w:hAnsi="Arial" w:cs="Arial"/>
                <w:sz w:val="32"/>
                <w:szCs w:val="32"/>
              </w:rPr>
              <w:t>Page No.</w:t>
            </w:r>
          </w:p>
        </w:tc>
      </w:tr>
      <w:tr w:rsidR="00231908" w:rsidRPr="00231908" w14:paraId="6C4EC23C" w14:textId="77777777" w:rsidTr="002319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3DDF01" w14:textId="77777777" w:rsidR="00231908" w:rsidRPr="00231908" w:rsidRDefault="00231908" w:rsidP="00231908">
            <w:pPr>
              <w:spacing w:after="160" w:line="256" w:lineRule="auto"/>
              <w:jc w:val="both"/>
              <w:rPr>
                <w:rFonts w:ascii="Arial" w:hAnsi="Arial" w:cs="Arial"/>
                <w:sz w:val="32"/>
                <w:szCs w:val="32"/>
              </w:rPr>
            </w:pPr>
            <w:r w:rsidRPr="00231908">
              <w:rPr>
                <w:rFonts w:ascii="Arial" w:hAnsi="Arial" w:cs="Arial"/>
                <w:sz w:val="32"/>
                <w:szCs w:val="32"/>
              </w:rPr>
              <w:t xml:space="preserve">Case Study: </w:t>
            </w:r>
            <w:r w:rsidRPr="00231908">
              <w:rPr>
                <w:rFonts w:ascii="Arial" w:hAnsi="Arial" w:cs="Arial"/>
                <w:i/>
                <w:iCs/>
                <w:sz w:val="32"/>
                <w:szCs w:val="32"/>
              </w:rPr>
              <w:t>The Josie King Case – Johns Hopkins Hospital, USA (2001)</w:t>
            </w:r>
          </w:p>
        </w:tc>
        <w:tc>
          <w:tcPr>
            <w:tcW w:w="0" w:type="auto"/>
            <w:hideMark/>
          </w:tcPr>
          <w:p w14:paraId="1CA11FD4" w14:textId="4B64FF98" w:rsidR="00231908" w:rsidRPr="00231908" w:rsidRDefault="00231908" w:rsidP="00231908">
            <w:pPr>
              <w:spacing w:after="160" w:line="25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sz w:val="32"/>
                <w:szCs w:val="32"/>
              </w:rPr>
            </w:pPr>
            <w:r>
              <w:rPr>
                <w:rFonts w:ascii="Arial" w:hAnsi="Arial" w:cs="Arial"/>
                <w:b/>
                <w:sz w:val="32"/>
                <w:szCs w:val="32"/>
              </w:rPr>
              <w:t>3</w:t>
            </w:r>
          </w:p>
        </w:tc>
      </w:tr>
      <w:tr w:rsidR="00231908" w:rsidRPr="00231908" w14:paraId="0FDF8750" w14:textId="77777777" w:rsidTr="00231908">
        <w:tc>
          <w:tcPr>
            <w:tcW w:w="0" w:type="auto"/>
            <w:hideMark/>
          </w:tcPr>
          <w:p w14:paraId="247E56CF" w14:textId="77777777" w:rsidR="00231908" w:rsidRPr="00231908" w:rsidRDefault="00231908" w:rsidP="00231908">
            <w:pPr>
              <w:spacing w:after="160" w:line="256" w:lineRule="auto"/>
              <w:jc w:val="both"/>
              <w:cnfStyle w:val="001000000000" w:firstRow="0" w:lastRow="0" w:firstColumn="1" w:lastColumn="0" w:oddVBand="0" w:evenVBand="0" w:oddHBand="0" w:evenHBand="0" w:firstRowFirstColumn="0" w:firstRowLastColumn="0" w:lastRowFirstColumn="0" w:lastRowLastColumn="0"/>
              <w:rPr>
                <w:rFonts w:ascii="Arial" w:hAnsi="Arial" w:cs="Arial"/>
                <w:sz w:val="32"/>
                <w:szCs w:val="32"/>
              </w:rPr>
            </w:pPr>
            <w:r w:rsidRPr="00231908">
              <w:rPr>
                <w:rFonts w:ascii="Arial" w:hAnsi="Arial" w:cs="Arial"/>
                <w:sz w:val="32"/>
                <w:szCs w:val="32"/>
              </w:rPr>
              <w:t>1. Introduction</w:t>
            </w:r>
          </w:p>
        </w:tc>
        <w:tc>
          <w:tcPr>
            <w:tcW w:w="0" w:type="auto"/>
            <w:hideMark/>
          </w:tcPr>
          <w:p w14:paraId="1DD502F7" w14:textId="7CAE4939" w:rsidR="00231908" w:rsidRPr="00231908" w:rsidRDefault="00231908" w:rsidP="00231908">
            <w:pPr>
              <w:spacing w:after="160" w:line="256" w:lineRule="auto"/>
              <w:jc w:val="both"/>
              <w:rPr>
                <w:rFonts w:ascii="Arial" w:hAnsi="Arial" w:cs="Arial"/>
                <w:b/>
                <w:sz w:val="32"/>
                <w:szCs w:val="32"/>
              </w:rPr>
            </w:pPr>
            <w:r>
              <w:rPr>
                <w:rFonts w:ascii="Arial" w:hAnsi="Arial" w:cs="Arial"/>
                <w:b/>
                <w:sz w:val="32"/>
                <w:szCs w:val="32"/>
              </w:rPr>
              <w:t>4</w:t>
            </w:r>
          </w:p>
        </w:tc>
      </w:tr>
      <w:tr w:rsidR="00231908" w:rsidRPr="00231908" w14:paraId="4D9B4573" w14:textId="77777777" w:rsidTr="002319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56C9C7" w14:textId="77777777" w:rsidR="00231908" w:rsidRPr="00231908" w:rsidRDefault="00231908" w:rsidP="00231908">
            <w:pPr>
              <w:spacing w:after="160" w:line="256" w:lineRule="auto"/>
              <w:jc w:val="both"/>
              <w:rPr>
                <w:rFonts w:ascii="Arial" w:hAnsi="Arial" w:cs="Arial"/>
                <w:sz w:val="32"/>
                <w:szCs w:val="32"/>
              </w:rPr>
            </w:pPr>
            <w:r w:rsidRPr="00231908">
              <w:rPr>
                <w:rFonts w:ascii="Arial" w:hAnsi="Arial" w:cs="Arial"/>
                <w:sz w:val="32"/>
                <w:szCs w:val="32"/>
              </w:rPr>
              <w:t>2. Main Body and Analysis</w:t>
            </w:r>
          </w:p>
        </w:tc>
        <w:tc>
          <w:tcPr>
            <w:tcW w:w="0" w:type="auto"/>
            <w:hideMark/>
          </w:tcPr>
          <w:p w14:paraId="5587963B" w14:textId="45EE7F27" w:rsidR="00231908" w:rsidRPr="00231908" w:rsidRDefault="00231908" w:rsidP="00231908">
            <w:pPr>
              <w:spacing w:after="160" w:line="25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sz w:val="32"/>
                <w:szCs w:val="32"/>
              </w:rPr>
            </w:pPr>
            <w:r>
              <w:rPr>
                <w:rFonts w:ascii="Arial" w:hAnsi="Arial" w:cs="Arial"/>
                <w:b/>
                <w:sz w:val="32"/>
                <w:szCs w:val="32"/>
              </w:rPr>
              <w:t>5-15</w:t>
            </w:r>
          </w:p>
        </w:tc>
      </w:tr>
      <w:tr w:rsidR="00231908" w:rsidRPr="00231908" w14:paraId="261293FD" w14:textId="77777777" w:rsidTr="00231908">
        <w:tc>
          <w:tcPr>
            <w:tcW w:w="0" w:type="auto"/>
            <w:hideMark/>
          </w:tcPr>
          <w:p w14:paraId="58C43BD2" w14:textId="77777777" w:rsidR="00231908" w:rsidRPr="00231908" w:rsidRDefault="00231908" w:rsidP="00231908">
            <w:pPr>
              <w:spacing w:after="160" w:line="256" w:lineRule="auto"/>
              <w:jc w:val="both"/>
              <w:cnfStyle w:val="001000000000" w:firstRow="0" w:lastRow="0" w:firstColumn="1" w:lastColumn="0" w:oddVBand="0" w:evenVBand="0" w:oddHBand="0" w:evenHBand="0" w:firstRowFirstColumn="0" w:firstRowLastColumn="0" w:lastRowFirstColumn="0" w:lastRowLastColumn="0"/>
              <w:rPr>
                <w:rFonts w:ascii="Arial" w:hAnsi="Arial" w:cs="Arial"/>
                <w:sz w:val="32"/>
                <w:szCs w:val="32"/>
              </w:rPr>
            </w:pPr>
            <w:r w:rsidRPr="00231908">
              <w:rPr>
                <w:rFonts w:ascii="Arial" w:hAnsi="Arial" w:cs="Arial"/>
                <w:sz w:val="32"/>
                <w:szCs w:val="32"/>
              </w:rPr>
              <w:t>2.1 Identifying the Problem Using Systems Thinking</w:t>
            </w:r>
          </w:p>
        </w:tc>
        <w:tc>
          <w:tcPr>
            <w:tcW w:w="0" w:type="auto"/>
            <w:hideMark/>
          </w:tcPr>
          <w:p w14:paraId="7B37C878" w14:textId="2E129A2F" w:rsidR="00231908" w:rsidRPr="00231908" w:rsidRDefault="00231908" w:rsidP="00231908">
            <w:pPr>
              <w:spacing w:after="160" w:line="256" w:lineRule="auto"/>
              <w:jc w:val="both"/>
              <w:rPr>
                <w:rFonts w:ascii="Arial" w:hAnsi="Arial" w:cs="Arial"/>
                <w:b/>
                <w:sz w:val="32"/>
                <w:szCs w:val="32"/>
              </w:rPr>
            </w:pPr>
            <w:r>
              <w:rPr>
                <w:rFonts w:ascii="Arial" w:hAnsi="Arial" w:cs="Arial"/>
                <w:b/>
                <w:sz w:val="32"/>
                <w:szCs w:val="32"/>
              </w:rPr>
              <w:t>5</w:t>
            </w:r>
          </w:p>
        </w:tc>
      </w:tr>
      <w:tr w:rsidR="00231908" w:rsidRPr="00231908" w14:paraId="7DBFB3CC" w14:textId="77777777" w:rsidTr="002319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1C41612" w14:textId="77777777" w:rsidR="00231908" w:rsidRPr="00231908" w:rsidRDefault="00231908" w:rsidP="00231908">
            <w:pPr>
              <w:spacing w:after="160" w:line="256" w:lineRule="auto"/>
              <w:jc w:val="both"/>
              <w:rPr>
                <w:rFonts w:ascii="Arial" w:hAnsi="Arial" w:cs="Arial"/>
                <w:sz w:val="32"/>
                <w:szCs w:val="32"/>
              </w:rPr>
            </w:pPr>
            <w:r w:rsidRPr="00231908">
              <w:rPr>
                <w:rFonts w:ascii="Arial" w:hAnsi="Arial" w:cs="Arial"/>
                <w:sz w:val="32"/>
                <w:szCs w:val="32"/>
              </w:rPr>
              <w:t>2.2 National and International Data Supporting Problem Analysis</w:t>
            </w:r>
          </w:p>
        </w:tc>
        <w:tc>
          <w:tcPr>
            <w:tcW w:w="0" w:type="auto"/>
            <w:hideMark/>
          </w:tcPr>
          <w:p w14:paraId="4A8F7D1E" w14:textId="1AB1C5C2" w:rsidR="00231908" w:rsidRPr="00231908" w:rsidRDefault="00231908" w:rsidP="00231908">
            <w:pPr>
              <w:spacing w:after="160" w:line="25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sz w:val="32"/>
                <w:szCs w:val="32"/>
              </w:rPr>
            </w:pPr>
            <w:r>
              <w:rPr>
                <w:rFonts w:ascii="Arial" w:hAnsi="Arial" w:cs="Arial"/>
                <w:b/>
                <w:sz w:val="32"/>
                <w:szCs w:val="32"/>
              </w:rPr>
              <w:t>6</w:t>
            </w:r>
          </w:p>
        </w:tc>
      </w:tr>
      <w:tr w:rsidR="00231908" w:rsidRPr="00231908" w14:paraId="3F9C6694" w14:textId="77777777" w:rsidTr="00231908">
        <w:tc>
          <w:tcPr>
            <w:tcW w:w="0" w:type="auto"/>
            <w:hideMark/>
          </w:tcPr>
          <w:p w14:paraId="3E619963" w14:textId="77777777" w:rsidR="00231908" w:rsidRPr="00231908" w:rsidRDefault="00231908" w:rsidP="00231908">
            <w:pPr>
              <w:spacing w:after="160" w:line="256" w:lineRule="auto"/>
              <w:jc w:val="both"/>
              <w:cnfStyle w:val="001000000000" w:firstRow="0" w:lastRow="0" w:firstColumn="1" w:lastColumn="0" w:oddVBand="0" w:evenVBand="0" w:oddHBand="0" w:evenHBand="0" w:firstRowFirstColumn="0" w:firstRowLastColumn="0" w:lastRowFirstColumn="0" w:lastRowLastColumn="0"/>
              <w:rPr>
                <w:rFonts w:ascii="Arial" w:hAnsi="Arial" w:cs="Arial"/>
                <w:sz w:val="32"/>
                <w:szCs w:val="32"/>
              </w:rPr>
            </w:pPr>
            <w:r w:rsidRPr="00231908">
              <w:rPr>
                <w:rFonts w:ascii="Arial" w:hAnsi="Arial" w:cs="Arial"/>
                <w:sz w:val="32"/>
                <w:szCs w:val="32"/>
              </w:rPr>
              <w:t>2.3 System Weaknesses Identified in the Josie King Case</w:t>
            </w:r>
          </w:p>
        </w:tc>
        <w:tc>
          <w:tcPr>
            <w:tcW w:w="0" w:type="auto"/>
            <w:hideMark/>
          </w:tcPr>
          <w:p w14:paraId="4146439B" w14:textId="30FC5E4C" w:rsidR="00231908" w:rsidRPr="00231908" w:rsidRDefault="00231908" w:rsidP="00231908">
            <w:pPr>
              <w:spacing w:after="160" w:line="256" w:lineRule="auto"/>
              <w:jc w:val="both"/>
              <w:rPr>
                <w:rFonts w:ascii="Arial" w:hAnsi="Arial" w:cs="Arial"/>
                <w:b/>
                <w:sz w:val="32"/>
                <w:szCs w:val="32"/>
              </w:rPr>
            </w:pPr>
            <w:r>
              <w:rPr>
                <w:rFonts w:ascii="Arial" w:hAnsi="Arial" w:cs="Arial"/>
                <w:b/>
                <w:sz w:val="32"/>
                <w:szCs w:val="32"/>
              </w:rPr>
              <w:t>6</w:t>
            </w:r>
          </w:p>
        </w:tc>
      </w:tr>
      <w:tr w:rsidR="00231908" w:rsidRPr="00231908" w14:paraId="1713E6FA" w14:textId="77777777" w:rsidTr="002319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180A5D" w14:textId="77777777" w:rsidR="00231908" w:rsidRPr="00231908" w:rsidRDefault="00231908" w:rsidP="00231908">
            <w:pPr>
              <w:spacing w:after="160" w:line="256" w:lineRule="auto"/>
              <w:jc w:val="both"/>
              <w:rPr>
                <w:rFonts w:ascii="Arial" w:hAnsi="Arial" w:cs="Arial"/>
                <w:sz w:val="32"/>
                <w:szCs w:val="32"/>
              </w:rPr>
            </w:pPr>
            <w:r w:rsidRPr="00231908">
              <w:rPr>
                <w:rFonts w:ascii="Arial" w:hAnsi="Arial" w:cs="Arial"/>
                <w:sz w:val="32"/>
                <w:szCs w:val="32"/>
              </w:rPr>
              <w:t>2.4 Rich Picture Analysis and System Interactions</w:t>
            </w:r>
          </w:p>
        </w:tc>
        <w:tc>
          <w:tcPr>
            <w:tcW w:w="0" w:type="auto"/>
            <w:hideMark/>
          </w:tcPr>
          <w:p w14:paraId="2B528062" w14:textId="56F68C8C" w:rsidR="00231908" w:rsidRPr="00231908" w:rsidRDefault="00231908" w:rsidP="00231908">
            <w:pPr>
              <w:spacing w:after="160" w:line="25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sz w:val="32"/>
                <w:szCs w:val="32"/>
              </w:rPr>
            </w:pPr>
            <w:r>
              <w:rPr>
                <w:rFonts w:ascii="Arial" w:hAnsi="Arial" w:cs="Arial"/>
                <w:b/>
                <w:sz w:val="32"/>
                <w:szCs w:val="32"/>
              </w:rPr>
              <w:t>8</w:t>
            </w:r>
          </w:p>
        </w:tc>
      </w:tr>
      <w:tr w:rsidR="00231908" w:rsidRPr="00231908" w14:paraId="17F4959D" w14:textId="77777777" w:rsidTr="00231908">
        <w:tc>
          <w:tcPr>
            <w:cnfStyle w:val="001000000000" w:firstRow="0" w:lastRow="0" w:firstColumn="1" w:lastColumn="0" w:oddVBand="0" w:evenVBand="0" w:oddHBand="0" w:evenHBand="0" w:firstRowFirstColumn="0" w:firstRowLastColumn="0" w:lastRowFirstColumn="0" w:lastRowLastColumn="0"/>
            <w:tcW w:w="0" w:type="auto"/>
            <w:hideMark/>
          </w:tcPr>
          <w:p w14:paraId="7190C136" w14:textId="77777777" w:rsidR="00231908" w:rsidRPr="00231908" w:rsidRDefault="00231908" w:rsidP="00231908">
            <w:pPr>
              <w:spacing w:after="160" w:line="256" w:lineRule="auto"/>
              <w:jc w:val="both"/>
              <w:rPr>
                <w:rFonts w:ascii="Arial" w:hAnsi="Arial" w:cs="Arial"/>
                <w:sz w:val="32"/>
                <w:szCs w:val="32"/>
              </w:rPr>
            </w:pPr>
            <w:r w:rsidRPr="00231908">
              <w:rPr>
                <w:rFonts w:ascii="Arial" w:hAnsi="Arial" w:cs="Arial"/>
                <w:sz w:val="32"/>
                <w:szCs w:val="32"/>
              </w:rPr>
              <w:t>2.5 Centralisation vs. Decentralisation: Application to the Josie King Case</w:t>
            </w:r>
          </w:p>
        </w:tc>
        <w:tc>
          <w:tcPr>
            <w:tcW w:w="0" w:type="auto"/>
            <w:hideMark/>
          </w:tcPr>
          <w:p w14:paraId="59511DE4" w14:textId="40E74603" w:rsidR="00231908" w:rsidRPr="00231908" w:rsidRDefault="00231908" w:rsidP="00231908">
            <w:pPr>
              <w:spacing w:after="160" w:line="25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sz w:val="32"/>
                <w:szCs w:val="32"/>
              </w:rPr>
            </w:pPr>
            <w:r>
              <w:rPr>
                <w:rFonts w:ascii="Arial" w:hAnsi="Arial" w:cs="Arial"/>
                <w:b/>
                <w:sz w:val="32"/>
                <w:szCs w:val="32"/>
              </w:rPr>
              <w:t>10</w:t>
            </w:r>
          </w:p>
        </w:tc>
      </w:tr>
      <w:tr w:rsidR="00231908" w:rsidRPr="00231908" w14:paraId="022BCD70" w14:textId="77777777" w:rsidTr="002319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D1C5D16" w14:textId="77777777" w:rsidR="00231908" w:rsidRPr="00231908" w:rsidRDefault="00231908" w:rsidP="00231908">
            <w:pPr>
              <w:spacing w:after="160" w:line="256" w:lineRule="auto"/>
              <w:jc w:val="both"/>
              <w:rPr>
                <w:rFonts w:ascii="Arial" w:hAnsi="Arial" w:cs="Arial"/>
                <w:sz w:val="32"/>
                <w:szCs w:val="32"/>
              </w:rPr>
            </w:pPr>
            <w:r w:rsidRPr="00231908">
              <w:rPr>
                <w:rFonts w:ascii="Arial" w:hAnsi="Arial" w:cs="Arial"/>
                <w:sz w:val="32"/>
                <w:szCs w:val="32"/>
              </w:rPr>
              <w:t>2.6 Leadership Theory Application</w:t>
            </w:r>
          </w:p>
        </w:tc>
        <w:tc>
          <w:tcPr>
            <w:tcW w:w="0" w:type="auto"/>
            <w:hideMark/>
          </w:tcPr>
          <w:p w14:paraId="642BDF8B" w14:textId="57C4A04B" w:rsidR="00231908" w:rsidRPr="00231908" w:rsidRDefault="00231908" w:rsidP="00231908">
            <w:pPr>
              <w:spacing w:after="160" w:line="25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sz w:val="32"/>
                <w:szCs w:val="32"/>
              </w:rPr>
            </w:pPr>
            <w:r>
              <w:rPr>
                <w:rFonts w:ascii="Arial" w:hAnsi="Arial" w:cs="Arial"/>
                <w:b/>
                <w:sz w:val="32"/>
                <w:szCs w:val="32"/>
              </w:rPr>
              <w:t>12</w:t>
            </w:r>
          </w:p>
        </w:tc>
      </w:tr>
      <w:tr w:rsidR="00231908" w:rsidRPr="00231908" w14:paraId="0A3E7553" w14:textId="77777777" w:rsidTr="00231908">
        <w:tc>
          <w:tcPr>
            <w:cnfStyle w:val="001000000000" w:firstRow="0" w:lastRow="0" w:firstColumn="1" w:lastColumn="0" w:oddVBand="0" w:evenVBand="0" w:oddHBand="0" w:evenHBand="0" w:firstRowFirstColumn="0" w:firstRowLastColumn="0" w:lastRowFirstColumn="0" w:lastRowLastColumn="0"/>
            <w:tcW w:w="0" w:type="auto"/>
            <w:hideMark/>
          </w:tcPr>
          <w:p w14:paraId="6574F16A" w14:textId="77777777" w:rsidR="00231908" w:rsidRPr="00231908" w:rsidRDefault="00231908" w:rsidP="00231908">
            <w:pPr>
              <w:spacing w:after="160" w:line="256" w:lineRule="auto"/>
              <w:jc w:val="both"/>
              <w:rPr>
                <w:rFonts w:ascii="Arial" w:hAnsi="Arial" w:cs="Arial"/>
                <w:sz w:val="32"/>
                <w:szCs w:val="32"/>
              </w:rPr>
            </w:pPr>
            <w:r w:rsidRPr="00231908">
              <w:rPr>
                <w:rFonts w:ascii="Arial" w:hAnsi="Arial" w:cs="Arial"/>
                <w:sz w:val="32"/>
                <w:szCs w:val="32"/>
              </w:rPr>
              <w:t>2.7 Critique, Improvements, and Lessons Learned</w:t>
            </w:r>
          </w:p>
        </w:tc>
        <w:tc>
          <w:tcPr>
            <w:tcW w:w="0" w:type="auto"/>
            <w:hideMark/>
          </w:tcPr>
          <w:p w14:paraId="525E6466" w14:textId="7C9357F1" w:rsidR="00231908" w:rsidRPr="00231908" w:rsidRDefault="00231908" w:rsidP="00231908">
            <w:pPr>
              <w:spacing w:after="160" w:line="25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sz w:val="32"/>
                <w:szCs w:val="32"/>
              </w:rPr>
            </w:pPr>
            <w:r>
              <w:rPr>
                <w:rFonts w:ascii="Arial" w:hAnsi="Arial" w:cs="Arial"/>
                <w:b/>
                <w:sz w:val="32"/>
                <w:szCs w:val="32"/>
              </w:rPr>
              <w:t>14</w:t>
            </w:r>
          </w:p>
        </w:tc>
      </w:tr>
      <w:tr w:rsidR="00231908" w:rsidRPr="00231908" w14:paraId="4BC4E1D0" w14:textId="77777777" w:rsidTr="002319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927A395" w14:textId="77777777" w:rsidR="00231908" w:rsidRPr="00231908" w:rsidRDefault="00231908" w:rsidP="00231908">
            <w:pPr>
              <w:spacing w:after="160" w:line="256" w:lineRule="auto"/>
              <w:jc w:val="both"/>
              <w:rPr>
                <w:rFonts w:ascii="Arial" w:hAnsi="Arial" w:cs="Arial"/>
                <w:sz w:val="32"/>
                <w:szCs w:val="32"/>
              </w:rPr>
            </w:pPr>
            <w:r w:rsidRPr="00231908">
              <w:rPr>
                <w:rFonts w:ascii="Arial" w:hAnsi="Arial" w:cs="Arial"/>
                <w:sz w:val="32"/>
                <w:szCs w:val="32"/>
              </w:rPr>
              <w:t>3. Recommendations</w:t>
            </w:r>
          </w:p>
        </w:tc>
        <w:tc>
          <w:tcPr>
            <w:tcW w:w="0" w:type="auto"/>
            <w:hideMark/>
          </w:tcPr>
          <w:p w14:paraId="20BB47F9" w14:textId="41917CC3" w:rsidR="00231908" w:rsidRPr="00231908" w:rsidRDefault="00231908" w:rsidP="00231908">
            <w:pPr>
              <w:spacing w:after="160" w:line="25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sz w:val="32"/>
                <w:szCs w:val="32"/>
              </w:rPr>
            </w:pPr>
            <w:r>
              <w:rPr>
                <w:rFonts w:ascii="Arial" w:hAnsi="Arial" w:cs="Arial"/>
                <w:b/>
                <w:sz w:val="32"/>
                <w:szCs w:val="32"/>
              </w:rPr>
              <w:t>15-16</w:t>
            </w:r>
          </w:p>
        </w:tc>
      </w:tr>
      <w:tr w:rsidR="00231908" w:rsidRPr="00231908" w14:paraId="14CBF15E" w14:textId="77777777" w:rsidTr="00231908">
        <w:tc>
          <w:tcPr>
            <w:cnfStyle w:val="001000000000" w:firstRow="0" w:lastRow="0" w:firstColumn="1" w:lastColumn="0" w:oddVBand="0" w:evenVBand="0" w:oddHBand="0" w:evenHBand="0" w:firstRowFirstColumn="0" w:firstRowLastColumn="0" w:lastRowFirstColumn="0" w:lastRowLastColumn="0"/>
            <w:tcW w:w="0" w:type="auto"/>
            <w:hideMark/>
          </w:tcPr>
          <w:p w14:paraId="5B17D7E8" w14:textId="77777777" w:rsidR="00231908" w:rsidRPr="00231908" w:rsidRDefault="00231908" w:rsidP="00231908">
            <w:pPr>
              <w:spacing w:after="160" w:line="256" w:lineRule="auto"/>
              <w:jc w:val="both"/>
              <w:rPr>
                <w:rFonts w:ascii="Arial" w:hAnsi="Arial" w:cs="Arial"/>
                <w:sz w:val="32"/>
                <w:szCs w:val="32"/>
              </w:rPr>
            </w:pPr>
            <w:r w:rsidRPr="00231908">
              <w:rPr>
                <w:rFonts w:ascii="Arial" w:hAnsi="Arial" w:cs="Arial"/>
                <w:sz w:val="32"/>
                <w:szCs w:val="32"/>
              </w:rPr>
              <w:t>4. Conclusion</w:t>
            </w:r>
          </w:p>
        </w:tc>
        <w:tc>
          <w:tcPr>
            <w:tcW w:w="0" w:type="auto"/>
            <w:hideMark/>
          </w:tcPr>
          <w:p w14:paraId="3CC2B5F9" w14:textId="22D4DAB4" w:rsidR="00231908" w:rsidRPr="00231908" w:rsidRDefault="00231908" w:rsidP="00231908">
            <w:pPr>
              <w:spacing w:after="160" w:line="25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sz w:val="32"/>
                <w:szCs w:val="32"/>
              </w:rPr>
            </w:pPr>
            <w:r>
              <w:rPr>
                <w:rFonts w:ascii="Arial" w:hAnsi="Arial" w:cs="Arial"/>
                <w:b/>
                <w:sz w:val="32"/>
                <w:szCs w:val="32"/>
              </w:rPr>
              <w:t>17-18</w:t>
            </w:r>
          </w:p>
        </w:tc>
      </w:tr>
      <w:tr w:rsidR="00231908" w:rsidRPr="00231908" w14:paraId="18C594A9" w14:textId="77777777" w:rsidTr="0023190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F769CE" w14:textId="77777777" w:rsidR="00231908" w:rsidRPr="00231908" w:rsidRDefault="00231908" w:rsidP="00231908">
            <w:pPr>
              <w:spacing w:after="160" w:line="256" w:lineRule="auto"/>
              <w:jc w:val="both"/>
              <w:rPr>
                <w:rFonts w:ascii="Arial" w:hAnsi="Arial" w:cs="Arial"/>
                <w:sz w:val="32"/>
                <w:szCs w:val="32"/>
              </w:rPr>
            </w:pPr>
            <w:r w:rsidRPr="00231908">
              <w:rPr>
                <w:rFonts w:ascii="Arial" w:hAnsi="Arial" w:cs="Arial"/>
                <w:sz w:val="32"/>
                <w:szCs w:val="32"/>
              </w:rPr>
              <w:t>References</w:t>
            </w:r>
          </w:p>
        </w:tc>
        <w:tc>
          <w:tcPr>
            <w:tcW w:w="0" w:type="auto"/>
            <w:hideMark/>
          </w:tcPr>
          <w:p w14:paraId="24A2E8B1" w14:textId="0872107F" w:rsidR="00231908" w:rsidRPr="00231908" w:rsidRDefault="00231908" w:rsidP="00231908">
            <w:pPr>
              <w:spacing w:after="160" w:line="25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sz w:val="32"/>
                <w:szCs w:val="32"/>
              </w:rPr>
            </w:pPr>
            <w:r>
              <w:rPr>
                <w:rFonts w:ascii="Arial" w:hAnsi="Arial" w:cs="Arial"/>
                <w:b/>
                <w:sz w:val="32"/>
                <w:szCs w:val="32"/>
              </w:rPr>
              <w:t>19</w:t>
            </w:r>
          </w:p>
        </w:tc>
      </w:tr>
    </w:tbl>
    <w:p w14:paraId="0A612ADD" w14:textId="1D16B593" w:rsidR="009E77BC" w:rsidRPr="001030D3" w:rsidRDefault="00000000" w:rsidP="00F64606">
      <w:pPr>
        <w:pStyle w:val="Heading1"/>
      </w:pPr>
      <w:r w:rsidRPr="001030D3">
        <w:lastRenderedPageBreak/>
        <w:t xml:space="preserve">Case study: </w:t>
      </w:r>
    </w:p>
    <w:p w14:paraId="17987C0D" w14:textId="77777777" w:rsidR="00B5686C" w:rsidRPr="001030D3" w:rsidRDefault="00B5686C" w:rsidP="00F64606">
      <w:pPr>
        <w:pStyle w:val="Heading1"/>
        <w:rPr>
          <w:bCs/>
        </w:rPr>
      </w:pPr>
      <w:r w:rsidRPr="001030D3">
        <w:rPr>
          <w:bCs/>
        </w:rPr>
        <w:t>The Josie King Case – Johns Hopkins Hospital, USA (2001)</w:t>
      </w:r>
    </w:p>
    <w:p w14:paraId="7932D078" w14:textId="77777777" w:rsidR="00F64606" w:rsidRDefault="00F64606" w:rsidP="001030D3">
      <w:pPr>
        <w:jc w:val="both"/>
        <w:rPr>
          <w:rFonts w:ascii="Arial" w:hAnsi="Arial" w:cs="Arial"/>
          <w:b/>
        </w:rPr>
      </w:pPr>
    </w:p>
    <w:p w14:paraId="4FDBC168" w14:textId="58E8E1FF" w:rsidR="00B5686C" w:rsidRPr="001030D3" w:rsidRDefault="00B5686C" w:rsidP="001030D3">
      <w:pPr>
        <w:jc w:val="both"/>
        <w:rPr>
          <w:rFonts w:ascii="Arial" w:hAnsi="Arial" w:cs="Arial"/>
          <w:b/>
        </w:rPr>
      </w:pPr>
      <w:r w:rsidRPr="001030D3">
        <w:rPr>
          <w:rFonts w:ascii="Arial" w:hAnsi="Arial" w:cs="Arial"/>
          <w:b/>
        </w:rPr>
        <w:t xml:space="preserve">Josie King was an 18-month-old child admitted to </w:t>
      </w:r>
      <w:r w:rsidRPr="001030D3">
        <w:rPr>
          <w:rFonts w:ascii="Arial" w:hAnsi="Arial" w:cs="Arial"/>
          <w:b/>
          <w:bCs/>
        </w:rPr>
        <w:t>Johns Hopkins Hospital, Baltimore, USA</w:t>
      </w:r>
      <w:r w:rsidRPr="001030D3">
        <w:rPr>
          <w:rFonts w:ascii="Arial" w:hAnsi="Arial" w:cs="Arial"/>
          <w:b/>
        </w:rPr>
        <w:t>, following treatment for severe burns. Although her initial condition improved and she was expected to recover, she later died due to a series of preventable healthcare failures. During her hospital stay, Josie's parents repeatedly informed healthcare professionals that she appeared increasingly thirsty, lethargic, and unwell. Despite these concerns, communication between nurses, junior doctors, and senior clinicians was poor, and the warnings were not acted upon promptly. Josie developed severe dehydration caused by inadequate monitoring and delayed recognition of her deteriorating condition, which ultimately resulted in cardiac arrest and death.</w:t>
      </w:r>
    </w:p>
    <w:p w14:paraId="3C97A5F2" w14:textId="77777777" w:rsidR="00B5686C" w:rsidRPr="001030D3" w:rsidRDefault="00B5686C" w:rsidP="001030D3">
      <w:pPr>
        <w:jc w:val="both"/>
        <w:rPr>
          <w:rFonts w:ascii="Arial" w:hAnsi="Arial" w:cs="Arial"/>
          <w:b/>
        </w:rPr>
      </w:pPr>
      <w:r w:rsidRPr="001030D3">
        <w:rPr>
          <w:rFonts w:ascii="Arial" w:hAnsi="Arial" w:cs="Arial"/>
          <w:b/>
        </w:rPr>
        <w:t>Subsequent investigations identified multiple organisational failures, including ineffective communication, inadequate clinical supervision, fragmented teamwork, poor escalation of patient deterioration, insufficient leadership oversight, and a culture in which families' concerns were not valued. The case highlighted weaknesses in governance, patient safety systems, and organisational culture rather than the actions of a single healthcare professional.</w:t>
      </w:r>
    </w:p>
    <w:p w14:paraId="20C615B9" w14:textId="77777777" w:rsidR="00B5686C" w:rsidRPr="001030D3" w:rsidRDefault="00B5686C" w:rsidP="001030D3">
      <w:pPr>
        <w:jc w:val="both"/>
        <w:rPr>
          <w:rFonts w:ascii="Arial" w:hAnsi="Arial" w:cs="Arial"/>
          <w:b/>
        </w:rPr>
      </w:pPr>
      <w:r w:rsidRPr="001030D3">
        <w:rPr>
          <w:rFonts w:ascii="Arial" w:hAnsi="Arial" w:cs="Arial"/>
          <w:b/>
        </w:rPr>
        <w:t xml:space="preserve">Following Josie's death, </w:t>
      </w:r>
      <w:r w:rsidRPr="001030D3">
        <w:rPr>
          <w:rFonts w:ascii="Arial" w:hAnsi="Arial" w:cs="Arial"/>
          <w:b/>
          <w:bCs/>
        </w:rPr>
        <w:t>Johns Hopkins Hospital</w:t>
      </w:r>
      <w:r w:rsidRPr="001030D3">
        <w:rPr>
          <w:rFonts w:ascii="Arial" w:hAnsi="Arial" w:cs="Arial"/>
          <w:b/>
        </w:rPr>
        <w:t xml:space="preserve"> implemented major patient safety reforms, including family-centred care initiatives, rapid response teams, improved communication protocols, multidisciplinary teamwork, patient safety leadership programmes, and systems-based quality improvement strategies. The incident has since become an internationally recognised example of how leadership, governance, and systems thinking can transform healthcare organisations and improve patient safety worldwide.</w:t>
      </w:r>
    </w:p>
    <w:p w14:paraId="75DFD8E0" w14:textId="47E375D8" w:rsidR="009E77BC" w:rsidRPr="001030D3" w:rsidRDefault="00B5686C" w:rsidP="001030D3">
      <w:pPr>
        <w:jc w:val="both"/>
        <w:rPr>
          <w:rFonts w:ascii="Arial" w:hAnsi="Arial" w:cs="Arial"/>
          <w:b/>
        </w:rPr>
      </w:pPr>
      <w:r w:rsidRPr="001030D3">
        <w:rPr>
          <w:rFonts w:ascii="Arial" w:hAnsi="Arial" w:cs="Arial"/>
          <w:b/>
          <w:bCs/>
        </w:rPr>
        <w:t>Link:</w:t>
      </w:r>
      <w:r w:rsidRPr="001030D3">
        <w:rPr>
          <w:rFonts w:ascii="Arial" w:hAnsi="Arial" w:cs="Arial"/>
          <w:b/>
        </w:rPr>
        <w:t xml:space="preserve"> </w:t>
      </w:r>
      <w:hyperlink r:id="rId9" w:history="1">
        <w:r w:rsidRPr="001030D3">
          <w:rPr>
            <w:rStyle w:val="Hyperlink"/>
            <w:rFonts w:ascii="Arial" w:hAnsi="Arial" w:cs="Arial"/>
            <w:b/>
          </w:rPr>
          <w:t>https://www.psnet.ahrq.gov/perspective/josie-kings-story-and-josie-king-foundation</w:t>
        </w:r>
      </w:hyperlink>
    </w:p>
    <w:p w14:paraId="4CE87570" w14:textId="77777777" w:rsidR="00B5686C" w:rsidRDefault="00B5686C" w:rsidP="001030D3">
      <w:pPr>
        <w:jc w:val="both"/>
        <w:rPr>
          <w:rFonts w:ascii="Arial" w:hAnsi="Arial" w:cs="Arial"/>
          <w:b/>
        </w:rPr>
      </w:pPr>
    </w:p>
    <w:p w14:paraId="5BAD1434" w14:textId="77777777" w:rsidR="000C12F4" w:rsidRDefault="000C12F4" w:rsidP="003A0A4A">
      <w:pPr>
        <w:pStyle w:val="Heading1"/>
      </w:pPr>
    </w:p>
    <w:p w14:paraId="63C17A85" w14:textId="77777777" w:rsidR="000C12F4" w:rsidRDefault="000C12F4" w:rsidP="000C12F4"/>
    <w:p w14:paraId="03CBA087" w14:textId="77777777" w:rsidR="000C12F4" w:rsidRDefault="000C12F4" w:rsidP="000C12F4"/>
    <w:p w14:paraId="07131105" w14:textId="77777777" w:rsidR="000C12F4" w:rsidRDefault="000C12F4" w:rsidP="000C12F4"/>
    <w:p w14:paraId="4118F1D2" w14:textId="77777777" w:rsidR="000C12F4" w:rsidRDefault="000C12F4" w:rsidP="000C12F4"/>
    <w:p w14:paraId="62CE7E26" w14:textId="77777777" w:rsidR="000C12F4" w:rsidRDefault="000C12F4" w:rsidP="000C12F4"/>
    <w:p w14:paraId="3BF435B6" w14:textId="77777777" w:rsidR="000C12F4" w:rsidRPr="000C12F4" w:rsidRDefault="000C12F4" w:rsidP="000C12F4"/>
    <w:p w14:paraId="79C69C16" w14:textId="2D851FF2" w:rsidR="003A0A4A" w:rsidRDefault="003A0A4A" w:rsidP="003A0A4A">
      <w:pPr>
        <w:pStyle w:val="Heading1"/>
        <w:rPr>
          <w:bCs/>
        </w:rPr>
      </w:pPr>
      <w:r w:rsidRPr="003A0A4A">
        <w:rPr>
          <w:bCs/>
        </w:rPr>
        <w:lastRenderedPageBreak/>
        <w:t>Introduction</w:t>
      </w:r>
    </w:p>
    <w:p w14:paraId="27F722D3" w14:textId="77777777" w:rsidR="00633885" w:rsidRPr="00633885" w:rsidRDefault="00633885" w:rsidP="00633885">
      <w:r w:rsidRPr="00633885">
        <w:t>Healthcare organisations operate in increasingly complex environments where effective leadership is essential for ensuring patient safety, delivering high-quality care, and promoting continuous organisational improvement. Although advances in medical technology and clinical practice have improved patient outcomes, failures in leadership, communication, teamwork, and organisational culture continue to contribute to preventable patient harm (World Health Organization, 2021). Patient safety research highlights that adverse events often occur due to weaknesses within healthcare systems rather than individual errors alone, emphasising the importance of effective leadership, organisational learning, and systems thinking (Reason, 2000).</w:t>
      </w:r>
    </w:p>
    <w:p w14:paraId="4EFFBA4A" w14:textId="77777777" w:rsidR="00633885" w:rsidRPr="00633885" w:rsidRDefault="00633885" w:rsidP="00633885">
      <w:r w:rsidRPr="00633885">
        <w:t>The Josie King case at Johns Hopkins Hospital in the United States remains one of the most influential patient safety cases in modern healthcare. In 2001, 18-month-old Josie King died from severe dehydration following a series of preventable failures despite her parents repeatedly raising concerns about her deteriorating condition. Investigations identified organisational weaknesses, including poor communication between healthcare professionals, fragmented teamwork, inadequate supervision, ineffective escalation processes, and a culture that failed to value patient and family concerns (Pronovost et al., 2005). The case demonstrated that patient harm can result from wider leadership and system failures rather than the actions of a single individual. It therefore provides an important opportunity to critically examine how leadership, governance, organisational culture, and systems thinking influence patient safety.</w:t>
      </w:r>
    </w:p>
    <w:p w14:paraId="439A8738" w14:textId="77777777" w:rsidR="00633885" w:rsidRPr="00633885" w:rsidRDefault="00633885" w:rsidP="00633885">
      <w:r w:rsidRPr="00633885">
        <w:t xml:space="preserve">Leadership is a continuous, socially constructed process through which an individual influences, inspires, and empowers others to work collaboratively towards a shared vision and organisational purpose. It is built on responsibility, accountability, trust, effective communication, and strong interpersonal relationships rather than formal authority alone. Effective leaders adapt their leadership style according to the people, context, and organisational environment while encouraging teamwork, innovation, and collective problem-solving. In healthcare, leadership is fundamental to coordinating multidisciplinary teams, supporting evidence-based decision-making, managing organisational change, promoting patient-centred care, and creating cultures where staff feel psychologically safe to raise concerns. This perspective aligns with the Connected Leadership Framework (4Ps), which emphasises </w:t>
      </w:r>
      <w:r w:rsidRPr="00633885">
        <w:rPr>
          <w:b/>
          <w:bCs/>
        </w:rPr>
        <w:t>Purpose, Priorities, Potential, and Progress</w:t>
      </w:r>
      <w:r w:rsidRPr="00633885">
        <w:t xml:space="preserve"> as key drivers of sustainable organisational improvement (Northouse, 2022; West et al., 2015).</w:t>
      </w:r>
    </w:p>
    <w:p w14:paraId="1A423D1F" w14:textId="77777777" w:rsidR="00633885" w:rsidRPr="00633885" w:rsidRDefault="00633885" w:rsidP="00633885">
      <w:r w:rsidRPr="00633885">
        <w:t>Healthcare leadership is also influenced by organisational structures. Centralisation is an organisational approach in which decision-making authority, policy development, resource allocation, and strategic control are concentrated within senior leadership to promote consistency, accountability, and standardisation (Mintzberg, 1983). In contrast, decentralisation delegates decision-making authority and responsibility to frontline teams, enabling faster responses, professional empowerment, innovation, and care that is responsive to local patient needs while remaining aligned with organisational objectives (Mullins, 2016). Within healthcare organisations, achieving an appropriate balance between centralised governance and decentralised empowerment is essential to ensure effective communication, timely decision-making, and patient safety, making these concepts particularly relevant to the analysis of the Josie King case.</w:t>
      </w:r>
    </w:p>
    <w:p w14:paraId="7A2F9690" w14:textId="77777777" w:rsidR="00633885" w:rsidRPr="00633885" w:rsidRDefault="00633885" w:rsidP="00633885">
      <w:r w:rsidRPr="00633885">
        <w:t xml:space="preserve">Selecting the most appropriate leadership style is particularly important in healthcare because no single leadership approach is effective in every situation. Leaders must adapt their </w:t>
      </w:r>
      <w:r w:rsidRPr="00633885">
        <w:lastRenderedPageBreak/>
        <w:t>behaviours according to the level of clinical risk, organisational context, team capability, and patient needs. Appropriate leadership promotes effective communication, collaboration, timely decision-making, and a positive patient safety culture, whereas ineffective leadership may contribute to poor teamwork, delayed escalation, preventable harm, and reduced quality of care.</w:t>
      </w:r>
    </w:p>
    <w:p w14:paraId="7DFA638C" w14:textId="47B0EF71" w:rsidR="00633885" w:rsidRPr="00633885" w:rsidRDefault="00633885" w:rsidP="00633885">
      <w:r w:rsidRPr="00633885">
        <w:t>This report critically evaluates the Josie King case using a systems thinking perspective alongside a range of leadership theories and models, including Great Man Theory, Trait Theory, Behavioural Theory, McGregor's Theory X and Theory Y, Situational and Contingency Theory, the Tannenbaum and Schmidt Leadership Continuum, transformational leadership, distributed leadership, systems leadership, and the Connected Leadership Framework (4Ps). It examines how leadership behaviours, organisational structures, governance arrangements, and organisational culture influenced patient safety outcomes before proposing evidence-based recommendations to strengthen leadership practice and improve the quality and safety of healthcare services.</w:t>
      </w:r>
    </w:p>
    <w:p w14:paraId="10EB25C3" w14:textId="78125B8F" w:rsidR="003A0A4A" w:rsidRDefault="003A0A4A" w:rsidP="003A0A4A">
      <w:pPr>
        <w:pStyle w:val="Heading1"/>
      </w:pPr>
      <w:r>
        <w:t>Main body and analysis:</w:t>
      </w:r>
    </w:p>
    <w:p w14:paraId="19961BDD" w14:textId="3BB1F2DA" w:rsidR="003A0A4A" w:rsidRDefault="003A0A4A" w:rsidP="003A0A4A">
      <w:pPr>
        <w:pStyle w:val="Heading2"/>
      </w:pPr>
      <w:r>
        <w:t>Identifying the problem and setting the system context applying systems thinking and reach picture</w:t>
      </w:r>
    </w:p>
    <w:p w14:paraId="7A3D17B1" w14:textId="77777777" w:rsidR="000C12F4" w:rsidRPr="000C12F4" w:rsidRDefault="000C12F4" w:rsidP="000C12F4">
      <w:pPr>
        <w:jc w:val="both"/>
        <w:rPr>
          <w:rFonts w:ascii="Arial" w:hAnsi="Arial" w:cs="Arial"/>
        </w:rPr>
      </w:pPr>
      <w:r w:rsidRPr="000C12F4">
        <w:rPr>
          <w:rFonts w:ascii="Arial" w:hAnsi="Arial" w:cs="Arial"/>
        </w:rPr>
        <w:t>In the Josie King case, an 18-month-old child died following preventable failures in recognising and responding to clinical deterioration. The incident was influenced by ineffective communication, inadequate monitoring systems, poor escalation processes, and organisational weaknesses that prevented concerns raised by the family from being appropriately recognised and acted upon.</w:t>
      </w:r>
    </w:p>
    <w:p w14:paraId="14C2DC1C" w14:textId="77777777" w:rsidR="000C12F4" w:rsidRPr="000C12F4" w:rsidRDefault="000C12F4" w:rsidP="000C12F4">
      <w:pPr>
        <w:jc w:val="both"/>
        <w:rPr>
          <w:rFonts w:ascii="Arial" w:hAnsi="Arial" w:cs="Arial"/>
        </w:rPr>
      </w:pPr>
      <w:r w:rsidRPr="000C12F4">
        <w:rPr>
          <w:rFonts w:ascii="Arial" w:hAnsi="Arial" w:cs="Arial"/>
        </w:rPr>
        <w:t>The Josie King case demonstrates that patient safety failures are rarely caused by a single individual’s actions but are usually the result of complex interactions between healthcare professionals, organisational processes, leadership practices, and workplace culture. Josie King was admitted to Johns Hopkins Hospital, Baltimore, USA, following treatment for severe burns. Although her initial recovery appeared positive, her condition deteriorated during hospitalisation. Her parents repeatedly raised concerns regarding increased thirst, lethargy, and changes in her behaviour; however, these concerns were not effectively communicated or escalated within the healthcare team. Josie subsequently developed severe dehydration, leading to cardiac arrest and death (AHRQ, 2016).</w:t>
      </w:r>
    </w:p>
    <w:p w14:paraId="1282ECED" w14:textId="77777777" w:rsidR="000C12F4" w:rsidRPr="000C12F4" w:rsidRDefault="000C12F4" w:rsidP="000C12F4">
      <w:pPr>
        <w:jc w:val="both"/>
        <w:rPr>
          <w:rFonts w:ascii="Arial" w:hAnsi="Arial" w:cs="Arial"/>
        </w:rPr>
      </w:pPr>
      <w:r w:rsidRPr="000C12F4">
        <w:rPr>
          <w:rFonts w:ascii="Arial" w:hAnsi="Arial" w:cs="Arial"/>
        </w:rPr>
        <w:t>Using a systems thinking approach, the incident should not be interpreted simply as an individual clinical error. Instead, it represents a wider system failure where communication pathways, leadership structures, escalation procedures, and organisational culture interacted in ways that prevented safe decision-making. According to Reason’s (2000) systems approach, healthcare harm occurs when multiple weaknesses within a system align and allow failures to pass through existing safety barriers. Therefore, the Josie King case highlights the importance of examining underlying organisational conditions rather than focusing only on individual accountability.</w:t>
      </w:r>
    </w:p>
    <w:p w14:paraId="43C7EFE7" w14:textId="77777777" w:rsidR="000C12F4" w:rsidRPr="000C12F4" w:rsidRDefault="000C12F4" w:rsidP="000C12F4">
      <w:pPr>
        <w:jc w:val="both"/>
        <w:rPr>
          <w:rFonts w:ascii="Arial" w:hAnsi="Arial" w:cs="Arial"/>
        </w:rPr>
      </w:pPr>
      <w:r w:rsidRPr="000C12F4">
        <w:rPr>
          <w:rFonts w:ascii="Arial" w:hAnsi="Arial" w:cs="Arial"/>
        </w:rPr>
        <w:t xml:space="preserve">Systems thinking provides a more comprehensive approach to analysing healthcare failures because it recognises that adverse outcomes often emerge from interactions between different parts of a complex system. In the Josie King case, the outcome was not caused by one isolated mistake but developed through the combined influence of hierarchical structures, communication barriers, limited psychological safety, ineffective escalation processes, and </w:t>
      </w:r>
      <w:r w:rsidRPr="000C12F4">
        <w:rPr>
          <w:rFonts w:ascii="Arial" w:hAnsi="Arial" w:cs="Arial"/>
        </w:rPr>
        <w:lastRenderedPageBreak/>
        <w:t>weaknesses in leadership oversight. These factors interacted dynamically, creating conditions where early warning signs were not converted into timely clinical action. Therefore, a systems-based analysis allows healthcare organisations to identify and redesign underlying processes rather than simply assigning blame after harm occurs (Reason, 2000).</w:t>
      </w:r>
    </w:p>
    <w:p w14:paraId="344455F8" w14:textId="52CF6C71" w:rsidR="003A0A4A" w:rsidRPr="00BD468B" w:rsidRDefault="003A0A4A" w:rsidP="000C12F4">
      <w:pPr>
        <w:jc w:val="both"/>
        <w:rPr>
          <w:rFonts w:ascii="Arial" w:hAnsi="Arial" w:cs="Arial"/>
        </w:rPr>
      </w:pPr>
    </w:p>
    <w:p w14:paraId="3CA2CD2E" w14:textId="14E31B75" w:rsidR="003A0A4A" w:rsidRPr="00BD468B" w:rsidRDefault="003A0A4A" w:rsidP="00D53752">
      <w:pPr>
        <w:pStyle w:val="Heading1"/>
      </w:pPr>
    </w:p>
    <w:p w14:paraId="4CA63F7E" w14:textId="77777777" w:rsidR="003A0A4A" w:rsidRPr="00BD468B" w:rsidRDefault="003A0A4A" w:rsidP="00D53752">
      <w:pPr>
        <w:pStyle w:val="Heading1"/>
        <w:rPr>
          <w:b/>
          <w:bCs/>
        </w:rPr>
      </w:pPr>
      <w:r w:rsidRPr="00BD468B">
        <w:rPr>
          <w:b/>
          <w:bCs/>
        </w:rPr>
        <w:t>National and International Data Supporting Problem Analysis</w:t>
      </w:r>
    </w:p>
    <w:tbl>
      <w:tblPr>
        <w:tblStyle w:val="TableGrid"/>
        <w:tblW w:w="0" w:type="auto"/>
        <w:tblLook w:val="04A0" w:firstRow="1" w:lastRow="0" w:firstColumn="1" w:lastColumn="0" w:noHBand="0" w:noVBand="1"/>
      </w:tblPr>
      <w:tblGrid>
        <w:gridCol w:w="1994"/>
        <w:gridCol w:w="3402"/>
        <w:gridCol w:w="3620"/>
      </w:tblGrid>
      <w:tr w:rsidR="003A0A4A" w:rsidRPr="00BD468B" w14:paraId="431A90ED" w14:textId="77777777" w:rsidTr="00BD468B">
        <w:tc>
          <w:tcPr>
            <w:tcW w:w="0" w:type="auto"/>
            <w:hideMark/>
          </w:tcPr>
          <w:p w14:paraId="20DEA030" w14:textId="77777777" w:rsidR="003A0A4A" w:rsidRPr="00BD468B" w:rsidRDefault="003A0A4A" w:rsidP="00BD468B">
            <w:pPr>
              <w:spacing w:after="160" w:line="256" w:lineRule="auto"/>
              <w:jc w:val="both"/>
              <w:rPr>
                <w:rFonts w:ascii="Arial" w:hAnsi="Arial" w:cs="Arial"/>
                <w:b/>
                <w:bCs/>
              </w:rPr>
            </w:pPr>
            <w:r w:rsidRPr="00BD468B">
              <w:rPr>
                <w:rFonts w:ascii="Arial" w:hAnsi="Arial" w:cs="Arial"/>
                <w:b/>
                <w:bCs/>
              </w:rPr>
              <w:t>Source</w:t>
            </w:r>
          </w:p>
        </w:tc>
        <w:tc>
          <w:tcPr>
            <w:tcW w:w="0" w:type="auto"/>
            <w:hideMark/>
          </w:tcPr>
          <w:p w14:paraId="17B41BFE" w14:textId="77777777" w:rsidR="003A0A4A" w:rsidRPr="00BD468B" w:rsidRDefault="003A0A4A" w:rsidP="00BD468B">
            <w:pPr>
              <w:spacing w:after="160" w:line="256" w:lineRule="auto"/>
              <w:jc w:val="both"/>
              <w:rPr>
                <w:rFonts w:ascii="Arial" w:hAnsi="Arial" w:cs="Arial"/>
                <w:b/>
                <w:bCs/>
              </w:rPr>
            </w:pPr>
            <w:r w:rsidRPr="00BD468B">
              <w:rPr>
                <w:rFonts w:ascii="Arial" w:hAnsi="Arial" w:cs="Arial"/>
                <w:b/>
                <w:bCs/>
              </w:rPr>
              <w:t>Statistic / Evidence</w:t>
            </w:r>
          </w:p>
        </w:tc>
        <w:tc>
          <w:tcPr>
            <w:tcW w:w="0" w:type="auto"/>
            <w:hideMark/>
          </w:tcPr>
          <w:p w14:paraId="73A2AED8" w14:textId="77777777" w:rsidR="003A0A4A" w:rsidRPr="00BD468B" w:rsidRDefault="003A0A4A" w:rsidP="00BD468B">
            <w:pPr>
              <w:spacing w:after="160" w:line="256" w:lineRule="auto"/>
              <w:jc w:val="both"/>
              <w:rPr>
                <w:rFonts w:ascii="Arial" w:hAnsi="Arial" w:cs="Arial"/>
                <w:b/>
                <w:bCs/>
              </w:rPr>
            </w:pPr>
            <w:r w:rsidRPr="00BD468B">
              <w:rPr>
                <w:rFonts w:ascii="Arial" w:hAnsi="Arial" w:cs="Arial"/>
                <w:b/>
                <w:bCs/>
              </w:rPr>
              <w:t>Relevance to Josie King Case</w:t>
            </w:r>
          </w:p>
        </w:tc>
      </w:tr>
      <w:tr w:rsidR="003A0A4A" w:rsidRPr="00BD468B" w14:paraId="5E3B22DF" w14:textId="77777777" w:rsidTr="00BD468B">
        <w:tc>
          <w:tcPr>
            <w:tcW w:w="0" w:type="auto"/>
            <w:hideMark/>
          </w:tcPr>
          <w:p w14:paraId="6D36A2B2" w14:textId="77777777" w:rsidR="003A0A4A" w:rsidRPr="00BD468B" w:rsidRDefault="003A0A4A" w:rsidP="00BD468B">
            <w:pPr>
              <w:spacing w:after="160" w:line="256" w:lineRule="auto"/>
              <w:jc w:val="both"/>
              <w:rPr>
                <w:rFonts w:ascii="Arial" w:hAnsi="Arial" w:cs="Arial"/>
              </w:rPr>
            </w:pPr>
            <w:r w:rsidRPr="00BD468B">
              <w:rPr>
                <w:rFonts w:ascii="Arial" w:hAnsi="Arial" w:cs="Arial"/>
              </w:rPr>
              <w:t>World Health Organization (WHO, 2021)</w:t>
            </w:r>
          </w:p>
        </w:tc>
        <w:tc>
          <w:tcPr>
            <w:tcW w:w="0" w:type="auto"/>
            <w:hideMark/>
          </w:tcPr>
          <w:p w14:paraId="640C7542" w14:textId="77777777" w:rsidR="003A0A4A" w:rsidRPr="00BD468B" w:rsidRDefault="003A0A4A" w:rsidP="00BD468B">
            <w:pPr>
              <w:spacing w:after="160" w:line="256" w:lineRule="auto"/>
              <w:jc w:val="both"/>
              <w:rPr>
                <w:rFonts w:ascii="Arial" w:hAnsi="Arial" w:cs="Arial"/>
              </w:rPr>
            </w:pPr>
            <w:r w:rsidRPr="00BD468B">
              <w:rPr>
                <w:rFonts w:ascii="Arial" w:hAnsi="Arial" w:cs="Arial"/>
              </w:rPr>
              <w:t>Patient safety incidents are among the leading causes of avoidable harm in healthcare systems globally.</w:t>
            </w:r>
          </w:p>
        </w:tc>
        <w:tc>
          <w:tcPr>
            <w:tcW w:w="0" w:type="auto"/>
            <w:hideMark/>
          </w:tcPr>
          <w:p w14:paraId="4CFB42B6" w14:textId="77777777" w:rsidR="003A0A4A" w:rsidRPr="00BD468B" w:rsidRDefault="003A0A4A" w:rsidP="00BD468B">
            <w:pPr>
              <w:spacing w:after="160" w:line="256" w:lineRule="auto"/>
              <w:jc w:val="both"/>
              <w:rPr>
                <w:rFonts w:ascii="Arial" w:hAnsi="Arial" w:cs="Arial"/>
              </w:rPr>
            </w:pPr>
            <w:r w:rsidRPr="00BD468B">
              <w:rPr>
                <w:rFonts w:ascii="Arial" w:hAnsi="Arial" w:cs="Arial"/>
              </w:rPr>
              <w:t>Demonstrates that failures in communication, leadership, and healthcare systems are worldwide patient safety challenges.</w:t>
            </w:r>
          </w:p>
        </w:tc>
      </w:tr>
      <w:tr w:rsidR="003A0A4A" w:rsidRPr="00BD468B" w14:paraId="1BEA2FA1" w14:textId="77777777" w:rsidTr="00BD468B">
        <w:tc>
          <w:tcPr>
            <w:tcW w:w="0" w:type="auto"/>
            <w:hideMark/>
          </w:tcPr>
          <w:p w14:paraId="1DB5AE4A" w14:textId="77777777" w:rsidR="003A0A4A" w:rsidRPr="00BD468B" w:rsidRDefault="003A0A4A" w:rsidP="00BD468B">
            <w:pPr>
              <w:spacing w:after="160" w:line="256" w:lineRule="auto"/>
              <w:jc w:val="both"/>
              <w:rPr>
                <w:rFonts w:ascii="Arial" w:hAnsi="Arial" w:cs="Arial"/>
              </w:rPr>
            </w:pPr>
            <w:r w:rsidRPr="00BD468B">
              <w:rPr>
                <w:rFonts w:ascii="Arial" w:hAnsi="Arial" w:cs="Arial"/>
              </w:rPr>
              <w:t>WHO (2019)</w:t>
            </w:r>
          </w:p>
        </w:tc>
        <w:tc>
          <w:tcPr>
            <w:tcW w:w="0" w:type="auto"/>
            <w:hideMark/>
          </w:tcPr>
          <w:p w14:paraId="5DEC0839" w14:textId="77777777" w:rsidR="003A0A4A" w:rsidRPr="00BD468B" w:rsidRDefault="003A0A4A" w:rsidP="00BD468B">
            <w:pPr>
              <w:spacing w:after="160" w:line="256" w:lineRule="auto"/>
              <w:jc w:val="both"/>
              <w:rPr>
                <w:rFonts w:ascii="Arial" w:hAnsi="Arial" w:cs="Arial"/>
              </w:rPr>
            </w:pPr>
            <w:r w:rsidRPr="00BD468B">
              <w:rPr>
                <w:rFonts w:ascii="Arial" w:hAnsi="Arial" w:cs="Arial"/>
              </w:rPr>
              <w:t>Around 1 in every 10 patients is harmed while receiving hospital care, with medication errors and diagnostic failures being significant contributors.</w:t>
            </w:r>
          </w:p>
        </w:tc>
        <w:tc>
          <w:tcPr>
            <w:tcW w:w="0" w:type="auto"/>
            <w:hideMark/>
          </w:tcPr>
          <w:p w14:paraId="43046D84" w14:textId="77777777" w:rsidR="003A0A4A" w:rsidRPr="00BD468B" w:rsidRDefault="003A0A4A" w:rsidP="00BD468B">
            <w:pPr>
              <w:spacing w:after="160" w:line="256" w:lineRule="auto"/>
              <w:jc w:val="both"/>
              <w:rPr>
                <w:rFonts w:ascii="Arial" w:hAnsi="Arial" w:cs="Arial"/>
              </w:rPr>
            </w:pPr>
            <w:r w:rsidRPr="00BD468B">
              <w:rPr>
                <w:rFonts w:ascii="Arial" w:hAnsi="Arial" w:cs="Arial"/>
              </w:rPr>
              <w:t>Highlights the global impact of unsafe healthcare systems and the importance of safety-focused leadership.</w:t>
            </w:r>
          </w:p>
        </w:tc>
      </w:tr>
      <w:tr w:rsidR="003A0A4A" w:rsidRPr="00BD468B" w14:paraId="1378B874" w14:textId="77777777" w:rsidTr="00BD468B">
        <w:tc>
          <w:tcPr>
            <w:tcW w:w="0" w:type="auto"/>
            <w:hideMark/>
          </w:tcPr>
          <w:p w14:paraId="023202B1" w14:textId="77777777" w:rsidR="003A0A4A" w:rsidRPr="00BD468B" w:rsidRDefault="003A0A4A" w:rsidP="00BD468B">
            <w:pPr>
              <w:spacing w:after="160" w:line="256" w:lineRule="auto"/>
              <w:jc w:val="both"/>
              <w:rPr>
                <w:rFonts w:ascii="Arial" w:hAnsi="Arial" w:cs="Arial"/>
              </w:rPr>
            </w:pPr>
            <w:r w:rsidRPr="00BD468B">
              <w:rPr>
                <w:rFonts w:ascii="Arial" w:hAnsi="Arial" w:cs="Arial"/>
              </w:rPr>
              <w:t>NHS England (2022)</w:t>
            </w:r>
          </w:p>
        </w:tc>
        <w:tc>
          <w:tcPr>
            <w:tcW w:w="0" w:type="auto"/>
            <w:hideMark/>
          </w:tcPr>
          <w:p w14:paraId="539DF38D" w14:textId="77777777" w:rsidR="003A0A4A" w:rsidRPr="00BD468B" w:rsidRDefault="003A0A4A" w:rsidP="00BD468B">
            <w:pPr>
              <w:spacing w:after="160" w:line="256" w:lineRule="auto"/>
              <w:jc w:val="both"/>
              <w:rPr>
                <w:rFonts w:ascii="Arial" w:hAnsi="Arial" w:cs="Arial"/>
              </w:rPr>
            </w:pPr>
            <w:r w:rsidRPr="00BD468B">
              <w:rPr>
                <w:rFonts w:ascii="Arial" w:hAnsi="Arial" w:cs="Arial"/>
              </w:rPr>
              <w:t>The NHS promotes a patient safety strategy based on learning from incidents, improving systems, and reducing avoidable harm.</w:t>
            </w:r>
          </w:p>
        </w:tc>
        <w:tc>
          <w:tcPr>
            <w:tcW w:w="0" w:type="auto"/>
            <w:hideMark/>
          </w:tcPr>
          <w:p w14:paraId="6D954B5A" w14:textId="77777777" w:rsidR="003A0A4A" w:rsidRPr="00BD468B" w:rsidRDefault="003A0A4A" w:rsidP="00BD468B">
            <w:pPr>
              <w:spacing w:after="160" w:line="256" w:lineRule="auto"/>
              <w:jc w:val="both"/>
              <w:rPr>
                <w:rFonts w:ascii="Arial" w:hAnsi="Arial" w:cs="Arial"/>
              </w:rPr>
            </w:pPr>
            <w:r w:rsidRPr="00BD468B">
              <w:rPr>
                <w:rFonts w:ascii="Arial" w:hAnsi="Arial" w:cs="Arial"/>
              </w:rPr>
              <w:t xml:space="preserve">Shows the importance of organisational learning and safety culture within healthcare systems </w:t>
            </w:r>
            <w:proofErr w:type="gramStart"/>
            <w:r w:rsidRPr="00BD468B">
              <w:rPr>
                <w:rFonts w:ascii="Arial" w:hAnsi="Arial" w:cs="Arial"/>
              </w:rPr>
              <w:t>similar to</w:t>
            </w:r>
            <w:proofErr w:type="gramEnd"/>
            <w:r w:rsidRPr="00BD468B">
              <w:rPr>
                <w:rFonts w:ascii="Arial" w:hAnsi="Arial" w:cs="Arial"/>
              </w:rPr>
              <w:t xml:space="preserve"> the issues identified in the Josie King case.</w:t>
            </w:r>
          </w:p>
        </w:tc>
      </w:tr>
      <w:tr w:rsidR="003A0A4A" w:rsidRPr="00BD468B" w14:paraId="6BA4DCB3" w14:textId="77777777" w:rsidTr="00BD468B">
        <w:tc>
          <w:tcPr>
            <w:tcW w:w="0" w:type="auto"/>
            <w:hideMark/>
          </w:tcPr>
          <w:p w14:paraId="1948FE41" w14:textId="77777777" w:rsidR="003A0A4A" w:rsidRPr="00BD468B" w:rsidRDefault="003A0A4A" w:rsidP="00BD468B">
            <w:pPr>
              <w:spacing w:after="160" w:line="256" w:lineRule="auto"/>
              <w:jc w:val="both"/>
              <w:rPr>
                <w:rFonts w:ascii="Arial" w:hAnsi="Arial" w:cs="Arial"/>
              </w:rPr>
            </w:pPr>
            <w:r w:rsidRPr="00BD468B">
              <w:rPr>
                <w:rFonts w:ascii="Arial" w:hAnsi="Arial" w:cs="Arial"/>
              </w:rPr>
              <w:t>Institute for Healthcare Improvement (IHI, 2020)</w:t>
            </w:r>
          </w:p>
        </w:tc>
        <w:tc>
          <w:tcPr>
            <w:tcW w:w="0" w:type="auto"/>
            <w:hideMark/>
          </w:tcPr>
          <w:p w14:paraId="204EBB5D" w14:textId="77777777" w:rsidR="003A0A4A" w:rsidRPr="00BD468B" w:rsidRDefault="003A0A4A" w:rsidP="00BD468B">
            <w:pPr>
              <w:spacing w:after="160" w:line="256" w:lineRule="auto"/>
              <w:jc w:val="both"/>
              <w:rPr>
                <w:rFonts w:ascii="Arial" w:hAnsi="Arial" w:cs="Arial"/>
              </w:rPr>
            </w:pPr>
            <w:r w:rsidRPr="00BD468B">
              <w:rPr>
                <w:rFonts w:ascii="Arial" w:hAnsi="Arial" w:cs="Arial"/>
              </w:rPr>
              <w:t>Healthcare organisations must develop reliable systems and leadership approaches to prevent avoidable harm.</w:t>
            </w:r>
          </w:p>
        </w:tc>
        <w:tc>
          <w:tcPr>
            <w:tcW w:w="0" w:type="auto"/>
            <w:hideMark/>
          </w:tcPr>
          <w:p w14:paraId="077697A9" w14:textId="77777777" w:rsidR="003A0A4A" w:rsidRPr="00BD468B" w:rsidRDefault="003A0A4A" w:rsidP="00BD468B">
            <w:pPr>
              <w:spacing w:after="160" w:line="256" w:lineRule="auto"/>
              <w:jc w:val="both"/>
              <w:rPr>
                <w:rFonts w:ascii="Arial" w:hAnsi="Arial" w:cs="Arial"/>
              </w:rPr>
            </w:pPr>
            <w:r w:rsidRPr="00BD468B">
              <w:rPr>
                <w:rFonts w:ascii="Arial" w:hAnsi="Arial" w:cs="Arial"/>
              </w:rPr>
              <w:t>Supports the argument that leadership action and system redesign are essential for improving patient safety.</w:t>
            </w:r>
          </w:p>
        </w:tc>
      </w:tr>
    </w:tbl>
    <w:p w14:paraId="1B47E09F" w14:textId="77777777" w:rsidR="000C12F4" w:rsidRPr="000C12F4" w:rsidRDefault="000C12F4" w:rsidP="00F64606">
      <w:pPr>
        <w:pStyle w:val="Heading1"/>
      </w:pPr>
      <w:r w:rsidRPr="000C12F4">
        <w:t>System Weaknesses Identified in the Josie King Case</w:t>
      </w:r>
    </w:p>
    <w:p w14:paraId="2F80F8D9" w14:textId="77777777" w:rsidR="000C12F4" w:rsidRPr="000C12F4" w:rsidRDefault="000C12F4" w:rsidP="000C12F4">
      <w:pPr>
        <w:jc w:val="both"/>
        <w:rPr>
          <w:rFonts w:ascii="Arial" w:hAnsi="Arial" w:cs="Arial"/>
        </w:rPr>
      </w:pPr>
      <w:r w:rsidRPr="000C12F4">
        <w:rPr>
          <w:rFonts w:ascii="Arial" w:hAnsi="Arial" w:cs="Arial"/>
        </w:rPr>
        <w:t>The Josie King case demonstrates several interconnected system weaknesses. These failures did not operate independently; instead, they interacted with each other and created conditions that increased the likelihood of patient harm.</w:t>
      </w:r>
    </w:p>
    <w:p w14:paraId="01D76272" w14:textId="77777777" w:rsidR="000C12F4" w:rsidRPr="000C12F4" w:rsidRDefault="000C12F4" w:rsidP="00D53752">
      <w:pPr>
        <w:pStyle w:val="Heading1"/>
      </w:pPr>
      <w:r w:rsidRPr="000C12F4">
        <w:t>1. Poor Communication Between Healthcare Professionals and Families</w:t>
      </w:r>
    </w:p>
    <w:p w14:paraId="3EE85913" w14:textId="77777777" w:rsidR="000C12F4" w:rsidRPr="000C12F4" w:rsidRDefault="000C12F4" w:rsidP="000C12F4">
      <w:pPr>
        <w:jc w:val="both"/>
        <w:rPr>
          <w:rFonts w:ascii="Arial" w:hAnsi="Arial" w:cs="Arial"/>
        </w:rPr>
      </w:pPr>
      <w:r w:rsidRPr="000C12F4">
        <w:rPr>
          <w:rFonts w:ascii="Arial" w:hAnsi="Arial" w:cs="Arial"/>
        </w:rPr>
        <w:t xml:space="preserve">Communication failures occurred between nurses, junior doctors, senior clinicians, and Josie’s family. Although Josie’s parents provided important information regarding changes in her condition, the healthcare system did not effectively recognise families as valuable partners in </w:t>
      </w:r>
      <w:r w:rsidRPr="000C12F4">
        <w:rPr>
          <w:rFonts w:ascii="Arial" w:hAnsi="Arial" w:cs="Arial"/>
        </w:rPr>
        <w:lastRenderedPageBreak/>
        <w:t>patient safety. This demonstrates that communication failures were not simply problems of information exchange but reflected deeper organisational issues related to culture, hierarchy, and decision-making processes.</w:t>
      </w:r>
    </w:p>
    <w:p w14:paraId="72AE0771" w14:textId="77777777" w:rsidR="000C12F4" w:rsidRPr="000C12F4" w:rsidRDefault="000C12F4" w:rsidP="000C12F4">
      <w:pPr>
        <w:jc w:val="both"/>
        <w:rPr>
          <w:rFonts w:ascii="Arial" w:hAnsi="Arial" w:cs="Arial"/>
        </w:rPr>
      </w:pPr>
      <w:r w:rsidRPr="000C12F4">
        <w:rPr>
          <w:rFonts w:ascii="Arial" w:hAnsi="Arial" w:cs="Arial"/>
        </w:rPr>
        <w:t>From a systems perspective, poor communication interacted with other weaknesses, including ineffective escalation procedures and limited psychological safety. When concerns are not effectively transferred between healthcare professionals, opportunities for early intervention can be lost. Therefore, healthcare organisations require communication systems that promote openness, collaboration, and shared decision-making between professionals and families (Edmondson, 2019).</w:t>
      </w:r>
    </w:p>
    <w:p w14:paraId="19606D38" w14:textId="77777777" w:rsidR="000C12F4" w:rsidRPr="000C12F4" w:rsidRDefault="000C12F4" w:rsidP="00D53752">
      <w:pPr>
        <w:pStyle w:val="Heading1"/>
      </w:pPr>
      <w:r w:rsidRPr="000C12F4">
        <w:t>2. Lack of Accountability and Effective Escalation Processes</w:t>
      </w:r>
    </w:p>
    <w:p w14:paraId="234AB7DD" w14:textId="77777777" w:rsidR="000C12F4" w:rsidRPr="000C12F4" w:rsidRDefault="000C12F4" w:rsidP="000C12F4">
      <w:pPr>
        <w:jc w:val="both"/>
        <w:rPr>
          <w:rFonts w:ascii="Arial" w:hAnsi="Arial" w:cs="Arial"/>
        </w:rPr>
      </w:pPr>
      <w:r w:rsidRPr="000C12F4">
        <w:rPr>
          <w:rFonts w:ascii="Arial" w:hAnsi="Arial" w:cs="Arial"/>
        </w:rPr>
        <w:t>The absence of clear escalation pathways contributed to delays in responding to Josie’s deteriorating condition. Effective healthcare systems require clearly defined responsibilities, strong governance arrangements, and mechanisms that allow staff members and families to raise concerns without fear of negative consequences (Reason, 2000).</w:t>
      </w:r>
    </w:p>
    <w:p w14:paraId="047C6DCF" w14:textId="77777777" w:rsidR="000C12F4" w:rsidRPr="000C12F4" w:rsidRDefault="000C12F4" w:rsidP="000C12F4">
      <w:pPr>
        <w:jc w:val="both"/>
        <w:rPr>
          <w:rFonts w:ascii="Arial" w:hAnsi="Arial" w:cs="Arial"/>
        </w:rPr>
      </w:pPr>
      <w:r w:rsidRPr="000C12F4">
        <w:rPr>
          <w:rFonts w:ascii="Arial" w:hAnsi="Arial" w:cs="Arial"/>
        </w:rPr>
        <w:t>The problem was not simply that individuals failed to recognise risk; rather, the system lacked reliable processes to ensure that concerns reached appropriate decision-makers. This demonstrates how organisational structures can influence clinical outcomes by determining how information flows across professional boundaries.</w:t>
      </w:r>
    </w:p>
    <w:p w14:paraId="348D4D7B" w14:textId="77777777" w:rsidR="000C12F4" w:rsidRPr="000C12F4" w:rsidRDefault="000C12F4" w:rsidP="00D53752">
      <w:pPr>
        <w:pStyle w:val="Heading1"/>
      </w:pPr>
      <w:r w:rsidRPr="000C12F4">
        <w:t>3. Inadequate Training and Safety Culture</w:t>
      </w:r>
    </w:p>
    <w:p w14:paraId="2BE232C3" w14:textId="77777777" w:rsidR="000C12F4" w:rsidRPr="000C12F4" w:rsidRDefault="000C12F4" w:rsidP="000C12F4">
      <w:pPr>
        <w:jc w:val="both"/>
        <w:rPr>
          <w:rFonts w:ascii="Arial" w:hAnsi="Arial" w:cs="Arial"/>
        </w:rPr>
      </w:pPr>
      <w:r w:rsidRPr="000C12F4">
        <w:rPr>
          <w:rFonts w:ascii="Arial" w:hAnsi="Arial" w:cs="Arial"/>
        </w:rPr>
        <w:t>The case demonstrated weaknesses in clinical monitoring, teamwork, and organisational learning. A strong patient safety culture requires continuous professional development, effective teamwork training, and leadership commitment to identifying risks before harm occurs (WHO, 2021).</w:t>
      </w:r>
    </w:p>
    <w:p w14:paraId="1FC23CD5" w14:textId="77777777" w:rsidR="000C12F4" w:rsidRPr="000C12F4" w:rsidRDefault="000C12F4" w:rsidP="000C12F4">
      <w:pPr>
        <w:jc w:val="both"/>
        <w:rPr>
          <w:rFonts w:ascii="Arial" w:hAnsi="Arial" w:cs="Arial"/>
        </w:rPr>
      </w:pPr>
      <w:r w:rsidRPr="000C12F4">
        <w:rPr>
          <w:rFonts w:ascii="Arial" w:hAnsi="Arial" w:cs="Arial"/>
        </w:rPr>
        <w:t>Without a learning-focused culture, healthcare organisations may become reactive, addressing failures only after adverse outcomes occur rather than proactively identifying risks. Therefore, leadership plays a critical role in developing environments where staff are encouraged to report concerns, discuss uncertainty, and participate in improvement activities.</w:t>
      </w:r>
    </w:p>
    <w:p w14:paraId="79A4709F" w14:textId="77777777" w:rsidR="000C12F4" w:rsidRPr="000C12F4" w:rsidRDefault="000C12F4" w:rsidP="00D53752">
      <w:pPr>
        <w:pStyle w:val="Heading1"/>
      </w:pPr>
      <w:r w:rsidRPr="000C12F4">
        <w:t>4. Hierarchical Organisational Culture</w:t>
      </w:r>
    </w:p>
    <w:p w14:paraId="34817B46" w14:textId="77777777" w:rsidR="000C12F4" w:rsidRPr="000C12F4" w:rsidRDefault="000C12F4" w:rsidP="000C12F4">
      <w:pPr>
        <w:jc w:val="both"/>
        <w:rPr>
          <w:rFonts w:ascii="Arial" w:hAnsi="Arial" w:cs="Arial"/>
        </w:rPr>
      </w:pPr>
      <w:r w:rsidRPr="000C12F4">
        <w:rPr>
          <w:rFonts w:ascii="Arial" w:hAnsi="Arial" w:cs="Arial"/>
        </w:rPr>
        <w:t>A traditional hierarchical healthcare structure may discourage junior professionals and families from challenging decisions or questioning clinical judgement. In the Josie King case, professional hierarchy influenced how information was valued and how confidently concerns could be communicated.</w:t>
      </w:r>
    </w:p>
    <w:p w14:paraId="6662FB7A" w14:textId="77777777" w:rsidR="000C12F4" w:rsidRPr="000C12F4" w:rsidRDefault="000C12F4" w:rsidP="000C12F4">
      <w:pPr>
        <w:jc w:val="both"/>
        <w:rPr>
          <w:rFonts w:ascii="Arial" w:hAnsi="Arial" w:cs="Arial"/>
        </w:rPr>
      </w:pPr>
      <w:r w:rsidRPr="000C12F4">
        <w:rPr>
          <w:rFonts w:ascii="Arial" w:hAnsi="Arial" w:cs="Arial"/>
        </w:rPr>
        <w:t>This highlights the importance of psychological safety, where all individuals feel able to speak up regarding patient concerns regardless of their position within the organisation (Edmondson, 2019). Without psychological safety, important information may remain hidden within the system, increasing the risk of preventable harm.</w:t>
      </w:r>
    </w:p>
    <w:p w14:paraId="79A7BC75" w14:textId="181401CA" w:rsidR="00163AAC" w:rsidRPr="00BD468B" w:rsidRDefault="00163AAC" w:rsidP="00BD468B">
      <w:pPr>
        <w:jc w:val="both"/>
        <w:rPr>
          <w:rFonts w:ascii="Arial" w:hAnsi="Arial" w:cs="Arial"/>
        </w:rPr>
      </w:pPr>
      <w:r>
        <w:rPr>
          <w:rFonts w:ascii="Arial" w:hAnsi="Arial" w:cs="Arial"/>
          <w:noProof/>
        </w:rPr>
        <w:lastRenderedPageBreak/>
        <w:drawing>
          <wp:inline distT="0" distB="0" distL="0" distR="0" wp14:anchorId="52954F7D" wp14:editId="517CAD5E">
            <wp:extent cx="5731510" cy="3820795"/>
            <wp:effectExtent l="0" t="0" r="2540" b="8255"/>
            <wp:docPr id="15115159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11515980" name="Picture 1511515980"/>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3820795"/>
                    </a:xfrm>
                    <a:prstGeom prst="rect">
                      <a:avLst/>
                    </a:prstGeom>
                  </pic:spPr>
                </pic:pic>
              </a:graphicData>
            </a:graphic>
          </wp:inline>
        </w:drawing>
      </w:r>
    </w:p>
    <w:p w14:paraId="60625C90" w14:textId="5B9F18D9" w:rsidR="00633885" w:rsidRDefault="00FB5261" w:rsidP="00D53752">
      <w:pPr>
        <w:pStyle w:val="Heading2"/>
      </w:pPr>
      <w:r w:rsidRPr="00D53752">
        <w:t>Figure 1. Rich Picture of the Josie King Case using systems thinking (Source: Author's own illustration, 2026</w:t>
      </w:r>
      <w:r w:rsidRPr="00FB5261">
        <w:t>).</w:t>
      </w:r>
    </w:p>
    <w:p w14:paraId="071D0949" w14:textId="77777777" w:rsidR="00FB5261" w:rsidRDefault="00FB5261" w:rsidP="00BD468B">
      <w:pPr>
        <w:jc w:val="both"/>
        <w:rPr>
          <w:rFonts w:ascii="Arial" w:hAnsi="Arial" w:cs="Arial"/>
          <w:b/>
          <w:bCs/>
        </w:rPr>
      </w:pPr>
    </w:p>
    <w:p w14:paraId="1ED08600" w14:textId="42B2CCAA" w:rsidR="003A0A4A" w:rsidRPr="00BD468B" w:rsidRDefault="003A0A4A" w:rsidP="00D53752">
      <w:pPr>
        <w:pStyle w:val="Heading1"/>
      </w:pPr>
      <w:r w:rsidRPr="00BD468B">
        <w:t>Linking System Weaknesses to the Rich Picture Diagram</w:t>
      </w:r>
    </w:p>
    <w:p w14:paraId="40B173FC" w14:textId="77777777" w:rsidR="003A0A4A" w:rsidRPr="00BD468B" w:rsidRDefault="003A0A4A" w:rsidP="00BD468B">
      <w:pPr>
        <w:jc w:val="both"/>
        <w:rPr>
          <w:rFonts w:ascii="Arial" w:hAnsi="Arial" w:cs="Arial"/>
        </w:rPr>
      </w:pPr>
      <w:r w:rsidRPr="00BD468B">
        <w:rPr>
          <w:rFonts w:ascii="Arial" w:hAnsi="Arial" w:cs="Arial"/>
        </w:rPr>
        <w:t>The Rich Picture should represent the different elements interacting within the healthcare system:</w:t>
      </w:r>
    </w:p>
    <w:tbl>
      <w:tblPr>
        <w:tblStyle w:val="TableGrid"/>
        <w:tblW w:w="0" w:type="auto"/>
        <w:tblLook w:val="04A0" w:firstRow="1" w:lastRow="0" w:firstColumn="1" w:lastColumn="0" w:noHBand="0" w:noVBand="1"/>
      </w:tblPr>
      <w:tblGrid>
        <w:gridCol w:w="2041"/>
        <w:gridCol w:w="6975"/>
      </w:tblGrid>
      <w:tr w:rsidR="003A0A4A" w:rsidRPr="00BD468B" w14:paraId="6BFAD510" w14:textId="77777777" w:rsidTr="00BD468B">
        <w:tc>
          <w:tcPr>
            <w:tcW w:w="0" w:type="auto"/>
            <w:hideMark/>
          </w:tcPr>
          <w:p w14:paraId="72BB570C" w14:textId="77777777" w:rsidR="003A0A4A" w:rsidRPr="00BD468B" w:rsidRDefault="003A0A4A" w:rsidP="00D53752">
            <w:pPr>
              <w:pStyle w:val="Heading2"/>
            </w:pPr>
            <w:r w:rsidRPr="00BD468B">
              <w:t>Rich Picture Element</w:t>
            </w:r>
          </w:p>
        </w:tc>
        <w:tc>
          <w:tcPr>
            <w:tcW w:w="0" w:type="auto"/>
            <w:hideMark/>
          </w:tcPr>
          <w:p w14:paraId="180752A9" w14:textId="77777777" w:rsidR="003A0A4A" w:rsidRPr="00BD468B" w:rsidRDefault="003A0A4A" w:rsidP="00D53752">
            <w:pPr>
              <w:pStyle w:val="Heading2"/>
            </w:pPr>
            <w:r w:rsidRPr="00BD468B">
              <w:t>Application to Josie King Case</w:t>
            </w:r>
          </w:p>
        </w:tc>
      </w:tr>
      <w:tr w:rsidR="003A0A4A" w:rsidRPr="00BD468B" w14:paraId="39C5D30D" w14:textId="77777777" w:rsidTr="00BD468B">
        <w:tc>
          <w:tcPr>
            <w:tcW w:w="0" w:type="auto"/>
            <w:hideMark/>
          </w:tcPr>
          <w:p w14:paraId="10CCC572" w14:textId="77777777" w:rsidR="003A0A4A" w:rsidRPr="00BD468B" w:rsidRDefault="003A0A4A" w:rsidP="00BD468B">
            <w:pPr>
              <w:spacing w:after="160" w:line="256" w:lineRule="auto"/>
              <w:jc w:val="both"/>
              <w:rPr>
                <w:rFonts w:ascii="Arial" w:hAnsi="Arial" w:cs="Arial"/>
              </w:rPr>
            </w:pPr>
            <w:r w:rsidRPr="00BD468B">
              <w:rPr>
                <w:rFonts w:ascii="Arial" w:hAnsi="Arial" w:cs="Arial"/>
                <w:b/>
                <w:bCs/>
              </w:rPr>
              <w:t>Actors</w:t>
            </w:r>
          </w:p>
        </w:tc>
        <w:tc>
          <w:tcPr>
            <w:tcW w:w="0" w:type="auto"/>
            <w:hideMark/>
          </w:tcPr>
          <w:p w14:paraId="1ABF58FE" w14:textId="77777777" w:rsidR="003A0A4A" w:rsidRPr="00BD468B" w:rsidRDefault="003A0A4A" w:rsidP="00BD468B">
            <w:pPr>
              <w:spacing w:after="160" w:line="256" w:lineRule="auto"/>
              <w:jc w:val="both"/>
              <w:rPr>
                <w:rFonts w:ascii="Arial" w:hAnsi="Arial" w:cs="Arial"/>
              </w:rPr>
            </w:pPr>
            <w:r w:rsidRPr="00BD468B">
              <w:rPr>
                <w:rFonts w:ascii="Arial" w:hAnsi="Arial" w:cs="Arial"/>
              </w:rPr>
              <w:t>Josie (patient), parents, nurses, junior doctors, senior clinicians, hospital leaders, patient safety teams</w:t>
            </w:r>
          </w:p>
        </w:tc>
      </w:tr>
      <w:tr w:rsidR="003A0A4A" w:rsidRPr="00BD468B" w14:paraId="32AD5569" w14:textId="77777777" w:rsidTr="00BD468B">
        <w:tc>
          <w:tcPr>
            <w:tcW w:w="0" w:type="auto"/>
            <w:hideMark/>
          </w:tcPr>
          <w:p w14:paraId="753E7E33" w14:textId="77777777" w:rsidR="003A0A4A" w:rsidRPr="00BD468B" w:rsidRDefault="003A0A4A" w:rsidP="00BD468B">
            <w:pPr>
              <w:spacing w:after="160" w:line="256" w:lineRule="auto"/>
              <w:jc w:val="both"/>
              <w:rPr>
                <w:rFonts w:ascii="Arial" w:hAnsi="Arial" w:cs="Arial"/>
              </w:rPr>
            </w:pPr>
            <w:r w:rsidRPr="00BD468B">
              <w:rPr>
                <w:rFonts w:ascii="Arial" w:hAnsi="Arial" w:cs="Arial"/>
                <w:b/>
                <w:bCs/>
              </w:rPr>
              <w:t>Processes</w:t>
            </w:r>
          </w:p>
        </w:tc>
        <w:tc>
          <w:tcPr>
            <w:tcW w:w="0" w:type="auto"/>
            <w:hideMark/>
          </w:tcPr>
          <w:p w14:paraId="797C5A9E" w14:textId="77777777" w:rsidR="003A0A4A" w:rsidRPr="00BD468B" w:rsidRDefault="003A0A4A" w:rsidP="00BD468B">
            <w:pPr>
              <w:spacing w:after="160" w:line="256" w:lineRule="auto"/>
              <w:jc w:val="both"/>
              <w:rPr>
                <w:rFonts w:ascii="Arial" w:hAnsi="Arial" w:cs="Arial"/>
              </w:rPr>
            </w:pPr>
            <w:r w:rsidRPr="00BD468B">
              <w:rPr>
                <w:rFonts w:ascii="Arial" w:hAnsi="Arial" w:cs="Arial"/>
              </w:rPr>
              <w:t>Patient monitoring, clinical documentation, escalation procedures, communication between departments, decision-making pathways</w:t>
            </w:r>
          </w:p>
        </w:tc>
      </w:tr>
      <w:tr w:rsidR="003A0A4A" w:rsidRPr="00BD468B" w14:paraId="77EA37EB" w14:textId="77777777" w:rsidTr="00BD468B">
        <w:tc>
          <w:tcPr>
            <w:tcW w:w="0" w:type="auto"/>
            <w:hideMark/>
          </w:tcPr>
          <w:p w14:paraId="3EB27A48" w14:textId="77777777" w:rsidR="003A0A4A" w:rsidRPr="00BD468B" w:rsidRDefault="003A0A4A" w:rsidP="00BD468B">
            <w:pPr>
              <w:spacing w:after="160" w:line="256" w:lineRule="auto"/>
              <w:jc w:val="both"/>
              <w:rPr>
                <w:rFonts w:ascii="Arial" w:hAnsi="Arial" w:cs="Arial"/>
              </w:rPr>
            </w:pPr>
            <w:r w:rsidRPr="00BD468B">
              <w:rPr>
                <w:rFonts w:ascii="Arial" w:hAnsi="Arial" w:cs="Arial"/>
                <w:b/>
                <w:bCs/>
              </w:rPr>
              <w:t>Feedback Loops</w:t>
            </w:r>
          </w:p>
        </w:tc>
        <w:tc>
          <w:tcPr>
            <w:tcW w:w="0" w:type="auto"/>
            <w:hideMark/>
          </w:tcPr>
          <w:p w14:paraId="6009ED87" w14:textId="77777777" w:rsidR="003A0A4A" w:rsidRPr="00BD468B" w:rsidRDefault="003A0A4A" w:rsidP="00BD468B">
            <w:pPr>
              <w:spacing w:after="160" w:line="256" w:lineRule="auto"/>
              <w:jc w:val="both"/>
              <w:rPr>
                <w:rFonts w:ascii="Arial" w:hAnsi="Arial" w:cs="Arial"/>
              </w:rPr>
            </w:pPr>
            <w:r w:rsidRPr="00BD468B">
              <w:rPr>
                <w:rFonts w:ascii="Arial" w:hAnsi="Arial" w:cs="Arial"/>
              </w:rPr>
              <w:t>Incident reporting systems, patient safety reviews, audits, learning from adverse events, family feedback mechanisms</w:t>
            </w:r>
          </w:p>
        </w:tc>
      </w:tr>
      <w:tr w:rsidR="003A0A4A" w:rsidRPr="00BD468B" w14:paraId="44D0AC43" w14:textId="77777777" w:rsidTr="00BD468B">
        <w:tc>
          <w:tcPr>
            <w:tcW w:w="0" w:type="auto"/>
            <w:hideMark/>
          </w:tcPr>
          <w:p w14:paraId="6F703771" w14:textId="77777777" w:rsidR="003A0A4A" w:rsidRPr="00BD468B" w:rsidRDefault="003A0A4A" w:rsidP="00BD468B">
            <w:pPr>
              <w:spacing w:after="160" w:line="256" w:lineRule="auto"/>
              <w:jc w:val="both"/>
              <w:rPr>
                <w:rFonts w:ascii="Arial" w:hAnsi="Arial" w:cs="Arial"/>
              </w:rPr>
            </w:pPr>
            <w:r w:rsidRPr="00BD468B">
              <w:rPr>
                <w:rFonts w:ascii="Arial" w:hAnsi="Arial" w:cs="Arial"/>
                <w:b/>
                <w:bCs/>
              </w:rPr>
              <w:t>Emotions</w:t>
            </w:r>
          </w:p>
        </w:tc>
        <w:tc>
          <w:tcPr>
            <w:tcW w:w="0" w:type="auto"/>
            <w:hideMark/>
          </w:tcPr>
          <w:p w14:paraId="3F0BDAAB" w14:textId="77777777" w:rsidR="003A0A4A" w:rsidRPr="00BD468B" w:rsidRDefault="003A0A4A" w:rsidP="00BD468B">
            <w:pPr>
              <w:spacing w:after="160" w:line="256" w:lineRule="auto"/>
              <w:jc w:val="both"/>
              <w:rPr>
                <w:rFonts w:ascii="Arial" w:hAnsi="Arial" w:cs="Arial"/>
              </w:rPr>
            </w:pPr>
            <w:r w:rsidRPr="00BD468B">
              <w:rPr>
                <w:rFonts w:ascii="Arial" w:hAnsi="Arial" w:cs="Arial"/>
              </w:rPr>
              <w:t>Parents’ frustration and fear, staff uncertainty, anxiety following adverse events, loss of trust between families and healthcare providers</w:t>
            </w:r>
          </w:p>
        </w:tc>
      </w:tr>
      <w:tr w:rsidR="003A0A4A" w:rsidRPr="00BD468B" w14:paraId="058C0838" w14:textId="77777777" w:rsidTr="00BD468B">
        <w:tc>
          <w:tcPr>
            <w:tcW w:w="0" w:type="auto"/>
            <w:hideMark/>
          </w:tcPr>
          <w:p w14:paraId="146D4D86" w14:textId="77777777" w:rsidR="003A0A4A" w:rsidRPr="00BD468B" w:rsidRDefault="003A0A4A" w:rsidP="00BD468B">
            <w:pPr>
              <w:spacing w:after="160" w:line="256" w:lineRule="auto"/>
              <w:jc w:val="both"/>
              <w:rPr>
                <w:rFonts w:ascii="Arial" w:hAnsi="Arial" w:cs="Arial"/>
              </w:rPr>
            </w:pPr>
            <w:r w:rsidRPr="00BD468B">
              <w:rPr>
                <w:rFonts w:ascii="Arial" w:hAnsi="Arial" w:cs="Arial"/>
                <w:b/>
                <w:bCs/>
              </w:rPr>
              <w:lastRenderedPageBreak/>
              <w:t>Structures</w:t>
            </w:r>
          </w:p>
        </w:tc>
        <w:tc>
          <w:tcPr>
            <w:tcW w:w="0" w:type="auto"/>
            <w:hideMark/>
          </w:tcPr>
          <w:p w14:paraId="4043D696" w14:textId="77777777" w:rsidR="003A0A4A" w:rsidRPr="00BD468B" w:rsidRDefault="003A0A4A" w:rsidP="00BD468B">
            <w:pPr>
              <w:spacing w:after="160" w:line="256" w:lineRule="auto"/>
              <w:jc w:val="both"/>
              <w:rPr>
                <w:rFonts w:ascii="Arial" w:hAnsi="Arial" w:cs="Arial"/>
              </w:rPr>
            </w:pPr>
            <w:r w:rsidRPr="00BD468B">
              <w:rPr>
                <w:rFonts w:ascii="Arial" w:hAnsi="Arial" w:cs="Arial"/>
              </w:rPr>
              <w:t>Hospital hierarchy, leadership systems, governance arrangements, communication policies, patient safety frameworks</w:t>
            </w:r>
          </w:p>
        </w:tc>
      </w:tr>
    </w:tbl>
    <w:p w14:paraId="68240A02" w14:textId="0E4D7B74" w:rsidR="003A0A4A" w:rsidRPr="00BD468B" w:rsidRDefault="003A0A4A" w:rsidP="00D53752">
      <w:pPr>
        <w:pStyle w:val="Heading1"/>
      </w:pPr>
    </w:p>
    <w:p w14:paraId="67B023F4" w14:textId="3DED794E" w:rsidR="000C12F4" w:rsidRPr="000C12F4" w:rsidRDefault="000C12F4" w:rsidP="00D53752">
      <w:pPr>
        <w:pStyle w:val="Heading1"/>
        <w:rPr>
          <w:b/>
          <w:bCs/>
        </w:rPr>
      </w:pPr>
      <w:r w:rsidRPr="000C12F4">
        <w:rPr>
          <w:b/>
          <w:bCs/>
        </w:rPr>
        <w:t xml:space="preserve"> System Interactions, Feedback Loops, and Emergent Behaviour</w:t>
      </w:r>
    </w:p>
    <w:p w14:paraId="6B6035A2" w14:textId="77777777" w:rsidR="000C12F4" w:rsidRPr="000C12F4" w:rsidRDefault="000C12F4" w:rsidP="000C12F4">
      <w:pPr>
        <w:jc w:val="both"/>
        <w:rPr>
          <w:rFonts w:ascii="Arial" w:hAnsi="Arial" w:cs="Arial"/>
        </w:rPr>
      </w:pPr>
      <w:r w:rsidRPr="000C12F4">
        <w:rPr>
          <w:rFonts w:ascii="Arial" w:hAnsi="Arial" w:cs="Arial"/>
        </w:rPr>
        <w:t>The Rich Picture demonstrates that the Josie King case involved multiple interconnected components rather than a single isolated failure. From a systems thinking perspective, patient harm emerged through the interaction between organisational structures, leadership behaviours, communication processes, and workplace culture. For example, hierarchical organisational structures influenced communication patterns by affecting how confidently healthcare professionals and family members could raise concerns. In turn, ineffective communication influenced escalation decisions, delayed clinical responses, and contributed to poorer patient outcomes. Similarly, leadership behaviours shaped the development of safety culture, while safety culture influenced whether staff and families felt psychologically safe to challenge decisions and communicate concerns.</w:t>
      </w:r>
    </w:p>
    <w:p w14:paraId="64F67A91" w14:textId="77777777" w:rsidR="000C12F4" w:rsidRPr="000C12F4" w:rsidRDefault="000C12F4" w:rsidP="000C12F4">
      <w:pPr>
        <w:jc w:val="both"/>
        <w:rPr>
          <w:rFonts w:ascii="Arial" w:hAnsi="Arial" w:cs="Arial"/>
        </w:rPr>
      </w:pPr>
      <w:r w:rsidRPr="000C12F4">
        <w:rPr>
          <w:rFonts w:ascii="Arial" w:hAnsi="Arial" w:cs="Arial"/>
        </w:rPr>
        <w:t>Two important feedback loops can be identified within the system. The first represents a reinforcing failure cycle:</w:t>
      </w:r>
    </w:p>
    <w:p w14:paraId="5EC8EA1C" w14:textId="77777777" w:rsidR="000C12F4" w:rsidRPr="000C12F4" w:rsidRDefault="000C12F4" w:rsidP="000C12F4">
      <w:pPr>
        <w:jc w:val="both"/>
        <w:rPr>
          <w:rFonts w:ascii="Arial" w:hAnsi="Arial" w:cs="Arial"/>
        </w:rPr>
      </w:pPr>
      <w:r w:rsidRPr="000C12F4">
        <w:rPr>
          <w:rFonts w:ascii="Arial" w:hAnsi="Arial" w:cs="Arial"/>
          <w:b/>
          <w:bCs/>
        </w:rPr>
        <w:t>Weak safety culture → Reduced willingness to escalate concerns → Delayed recognition and intervention → Patient deterioration → Reduced trust in healthcare services</w:t>
      </w:r>
    </w:p>
    <w:p w14:paraId="5CCA216A" w14:textId="77777777" w:rsidR="000C12F4" w:rsidRPr="000C12F4" w:rsidRDefault="000C12F4" w:rsidP="000C12F4">
      <w:pPr>
        <w:jc w:val="both"/>
        <w:rPr>
          <w:rFonts w:ascii="Arial" w:hAnsi="Arial" w:cs="Arial"/>
        </w:rPr>
      </w:pPr>
      <w:r w:rsidRPr="000C12F4">
        <w:rPr>
          <w:rFonts w:ascii="Arial" w:hAnsi="Arial" w:cs="Arial"/>
        </w:rPr>
        <w:t>This reinforcing loop demonstrates how weaknesses within one area of the healthcare system can amplify failures across other areas. When individuals do not feel confident to speak up, important safety information may not reach decision-makers, increasing the risk of preventable harm.</w:t>
      </w:r>
    </w:p>
    <w:p w14:paraId="5170D944" w14:textId="77777777" w:rsidR="000C12F4" w:rsidRPr="000C12F4" w:rsidRDefault="000C12F4" w:rsidP="000C12F4">
      <w:pPr>
        <w:jc w:val="both"/>
        <w:rPr>
          <w:rFonts w:ascii="Arial" w:hAnsi="Arial" w:cs="Arial"/>
        </w:rPr>
      </w:pPr>
      <w:r w:rsidRPr="000C12F4">
        <w:rPr>
          <w:rFonts w:ascii="Arial" w:hAnsi="Arial" w:cs="Arial"/>
        </w:rPr>
        <w:t>A second feedback loop represents organisational learning and improvement:</w:t>
      </w:r>
    </w:p>
    <w:p w14:paraId="714BE5E9" w14:textId="77777777" w:rsidR="000C12F4" w:rsidRPr="000C12F4" w:rsidRDefault="000C12F4" w:rsidP="000C12F4">
      <w:pPr>
        <w:jc w:val="both"/>
        <w:rPr>
          <w:rFonts w:ascii="Arial" w:hAnsi="Arial" w:cs="Arial"/>
        </w:rPr>
      </w:pPr>
      <w:r w:rsidRPr="000C12F4">
        <w:rPr>
          <w:rFonts w:ascii="Arial" w:hAnsi="Arial" w:cs="Arial"/>
          <w:b/>
          <w:bCs/>
        </w:rPr>
        <w:t>Patient safety incident → Investigation and review → Organisational learning → Policy and process improvement → Staff development → Improved patient safety</w:t>
      </w:r>
    </w:p>
    <w:p w14:paraId="07BFFE2E" w14:textId="77777777" w:rsidR="000C12F4" w:rsidRPr="000C12F4" w:rsidRDefault="000C12F4" w:rsidP="000C12F4">
      <w:pPr>
        <w:jc w:val="both"/>
        <w:rPr>
          <w:rFonts w:ascii="Arial" w:hAnsi="Arial" w:cs="Arial"/>
        </w:rPr>
      </w:pPr>
      <w:r w:rsidRPr="000C12F4">
        <w:rPr>
          <w:rFonts w:ascii="Arial" w:hAnsi="Arial" w:cs="Arial"/>
        </w:rPr>
        <w:t>This learning loop highlights the importance of healthcare organisations using adverse events as opportunities for improvement rather than focusing solely on individual blame. Effective incident investigation, reflective practice, and leadership commitment can transform failures into improvements in future healthcare delivery.</w:t>
      </w:r>
    </w:p>
    <w:p w14:paraId="6B86D8CA" w14:textId="77777777" w:rsidR="000C12F4" w:rsidRPr="000C12F4" w:rsidRDefault="000C12F4" w:rsidP="00D53752">
      <w:pPr>
        <w:pStyle w:val="Heading1"/>
      </w:pPr>
      <w:r w:rsidRPr="000C12F4">
        <w:t>Overall Systems Thinking Analysis</w:t>
      </w:r>
    </w:p>
    <w:p w14:paraId="2F37B26C" w14:textId="77777777" w:rsidR="000C12F4" w:rsidRPr="000C12F4" w:rsidRDefault="000C12F4" w:rsidP="000C12F4">
      <w:pPr>
        <w:jc w:val="both"/>
        <w:rPr>
          <w:rFonts w:ascii="Arial" w:hAnsi="Arial" w:cs="Arial"/>
        </w:rPr>
      </w:pPr>
      <w:r w:rsidRPr="000C12F4">
        <w:rPr>
          <w:rFonts w:ascii="Arial" w:hAnsi="Arial" w:cs="Arial"/>
        </w:rPr>
        <w:t>The Josie King case illustrates that patient safety depends on the interaction between individuals, organisational structures, leadership practices, and healthcare processes. The central issue was not simply that healthcare professionals failed to recognise Josie’s deterioration; rather, the wider healthcare system lacked reliable mechanisms to ensure that concerns were communicated effectively, appropriately escalated, and acted upon in a timely manner.</w:t>
      </w:r>
    </w:p>
    <w:p w14:paraId="1F935D9A" w14:textId="183BA9A8" w:rsidR="00163AAC" w:rsidRDefault="000C12F4" w:rsidP="00BD468B">
      <w:pPr>
        <w:jc w:val="both"/>
        <w:rPr>
          <w:rFonts w:ascii="Arial" w:hAnsi="Arial" w:cs="Arial"/>
        </w:rPr>
      </w:pPr>
      <w:r w:rsidRPr="000C12F4">
        <w:rPr>
          <w:rFonts w:ascii="Arial" w:hAnsi="Arial" w:cs="Arial"/>
        </w:rPr>
        <w:lastRenderedPageBreak/>
        <w:t xml:space="preserve">The incident represents an example of </w:t>
      </w:r>
      <w:r w:rsidRPr="000C12F4">
        <w:rPr>
          <w:rFonts w:ascii="Arial" w:hAnsi="Arial" w:cs="Arial"/>
          <w:b/>
          <w:bCs/>
        </w:rPr>
        <w:t>emergent system failure</w:t>
      </w:r>
      <w:r w:rsidRPr="000C12F4">
        <w:rPr>
          <w:rFonts w:ascii="Arial" w:hAnsi="Arial" w:cs="Arial"/>
        </w:rPr>
        <w:t>, where multiple weaknesses combined to produce an adverse outcome that may have been prevented if individual safety barriers had functioned effectively. This demonstrates that healthcare failures are often the result of complex system interactions rather than a single error or individual action. Therefore, improving patient safety requires healthcare leaders to move beyond blame-based approaches and focus on strengthening communication pathways, promoting psychological safety, improving governance structures, and developing cultures of continuous organisational learning (AHRQ, 2016; Reason, 2000).</w:t>
      </w:r>
    </w:p>
    <w:p w14:paraId="3671EF83" w14:textId="73DC2AED" w:rsidR="00CB4EC5" w:rsidRPr="00CB4EC5" w:rsidRDefault="00CB4EC5" w:rsidP="00D53752">
      <w:pPr>
        <w:pStyle w:val="Heading1"/>
      </w:pPr>
      <w:r w:rsidRPr="00CB4EC5">
        <w:t xml:space="preserve"> Centralisation vs. Decentralisation: Application to the Josie King Case</w:t>
      </w:r>
    </w:p>
    <w:p w14:paraId="4BFE35ED" w14:textId="77777777" w:rsidR="00CB4EC5" w:rsidRPr="00CB4EC5" w:rsidRDefault="00CB4EC5" w:rsidP="00CB4EC5">
      <w:pPr>
        <w:jc w:val="both"/>
        <w:rPr>
          <w:rFonts w:ascii="Arial" w:hAnsi="Arial" w:cs="Arial"/>
        </w:rPr>
      </w:pPr>
      <w:r w:rsidRPr="00CB4EC5">
        <w:rPr>
          <w:rFonts w:ascii="Arial" w:hAnsi="Arial" w:cs="Arial"/>
        </w:rPr>
        <w:t>Healthcare organisations require an appropriate balance between centralised control and decentralised decision-making to maintain patient safety, effective governance, and responsive care delivery. Centralisation refers to the concentration of decision-making authority, strategic direction, and resource control among senior leaders, whereas decentralisation involves transferring responsibility and decision-making power to frontline teams and local managers (Mintzberg, 1983). In complex healthcare environments, neither approach is completely effective in isolation. Excessive centralisation may create rigid hierarchies that restrict communication, while excessive decentralisation may result in inconsistent practices and unclear accountability (Mullins, 2016). The Josie King case demonstrates how weaknesses in both approaches contributed to failures in recognising and responding to patient deterioration.</w:t>
      </w:r>
    </w:p>
    <w:p w14:paraId="7267ADEB" w14:textId="77777777" w:rsidR="00CB4EC5" w:rsidRPr="00CB4EC5" w:rsidRDefault="00CB4EC5" w:rsidP="00D53752">
      <w:pPr>
        <w:pStyle w:val="Heading1"/>
      </w:pPr>
      <w:r w:rsidRPr="00CB4EC5">
        <w:t>Centralisation Failure: Weak Leadership Oversight and Hierarchical Barriers</w:t>
      </w:r>
    </w:p>
    <w:p w14:paraId="0E8814FF" w14:textId="77777777" w:rsidR="00CB4EC5" w:rsidRPr="00CB4EC5" w:rsidRDefault="00CB4EC5" w:rsidP="00CB4EC5">
      <w:pPr>
        <w:jc w:val="both"/>
        <w:rPr>
          <w:rFonts w:ascii="Arial" w:hAnsi="Arial" w:cs="Arial"/>
        </w:rPr>
      </w:pPr>
      <w:r w:rsidRPr="00CB4EC5">
        <w:rPr>
          <w:rFonts w:ascii="Arial" w:hAnsi="Arial" w:cs="Arial"/>
        </w:rPr>
        <w:t>In the Josie King case, a centralisation failure was evident through weaknesses in organisational leadership, governance structures, and safety culture. Although senior leaders hold responsibility for establishing effective patient safety systems, the organisation failed to create an environment where concerns from patients, families, and frontline professionals were consistently recognised and acted upon (AHRQ, 2016).</w:t>
      </w:r>
    </w:p>
    <w:p w14:paraId="159A4199" w14:textId="77777777" w:rsidR="00CB4EC5" w:rsidRPr="00CB4EC5" w:rsidRDefault="00CB4EC5" w:rsidP="00CB4EC5">
      <w:pPr>
        <w:jc w:val="both"/>
        <w:rPr>
          <w:rFonts w:ascii="Arial" w:hAnsi="Arial" w:cs="Arial"/>
        </w:rPr>
      </w:pPr>
      <w:r w:rsidRPr="00CB4EC5">
        <w:rPr>
          <w:rFonts w:ascii="Arial" w:hAnsi="Arial" w:cs="Arial"/>
        </w:rPr>
        <w:t>A highly hierarchical healthcare structure can unintentionally create barriers between senior clinicians and those closest to the patient. In Josie’s case, her parents repeatedly communicated concerns regarding her deteriorating condition, yet these concerns were not effectively incorporated into clinical decision-making processes (AHRQ, 2016). From a systems perspective, this suggests that the problem was not simply a failure of individual judgement but a weakness in organisational design, where information was unable to move effectively across professional boundaries.</w:t>
      </w:r>
    </w:p>
    <w:p w14:paraId="1814B638" w14:textId="190A734F" w:rsidR="00CB4EC5" w:rsidRPr="00CB4EC5" w:rsidRDefault="00CB4EC5" w:rsidP="00CB4EC5">
      <w:pPr>
        <w:jc w:val="both"/>
        <w:rPr>
          <w:rFonts w:ascii="Arial" w:hAnsi="Arial" w:cs="Arial"/>
        </w:rPr>
      </w:pPr>
      <w:r w:rsidRPr="00CB4EC5">
        <w:rPr>
          <w:rFonts w:ascii="Arial" w:hAnsi="Arial" w:cs="Arial"/>
        </w:rPr>
        <w:t>Effective centralised leadership should not focus only on controlling decisions; it should establish clear safety priorities, communication expectations, escalation procedures, and accountability mechanisms. Leaders have a responsibility to create systems where staff and families feel psychologically safe to challenge decisions and raise concerns (Edmondson, 2019). Therefore, the central leadership failure in the Josie King case was the inability to develop a culture where safety information could be openly shared and acted upon.</w:t>
      </w:r>
    </w:p>
    <w:p w14:paraId="6D9F3EE2" w14:textId="77777777" w:rsidR="00CB4EC5" w:rsidRPr="00CB4EC5" w:rsidRDefault="00CB4EC5" w:rsidP="00D53752">
      <w:pPr>
        <w:pStyle w:val="Heading1"/>
      </w:pPr>
      <w:r w:rsidRPr="00CB4EC5">
        <w:lastRenderedPageBreak/>
        <w:t>Decentralisation Failure: Insufficient Frontline Empowerment and Escalation</w:t>
      </w:r>
    </w:p>
    <w:p w14:paraId="113C5B51" w14:textId="77777777" w:rsidR="00CB4EC5" w:rsidRPr="00CB4EC5" w:rsidRDefault="00CB4EC5" w:rsidP="00CB4EC5">
      <w:pPr>
        <w:jc w:val="both"/>
        <w:rPr>
          <w:rFonts w:ascii="Arial" w:hAnsi="Arial" w:cs="Arial"/>
        </w:rPr>
      </w:pPr>
      <w:r w:rsidRPr="00CB4EC5">
        <w:rPr>
          <w:rFonts w:ascii="Arial" w:hAnsi="Arial" w:cs="Arial"/>
        </w:rPr>
        <w:t>Decentralisation allows healthcare professionals closest to patients to make timely decisions based on their clinical knowledge and observations. This approach can improve responsiveness, encourage professional autonomy, and strengthen team engagement (West et al., 2015). However, decentralisation is only effective when frontline staff have adequate training, clear responsibilities, and organisational support.</w:t>
      </w:r>
    </w:p>
    <w:p w14:paraId="5387E59A" w14:textId="77777777" w:rsidR="00CB4EC5" w:rsidRPr="00CB4EC5" w:rsidRDefault="00CB4EC5" w:rsidP="00CB4EC5">
      <w:pPr>
        <w:jc w:val="both"/>
        <w:rPr>
          <w:rFonts w:ascii="Arial" w:hAnsi="Arial" w:cs="Arial"/>
        </w:rPr>
      </w:pPr>
      <w:r w:rsidRPr="00CB4EC5">
        <w:rPr>
          <w:rFonts w:ascii="Arial" w:hAnsi="Arial" w:cs="Arial"/>
        </w:rPr>
        <w:t>In the Josie King case, frontline healthcare professionals had direct access to information about Josie’s changing condition, including concerns raised by her parents. However, the healthcare system lacked effective mechanisms to ensure these observations were escalated appropriately and transformed into timely clinical action (AHRQ, 2016). This indicates that responsibility had been distributed without sufficient supporting structures, such as reliable communication pathways, escalation protocols, and shared accountability.</w:t>
      </w:r>
    </w:p>
    <w:p w14:paraId="1182F2AF" w14:textId="49334DA2" w:rsidR="00CB4EC5" w:rsidRPr="00CB4EC5" w:rsidRDefault="00CB4EC5" w:rsidP="00CB4EC5">
      <w:pPr>
        <w:jc w:val="both"/>
        <w:rPr>
          <w:rFonts w:ascii="Arial" w:hAnsi="Arial" w:cs="Arial"/>
        </w:rPr>
      </w:pPr>
      <w:r w:rsidRPr="00CB4EC5">
        <w:rPr>
          <w:rFonts w:ascii="Arial" w:hAnsi="Arial" w:cs="Arial"/>
        </w:rPr>
        <w:t>A critical interpretation is that decentralisation does not simply mean giving staff more responsibility; it requires empowering individuals with the authority, confidence, and support to act. Without psychological safety, junior healthcare professionals may hesitate to question senior colleagues or challenge decisions, particularly within traditional medical hierarchies (Edmondson, 2019). Therefore, decentralisation without empowerment can create a situation where responsibility exists, but the ability to influence outcomes remains limited.</w:t>
      </w:r>
    </w:p>
    <w:p w14:paraId="67A4F04C" w14:textId="77777777" w:rsidR="00CB4EC5" w:rsidRPr="00CB4EC5" w:rsidRDefault="00CB4EC5" w:rsidP="00D53752">
      <w:pPr>
        <w:pStyle w:val="Heading1"/>
      </w:pPr>
      <w:r w:rsidRPr="00CB4EC5">
        <w:t>Achieving an Effective Balance Between Centralisation and Decentralisation</w:t>
      </w:r>
    </w:p>
    <w:p w14:paraId="3DA393D0" w14:textId="77777777" w:rsidR="00CB4EC5" w:rsidRPr="00CB4EC5" w:rsidRDefault="00CB4EC5" w:rsidP="00CB4EC5">
      <w:pPr>
        <w:jc w:val="both"/>
        <w:rPr>
          <w:rFonts w:ascii="Arial" w:hAnsi="Arial" w:cs="Arial"/>
        </w:rPr>
      </w:pPr>
      <w:r w:rsidRPr="00CB4EC5">
        <w:rPr>
          <w:rFonts w:ascii="Arial" w:hAnsi="Arial" w:cs="Arial"/>
        </w:rPr>
        <w:t>The Josie King case highlights that effective healthcare organisations require a balance between centralised governance and decentralised empowerment. Centralised leadership is essential for developing patient safety policies, allocating resources, and maintaining accountability, while decentralised decision-making allows frontline professionals and families to contribute directly to improving care quality (WHO, 2021).</w:t>
      </w:r>
    </w:p>
    <w:p w14:paraId="476A643C" w14:textId="77777777" w:rsidR="00CB4EC5" w:rsidRPr="00CB4EC5" w:rsidRDefault="00CB4EC5" w:rsidP="00CB4EC5">
      <w:pPr>
        <w:jc w:val="both"/>
        <w:rPr>
          <w:rFonts w:ascii="Arial" w:hAnsi="Arial" w:cs="Arial"/>
        </w:rPr>
      </w:pPr>
      <w:r w:rsidRPr="00CB4EC5">
        <w:rPr>
          <w:rFonts w:ascii="Arial" w:hAnsi="Arial" w:cs="Arial"/>
        </w:rPr>
        <w:t>The failure at Johns Hopkins was therefore not caused by centralisation or decentralisation alone. Instead, it resulted from poor integration between organisational leadership and frontline practice. Senior leaders needed to establish stronger safety systems, while frontline teams required greater authority and confidence to escalate concerns. This balance reflects the principles of distributed and systems leadership, where responsibility for safety is shared across all levels of an organisation rather than restricted to senior management (Bolden, 2011).</w:t>
      </w:r>
    </w:p>
    <w:p w14:paraId="57942B2F" w14:textId="77777777" w:rsidR="00CB4EC5" w:rsidRPr="00CB4EC5" w:rsidRDefault="00CB4EC5" w:rsidP="00CB4EC5">
      <w:pPr>
        <w:jc w:val="both"/>
        <w:rPr>
          <w:rFonts w:ascii="Arial" w:hAnsi="Arial" w:cs="Arial"/>
        </w:rPr>
      </w:pPr>
      <w:r w:rsidRPr="00CB4EC5">
        <w:rPr>
          <w:rFonts w:ascii="Arial" w:hAnsi="Arial" w:cs="Arial"/>
        </w:rPr>
        <w:t>Following Josie King’s death, Johns Hopkins introduced significant reforms, including family-centred care approaches, improved communication processes, rapid response systems, and patient safety leadership initiatives (AHRQ, 2016). These changes demonstrate a movement towards a more balanced organisational model, combining strong leadership oversight with greater involvement of patients, families, and frontline professionals.</w:t>
      </w:r>
    </w:p>
    <w:p w14:paraId="5ECF5B47" w14:textId="59156D02" w:rsidR="001A6D0F" w:rsidRPr="00D53752" w:rsidRDefault="00CB4EC5" w:rsidP="00D53752">
      <w:pPr>
        <w:jc w:val="both"/>
        <w:rPr>
          <w:rFonts w:ascii="Arial" w:hAnsi="Arial" w:cs="Arial"/>
        </w:rPr>
      </w:pPr>
      <w:r w:rsidRPr="00CB4EC5">
        <w:rPr>
          <w:rFonts w:ascii="Arial" w:hAnsi="Arial" w:cs="Arial"/>
        </w:rPr>
        <w:t>Overall, the Josie King case demonstrates that patient safety depends on the relationship between organisational control and frontline autonomy. Effective healthcare leadership requires leaders to provide clear direction while creating an environment where individuals at every level are empowered to identify risks, communicate concerns, and contribute to continuous improvement</w:t>
      </w:r>
      <w:r w:rsidR="001A6D0F">
        <w:rPr>
          <w:rFonts w:ascii="Arial" w:hAnsi="Arial" w:cs="Arial"/>
        </w:rPr>
        <w:t>.</w:t>
      </w:r>
    </w:p>
    <w:p w14:paraId="1F4A34D7" w14:textId="77777777" w:rsidR="00B04711" w:rsidRDefault="00B04711" w:rsidP="00D53752">
      <w:pPr>
        <w:pStyle w:val="Heading1"/>
        <w:rPr>
          <w:b/>
          <w:bCs/>
        </w:rPr>
      </w:pPr>
      <w:r w:rsidRPr="00B04711">
        <w:rPr>
          <w:b/>
          <w:bCs/>
        </w:rPr>
        <w:lastRenderedPageBreak/>
        <w:t>Leadership Theory Application: The Josie King Case – Johns Hopkins Hospital, USA (2001)</w:t>
      </w:r>
    </w:p>
    <w:p w14:paraId="7C6B1E15" w14:textId="77777777" w:rsidR="006E2D23" w:rsidRPr="006E2D23" w:rsidRDefault="006E2D23" w:rsidP="006E2D23">
      <w:pPr>
        <w:rPr>
          <w:rFonts w:ascii="Arial" w:hAnsi="Arial" w:cs="Arial"/>
        </w:rPr>
      </w:pPr>
      <w:r w:rsidRPr="006E2D23">
        <w:rPr>
          <w:rFonts w:ascii="Arial" w:hAnsi="Arial" w:cs="Arial"/>
        </w:rPr>
        <w:t>The Josie King case demonstrates how ineffective leadership practices, organisational culture, and decision-making structures contributed to preventable patient harm. The incident reflected an imbalance between centralised control and frontline empowerment, where senior leadership structures existed but failed to ensure that critical information from nurses, junior clinicians, and Josie’s family influenced decision-making (AHRQ, 2016). Although central governance is essential for maintaining accountability and patient safety standards, the highly hierarchical environment limited upward communication and reduced opportunities for concerns to be escalated effectively (Mintzberg, 1983). At the same time, decentralised leadership was insufficient because frontline professionals and family members were not adequately empowered to influence clinical decisions despite having important knowledge about Josie’s deterioration (Mullins, 2016). This demonstrates that healthcare organisations require a balance between strong leadership oversight and distributed responsibility to create effective patient safety systems (Reason, 2000).</w:t>
      </w:r>
    </w:p>
    <w:p w14:paraId="346DF85A" w14:textId="77777777" w:rsidR="006E2D23" w:rsidRPr="006E2D23" w:rsidRDefault="006E2D23" w:rsidP="006E2D23">
      <w:pPr>
        <w:rPr>
          <w:rFonts w:ascii="Arial" w:hAnsi="Arial" w:cs="Arial"/>
        </w:rPr>
      </w:pPr>
      <w:r w:rsidRPr="006E2D23">
        <w:rPr>
          <w:rFonts w:ascii="Arial" w:hAnsi="Arial" w:cs="Arial"/>
        </w:rPr>
        <w:t>The leadership approach within Josie’s care demonstrated characteristics of autocratic and laissez-faire leadership, while lacking effective democratic leadership. Decision-making remained strongly influenced by professional hierarchy, which reduced opportunities for nurses and parents to challenge clinical judgements or raise concerns openly (Lewin, Lippitt and White, 1939). However, leadership was also insufficiently proactive, as weak monitoring, limited supervision, and ineffective escalation processes indicated a lack of clear direction and accountability (Bass, 1985). A more democratic and participative leadership approach would have enabled multidisciplinary collaboration and recognised families as valuable partners in patient safety rather than passive recipients of care (AHRQ, 2016).</w:t>
      </w:r>
    </w:p>
    <w:p w14:paraId="79DD5DBF" w14:textId="77777777" w:rsidR="006E2D23" w:rsidRPr="006E2D23" w:rsidRDefault="006E2D23" w:rsidP="006E2D23">
      <w:pPr>
        <w:rPr>
          <w:rFonts w:ascii="Arial" w:hAnsi="Arial" w:cs="Arial"/>
        </w:rPr>
      </w:pPr>
      <w:r w:rsidRPr="006E2D23">
        <w:rPr>
          <w:rFonts w:ascii="Arial" w:hAnsi="Arial" w:cs="Arial"/>
        </w:rPr>
        <w:t>The organisational culture surrounding Josie’s care also reflected elements of McGregor’s Theory X approach, where professional authority influenced whose opinions were prioritised and where staff and family concerns were not fully integrated into decision-making processes (McGregor, 1960). A Theory Y approach would have encouraged greater trust, empowerment, and shared responsibility among healthcare professionals and families. This is particularly important in healthcare environments because early recognition of risk depends on staff feeling psychologically safe to speak up (Edmondson, 2019).</w:t>
      </w:r>
    </w:p>
    <w:p w14:paraId="3C626C69" w14:textId="77777777" w:rsidR="006E2D23" w:rsidRPr="006E2D23" w:rsidRDefault="006E2D23" w:rsidP="006E2D23">
      <w:pPr>
        <w:rPr>
          <w:rFonts w:ascii="Arial" w:hAnsi="Arial" w:cs="Arial"/>
        </w:rPr>
      </w:pPr>
      <w:r w:rsidRPr="006E2D23">
        <w:rPr>
          <w:rFonts w:ascii="Arial" w:hAnsi="Arial" w:cs="Arial"/>
        </w:rPr>
        <w:t>Emotional intelligence is also an important component of effective healthcare leadership because leaders must recognise, understand, and manage their own emotions while responding appropriately to the emotions and perspectives of others. Emotionally intelligent leaders demonstrate self-awareness, self-regulation, empathy, motivation, and social skills, which support effective communication, teamwork, and relationship building within healthcare organisations (Goleman, 1998). In the Josie King case, stronger emotional intelligence among healthcare leaders and professionals may have encouraged greater recognition of Josie’s parents’ concerns, improved listening behaviours, and ensured that family observations were incorporated into clinical decision-making. The failure to acknowledge parental concerns highlights weaknesses not only in communication systems but also in relational leadership practices, where empathy and openness are essential for maintaining patient-centred care (AHRQ, 2016). Therefore, emotional intelligence complements transformational and systems leadership by helping leaders create psychologically safe environments where staff, patients, and families feel respected and empowered to raise concerns (Edmondson, 2019; West et al., 2015).</w:t>
      </w:r>
    </w:p>
    <w:p w14:paraId="26E5D415" w14:textId="77777777" w:rsidR="006E2D23" w:rsidRPr="006E2D23" w:rsidRDefault="006E2D23" w:rsidP="006E2D23">
      <w:pPr>
        <w:rPr>
          <w:rFonts w:ascii="Arial" w:hAnsi="Arial" w:cs="Arial"/>
        </w:rPr>
      </w:pPr>
      <w:r w:rsidRPr="006E2D23">
        <w:rPr>
          <w:rFonts w:ascii="Arial" w:hAnsi="Arial" w:cs="Arial"/>
        </w:rPr>
        <w:lastRenderedPageBreak/>
        <w:t>The case also highlights weaknesses in behavioural leadership, as leaders appeared unable to balance operational safety requirements with relationship-focused behaviours. Although clinical monitoring and escalation processes are essential, patient safety also depends on communication, teamwork, and trust between healthcare professionals and families (Blake and Mouton, 1964). In Josie’s case, failures occurred because technical systems were not supported by a culture that encouraged collaboration and open communication.</w:t>
      </w:r>
    </w:p>
    <w:p w14:paraId="5A05FE99" w14:textId="77777777" w:rsidR="006E2D23" w:rsidRPr="006E2D23" w:rsidRDefault="006E2D23" w:rsidP="006E2D23">
      <w:pPr>
        <w:rPr>
          <w:rFonts w:ascii="Arial" w:hAnsi="Arial" w:cs="Arial"/>
        </w:rPr>
      </w:pPr>
      <w:r w:rsidRPr="006E2D23">
        <w:rPr>
          <w:rFonts w:ascii="Arial" w:hAnsi="Arial" w:cs="Arial"/>
        </w:rPr>
        <w:t>Through the Tannenbaum and Schmidt Leadership Continuum, the leadership response remained closer to an authority-based approach rather than moving towards participative decision-making when the situation required greater collaboration (Tannenbaum and Schmidt, 1973). As Josie’s condition deteriorated, leaders should have adapted their approach by involving multidisciplinary teams and responding more openly to concerns from those closest to the patient. The failure to adjust leadership behaviour contributed to delayed recognition of risk and ineffective intervention.</w:t>
      </w:r>
    </w:p>
    <w:p w14:paraId="33050CAC" w14:textId="77777777" w:rsidR="006E2D23" w:rsidRPr="006E2D23" w:rsidRDefault="006E2D23" w:rsidP="006E2D23">
      <w:pPr>
        <w:rPr>
          <w:rFonts w:ascii="Arial" w:hAnsi="Arial" w:cs="Arial"/>
        </w:rPr>
      </w:pPr>
      <w:r w:rsidRPr="006E2D23">
        <w:rPr>
          <w:rFonts w:ascii="Arial" w:hAnsi="Arial" w:cs="Arial"/>
        </w:rPr>
        <w:t>The case also challenges Great Man Theory and Trait Theory because the incident demonstrates that patient safety cannot depend solely on individual leaders possessing confidence, intelligence, or decision-making ability (Stogdill, 1948). While strong leadership characteristics are valuable, the absence of reliable systems, shared accountability, and supportive organisational structures can still allow failures to occur (Reason, 2000). Therefore, effective healthcare leadership requires both capable individuals and systems that enable safe practice.</w:t>
      </w:r>
    </w:p>
    <w:p w14:paraId="63C3FB33" w14:textId="77777777" w:rsidR="006E2D23" w:rsidRPr="006E2D23" w:rsidRDefault="006E2D23" w:rsidP="006E2D23">
      <w:pPr>
        <w:rPr>
          <w:rFonts w:ascii="Arial" w:hAnsi="Arial" w:cs="Arial"/>
        </w:rPr>
      </w:pPr>
      <w:r w:rsidRPr="006E2D23">
        <w:rPr>
          <w:rFonts w:ascii="Arial" w:hAnsi="Arial" w:cs="Arial"/>
        </w:rPr>
        <w:t>A failure of situational and contingency leadership was also evident because leadership did not sufficiently adapt when the level of risk increased (Fiedler, 1967; Hersey and Blanchard, 1969). As concerns about Josie’s deterioration became more significant, a more adaptive leadership response involving urgent escalation, multidisciplinary review, and stronger clinical oversight was required. Instead, existing processes continued despite warning signs, demonstrating a reactive rather than proactive leadership approach.</w:t>
      </w:r>
    </w:p>
    <w:p w14:paraId="7088AFC3" w14:textId="77777777" w:rsidR="006E2D23" w:rsidRPr="006E2D23" w:rsidRDefault="006E2D23" w:rsidP="006E2D23">
      <w:pPr>
        <w:rPr>
          <w:rFonts w:ascii="Arial" w:hAnsi="Arial" w:cs="Arial"/>
        </w:rPr>
      </w:pPr>
      <w:r w:rsidRPr="006E2D23">
        <w:rPr>
          <w:rFonts w:ascii="Arial" w:hAnsi="Arial" w:cs="Arial"/>
        </w:rPr>
        <w:t>Following Josie’s death, Johns Hopkins Hospital demonstrated transformational and systems leadership by introducing patient safety reforms, including family-centred care initiatives, rapid response systems, improved communication processes, multidisciplinary teamwork, and leadership development programmes (AHRQ, 2016). These changes represented a shift from reactive management towards proactive safety leadership focused on organisational learning and prevention (Bass, 1985; Senge, 2006). The reforms also align with modern healthcare leadership principles, including the NHS Healthcare Leadership Model, which emphasises compassionate leadership, collaboration, shared responsibility, and creating environments where staff feel empowered to raise concerns (NHS Leadership Academy, 2013).</w:t>
      </w:r>
    </w:p>
    <w:p w14:paraId="6E131CCB" w14:textId="6778131A" w:rsidR="006E2D23" w:rsidRPr="006E2D23" w:rsidRDefault="006E2D23" w:rsidP="006E2D23">
      <w:pPr>
        <w:rPr>
          <w:rFonts w:ascii="Arial" w:hAnsi="Arial" w:cs="Arial"/>
        </w:rPr>
      </w:pPr>
      <w:r w:rsidRPr="006E2D23">
        <w:rPr>
          <w:rFonts w:ascii="Arial" w:hAnsi="Arial" w:cs="Arial"/>
        </w:rPr>
        <w:t>Overall, the Josie King case demonstrates that leadership failure was not caused by one inappropriate style but by the interaction of excessive hierarchy, weak communication, limited empowerment, inadequate emotional responsiveness, and poor safety culture. A more effective approach would have combined transformational, distributed, adaptive, and emotionally intelligent leadership with strong governance and frontline involvement. This would have created a healthcare environment where professionals and families felt confident to challenge decisions and contribute actively to patient safety (Edmondson, 2019; Bolden, 2011).</w:t>
      </w:r>
    </w:p>
    <w:p w14:paraId="392055D3" w14:textId="77777777" w:rsidR="00B04711" w:rsidRPr="00B04711" w:rsidRDefault="00B04711" w:rsidP="00D53752">
      <w:pPr>
        <w:pStyle w:val="Heading1"/>
      </w:pPr>
      <w:r w:rsidRPr="00B04711">
        <w:lastRenderedPageBreak/>
        <w:t>Critique, Improvements, and Lessons Learned: The Josie King Case – Johns Hopkins Hospital, USA (2001)</w:t>
      </w:r>
    </w:p>
    <w:p w14:paraId="2F1AFE86" w14:textId="4C181259" w:rsidR="006E2D23" w:rsidRPr="006E2D23" w:rsidRDefault="00B04711" w:rsidP="006E2D23">
      <w:pPr>
        <w:jc w:val="both"/>
        <w:rPr>
          <w:rFonts w:ascii="Arial" w:hAnsi="Arial" w:cs="Arial"/>
        </w:rPr>
      </w:pPr>
      <w:r w:rsidRPr="00B04711">
        <w:rPr>
          <w:rFonts w:ascii="Arial" w:hAnsi="Arial" w:cs="Arial"/>
        </w:rPr>
        <w:t>The</w:t>
      </w:r>
      <w:r w:rsidR="006E2D23">
        <w:rPr>
          <w:rFonts w:ascii="Arial" w:hAnsi="Arial" w:cs="Arial"/>
        </w:rPr>
        <w:t xml:space="preserve"> </w:t>
      </w:r>
      <w:r w:rsidR="006E2D23" w:rsidRPr="006E2D23">
        <w:rPr>
          <w:rFonts w:ascii="Arial" w:hAnsi="Arial" w:cs="Arial"/>
        </w:rPr>
        <w:t>Josie King case highlights several interconnected weaknesses in healthcare leadership, governance, communication, and patient safety systems. The most significant problem was the failure of escalation processes, where concerns raised by Josie’s parents regarding increased thirst, lethargy, and deterioration were not effectively recognised or acted upon. The case demonstrates that patient safety depends not only on clinical knowledge but also on reliable systems that allow concerns to be communicated and escalated without delay (AHRQ, 2016). From a systems perspective, the failure was not simply that individuals failed to identify risk; rather, multiple organisational barriers prevented available information from reaching the appropriate decision-makers (Reason, 2000). Improvement strategies should therefore focus on strengthening escalation pathways, introducing structured communication tools, and ensuring that families and frontline staff are recognised as active contributors to patient safety.</w:t>
      </w:r>
    </w:p>
    <w:p w14:paraId="39A32F93" w14:textId="77777777" w:rsidR="006E2D23" w:rsidRPr="006E2D23" w:rsidRDefault="006E2D23" w:rsidP="006E2D23">
      <w:pPr>
        <w:jc w:val="both"/>
        <w:rPr>
          <w:rFonts w:ascii="Arial" w:hAnsi="Arial" w:cs="Arial"/>
        </w:rPr>
      </w:pPr>
      <w:r w:rsidRPr="006E2D23">
        <w:rPr>
          <w:rFonts w:ascii="Arial" w:hAnsi="Arial" w:cs="Arial"/>
        </w:rPr>
        <w:t>A further weakness identified in the case was limited psychological safety within the healthcare environment. Although Josie’s parents repeatedly expressed concerns, the organisational culture did not sufficiently support open communication between families, nurses, and medical professionals (AHRQ, 2016). This reflects a wider healthcare challenge where hierarchical cultures may discourage individuals from questioning decisions or challenging senior professionals. Psychological safety is essential because healthcare teams must feel confident to report concerns, discuss uncertainty, and identify risks before harm occurs (Edmondson, 2019). To address this issue, healthcare organisations should develop speaking-up cultures through staff training, compassionate leadership approaches, multidisciplinary communication, and formal mechanisms that allow patients and families to provide feedback without barriers.</w:t>
      </w:r>
    </w:p>
    <w:p w14:paraId="4464EC86" w14:textId="77777777" w:rsidR="006E2D23" w:rsidRPr="006E2D23" w:rsidRDefault="006E2D23" w:rsidP="006E2D23">
      <w:pPr>
        <w:jc w:val="both"/>
        <w:rPr>
          <w:rFonts w:ascii="Arial" w:hAnsi="Arial" w:cs="Arial"/>
        </w:rPr>
      </w:pPr>
      <w:r w:rsidRPr="006E2D23">
        <w:rPr>
          <w:rFonts w:ascii="Arial" w:hAnsi="Arial" w:cs="Arial"/>
        </w:rPr>
        <w:t>The case also revealed weaknesses in governance and accountability structures. Although Johns Hopkins Hospital had established clinical systems and professional responsibilities, these mechanisms did not ensure effective coordination between different healthcare professionals involved in Josie’s care. Weak governance can create gaps where responsibility becomes unclear, allowing safety concerns to remain unresolved (Reason, 2000). Improvement requires stronger clinical governance frameworks, regular safety audits, clear accountability pathways, and leadership oversight mechanisms that monitor whether patient safety processes are functioning effectively. Healthcare leaders should move beyond reviewing incidents after harm occurs and adopt proactive approaches that identify system risks before they affect patients.</w:t>
      </w:r>
    </w:p>
    <w:p w14:paraId="6ED2AD83" w14:textId="77777777" w:rsidR="006E2D23" w:rsidRPr="006E2D23" w:rsidRDefault="006E2D23" w:rsidP="006E2D23">
      <w:pPr>
        <w:jc w:val="both"/>
        <w:rPr>
          <w:rFonts w:ascii="Arial" w:hAnsi="Arial" w:cs="Arial"/>
        </w:rPr>
      </w:pPr>
      <w:r w:rsidRPr="006E2D23">
        <w:rPr>
          <w:rFonts w:ascii="Arial" w:hAnsi="Arial" w:cs="Arial"/>
        </w:rPr>
        <w:t>Recent developments in healthcare safety emphasise the importance of learning-focused approaches to incident management rather than individual blame. The NHS Patient Safety Incident Response Framework (PSIRF) promotes a systems-based approach to investigating patient safety incidents by identifying contributory factors, understanding why failures occurred, and developing sustainable improvements to prevent recurrence (NHS England, 2022). Applying PSIRF principles to cases such as the Josie King incident would support organisations in strengthening governance structures, improving incident reporting processes, and encouraging multidisciplinary learning. This approach aligns with systems thinking by recognising that patient harm often results from interactions between organisational processes, leadership practices, and workplace culture rather than isolated individual mistakes.</w:t>
      </w:r>
    </w:p>
    <w:p w14:paraId="23577CD1" w14:textId="77777777" w:rsidR="006E2D23" w:rsidRPr="006E2D23" w:rsidRDefault="006E2D23" w:rsidP="006E2D23">
      <w:pPr>
        <w:jc w:val="both"/>
        <w:rPr>
          <w:rFonts w:ascii="Arial" w:hAnsi="Arial" w:cs="Arial"/>
        </w:rPr>
      </w:pPr>
      <w:r w:rsidRPr="006E2D23">
        <w:rPr>
          <w:rFonts w:ascii="Arial" w:hAnsi="Arial" w:cs="Arial"/>
        </w:rPr>
        <w:t xml:space="preserve">Another important lesson from the case is the need to move away from a culture of individual blame towards systems-based improvement. The Josie King case demonstrates that </w:t>
      </w:r>
      <w:r w:rsidRPr="006E2D23">
        <w:rPr>
          <w:rFonts w:ascii="Arial" w:hAnsi="Arial" w:cs="Arial"/>
        </w:rPr>
        <w:lastRenderedPageBreak/>
        <w:t>preventable harm usually occurs because multiple weaknesses within a system align rather than because of one individual mistake (Reason, 2000). Healthcare organisations should therefore avoid focusing only on identifying who made an error and instead examine why the system allowed the error to occur. Implementing continuous learning approaches, multidisciplinary incident reviews, and improvement programmes can help organisations develop safer care environments.</w:t>
      </w:r>
    </w:p>
    <w:p w14:paraId="6E5C2C13" w14:textId="77777777" w:rsidR="006E2D23" w:rsidRPr="006E2D23" w:rsidRDefault="006E2D23" w:rsidP="006E2D23">
      <w:pPr>
        <w:jc w:val="both"/>
        <w:rPr>
          <w:rFonts w:ascii="Arial" w:hAnsi="Arial" w:cs="Arial"/>
        </w:rPr>
      </w:pPr>
      <w:r w:rsidRPr="006E2D23">
        <w:rPr>
          <w:rFonts w:ascii="Arial" w:hAnsi="Arial" w:cs="Arial"/>
        </w:rPr>
        <w:t>Following Josie’s death, Johns Hopkins Hospital introduced significant patient safety reforms, including family-centred care initiatives, rapid response systems, improved communication processes, and leadership development programmes (AHRQ, 2016). These changes demonstrate the importance of transformational and systems leadership, where organisations learn from failure and redesign processes to prevent future harm (Bass, 1985; Senge, 2006). The reforms also reflect modern healthcare leadership principles, where leaders are expected to promote collaboration, transparency, and continuous quality improvement.</w:t>
      </w:r>
    </w:p>
    <w:p w14:paraId="28896209" w14:textId="47AD46F0" w:rsidR="006E2D23" w:rsidRPr="00B04711" w:rsidRDefault="006E2D23" w:rsidP="006E2D23">
      <w:pPr>
        <w:jc w:val="both"/>
        <w:rPr>
          <w:rFonts w:ascii="Arial" w:hAnsi="Arial" w:cs="Arial"/>
        </w:rPr>
      </w:pPr>
      <w:r w:rsidRPr="006E2D23">
        <w:rPr>
          <w:rFonts w:ascii="Arial" w:hAnsi="Arial" w:cs="Arial"/>
        </w:rPr>
        <w:t>Overall, the key lesson from the Josie King case is that safe healthcare cannot depend on individual vigilance or heroic leadership alone. Organisations require strong governance systems, clear accountability, effective communication structures, and psychologically safe cultures where every person feels responsible for protecting patients. Future healthcare leaders should combine strong central oversight with frontline empowerment, ensuring that concerns from staff, patients, and families are listened to and acted upon before preventable harm occurs (NHS Leadership Academy, 2013).</w:t>
      </w:r>
    </w:p>
    <w:p w14:paraId="516A21FD" w14:textId="6DCC98EA" w:rsidR="00B04711" w:rsidRDefault="00B04711" w:rsidP="00B04711">
      <w:pPr>
        <w:jc w:val="both"/>
        <w:rPr>
          <w:rFonts w:ascii="Arial" w:hAnsi="Arial" w:cs="Arial"/>
        </w:rPr>
      </w:pPr>
    </w:p>
    <w:p w14:paraId="2A4B692F" w14:textId="77777777" w:rsidR="0015639B" w:rsidRPr="0015639B" w:rsidRDefault="0015639B" w:rsidP="00D53752">
      <w:pPr>
        <w:pStyle w:val="Heading1"/>
      </w:pPr>
      <w:r w:rsidRPr="0015639B">
        <w:t>Recommendations</w:t>
      </w:r>
    </w:p>
    <w:p w14:paraId="2A0EE6C6" w14:textId="77777777" w:rsidR="0015639B" w:rsidRPr="0015639B" w:rsidRDefault="0015639B" w:rsidP="00D53752">
      <w:pPr>
        <w:pStyle w:val="Heading1"/>
      </w:pPr>
      <w:r w:rsidRPr="0015639B">
        <w:t>1. Adopt Transformational Leadership to Promote Psychological Safety</w:t>
      </w:r>
    </w:p>
    <w:p w14:paraId="18B80456" w14:textId="77777777" w:rsidR="0015639B" w:rsidRPr="0015639B" w:rsidRDefault="0015639B" w:rsidP="0015639B">
      <w:pPr>
        <w:jc w:val="both"/>
        <w:rPr>
          <w:rFonts w:ascii="Arial" w:hAnsi="Arial" w:cs="Arial"/>
        </w:rPr>
      </w:pPr>
      <w:r w:rsidRPr="0015639B">
        <w:rPr>
          <w:rFonts w:ascii="Arial" w:hAnsi="Arial" w:cs="Arial"/>
        </w:rPr>
        <w:t>Healthcare organisations should implement transformational leadership approaches to create a culture where staff, patients, and families feel confident to raise concerns without fear of criticism or negative consequences. In the Josie King case, concerns raised by Josie’s parents were not effectively valued or escalated, demonstrating weaknesses in organisational culture and leadership responsiveness (AHRQ, 2016). Transformational leaders should promote shared safety values, encourage open communication, and support continuous learning rather than focusing on blame after adverse events (Bass, 1985). Leadership development programmes should therefore include emotional intelligence, active listening, conflict management, and strategies to develop a speaking-up culture. Evidence suggests that psychologically safe environments improve teamwork, learning, and early identification of risks because individuals are more willing to report concerns (Edmondson, 2019).</w:t>
      </w:r>
    </w:p>
    <w:p w14:paraId="668B18E1" w14:textId="77777777" w:rsidR="0015639B" w:rsidRPr="0015639B" w:rsidRDefault="0015639B" w:rsidP="00D53752">
      <w:pPr>
        <w:pStyle w:val="Heading1"/>
      </w:pPr>
      <w:r w:rsidRPr="0015639B">
        <w:t>2. Establish Clear Escalation Pathways and Shared Governance Systems</w:t>
      </w:r>
    </w:p>
    <w:p w14:paraId="01464E14" w14:textId="77777777" w:rsidR="0015639B" w:rsidRPr="0015639B" w:rsidRDefault="0015639B" w:rsidP="0015639B">
      <w:pPr>
        <w:jc w:val="both"/>
        <w:rPr>
          <w:rFonts w:ascii="Arial" w:hAnsi="Arial" w:cs="Arial"/>
        </w:rPr>
      </w:pPr>
      <w:r w:rsidRPr="0015639B">
        <w:rPr>
          <w:rFonts w:ascii="Arial" w:hAnsi="Arial" w:cs="Arial"/>
        </w:rPr>
        <w:t xml:space="preserve">Healthcare organisations should strengthen escalation processes by ensuring that concerns raised by nurses, junior clinicians, patients, and families are rapidly reviewed by appropriate senior professionals. The Josie King case demonstrated that ineffective escalation pathways </w:t>
      </w:r>
      <w:r w:rsidRPr="0015639B">
        <w:rPr>
          <w:rFonts w:ascii="Arial" w:hAnsi="Arial" w:cs="Arial"/>
        </w:rPr>
        <w:lastRenderedPageBreak/>
        <w:t>can allow patient deterioration to continue despite warning signs (AHRQ, 2016). A shared governance approach should be introduced, where senior leaders maintain accountability for safety standards while frontline professionals are empowered to make decisions and escalate concerns when risks are identified. This balance between centralised governance and decentralised decision-making can improve responsiveness and reduce delays caused by hierarchical structures (Mintzberg, 1983; Mullins, 2016).</w:t>
      </w:r>
    </w:p>
    <w:p w14:paraId="012DFCAF" w14:textId="77777777" w:rsidR="0015639B" w:rsidRPr="0015639B" w:rsidRDefault="0015639B" w:rsidP="00D53752">
      <w:pPr>
        <w:pStyle w:val="Heading1"/>
      </w:pPr>
      <w:r w:rsidRPr="0015639B">
        <w:t>3. Introduce Daily Safety Huddles and Multidisciplinary Communication Systems</w:t>
      </w:r>
    </w:p>
    <w:p w14:paraId="5C436784" w14:textId="77777777" w:rsidR="0015639B" w:rsidRPr="0015639B" w:rsidRDefault="0015639B" w:rsidP="0015639B">
      <w:pPr>
        <w:jc w:val="both"/>
        <w:rPr>
          <w:rFonts w:ascii="Arial" w:hAnsi="Arial" w:cs="Arial"/>
        </w:rPr>
      </w:pPr>
      <w:r w:rsidRPr="0015639B">
        <w:rPr>
          <w:rFonts w:ascii="Arial" w:hAnsi="Arial" w:cs="Arial"/>
        </w:rPr>
        <w:t>Healthcare organisations should implement structured daily safety huddles involving nurses, doctors, allied health professionals, and where appropriate, patients and families. These meetings should focus on identifying deteriorating patients, discussing safety concerns, and coordinating actions across professional groups. In the Josie King case, poor communication between healthcare professionals contributed to delayed recognition of clinical deterioration. Regular safety huddles can strengthen teamwork, improve information sharing, and support proactive risk management rather than reactive responses after harm occurs (Senge, 2006).</w:t>
      </w:r>
    </w:p>
    <w:p w14:paraId="20E72328" w14:textId="77777777" w:rsidR="0015639B" w:rsidRPr="0015639B" w:rsidRDefault="0015639B" w:rsidP="00D53752">
      <w:pPr>
        <w:pStyle w:val="Heading1"/>
      </w:pPr>
      <w:r w:rsidRPr="0015639B">
        <w:t>4. Strengthen Patient and Family Involvement in Safety Decisions</w:t>
      </w:r>
    </w:p>
    <w:p w14:paraId="5E3C8BD9" w14:textId="77777777" w:rsidR="0015639B" w:rsidRPr="0015639B" w:rsidRDefault="0015639B" w:rsidP="0015639B">
      <w:pPr>
        <w:jc w:val="both"/>
        <w:rPr>
          <w:rFonts w:ascii="Arial" w:hAnsi="Arial" w:cs="Arial"/>
        </w:rPr>
      </w:pPr>
      <w:r w:rsidRPr="0015639B">
        <w:rPr>
          <w:rFonts w:ascii="Arial" w:hAnsi="Arial" w:cs="Arial"/>
        </w:rPr>
        <w:t>Patients and families should be recognised as active partners in healthcare safety rather than passive recipients of care. Healthcare organisations should introduce formal family escalation systems, allowing relatives to directly communicate concerns when they believe a patient’s condition is worsening. The Josie King case demonstrated that families often identify changes in patient condition early, but their concerns may be overlooked within hierarchical healthcare systems (AHRQ, 2016). Including families in safety discussions supports patient-centred care and improves early detection of potential risks.</w:t>
      </w:r>
    </w:p>
    <w:p w14:paraId="53CDE743" w14:textId="77777777" w:rsidR="0015639B" w:rsidRPr="0015639B" w:rsidRDefault="0015639B" w:rsidP="00D53752">
      <w:pPr>
        <w:pStyle w:val="Heading1"/>
      </w:pPr>
      <w:r w:rsidRPr="0015639B">
        <w:t>5. Develop Distributed Leadership Across Healthcare Teams</w:t>
      </w:r>
    </w:p>
    <w:p w14:paraId="1D2DD09B" w14:textId="77777777" w:rsidR="0015639B" w:rsidRPr="0015639B" w:rsidRDefault="0015639B" w:rsidP="0015639B">
      <w:pPr>
        <w:jc w:val="both"/>
        <w:rPr>
          <w:rFonts w:ascii="Arial" w:hAnsi="Arial" w:cs="Arial"/>
        </w:rPr>
      </w:pPr>
      <w:r w:rsidRPr="0015639B">
        <w:rPr>
          <w:rFonts w:ascii="Arial" w:hAnsi="Arial" w:cs="Arial"/>
        </w:rPr>
        <w:t>Healthcare organisations should promote distributed leadership models where responsibility for patient safety is shared across all levels of the workforce. The failure in the Josie King case demonstrates that relying only on senior leaders for decision-making can create communication barriers and reduce frontline involvement. Distributed leadership encourages nurses, junior doctors, and other healthcare professionals to contribute their expertise and participate in safety improvement activities (Bolden, 2011). This approach should be supported through teamwork training, leadership development, and empowerment of frontline staff.</w:t>
      </w:r>
    </w:p>
    <w:p w14:paraId="01A886EE" w14:textId="77777777" w:rsidR="0015639B" w:rsidRPr="0015639B" w:rsidRDefault="0015639B" w:rsidP="00D53752">
      <w:pPr>
        <w:pStyle w:val="Heading1"/>
      </w:pPr>
      <w:r w:rsidRPr="0015639B">
        <w:lastRenderedPageBreak/>
        <w:t xml:space="preserve">6. Strengthen Safety Governance and Learning </w:t>
      </w:r>
      <w:proofErr w:type="gramStart"/>
      <w:r w:rsidRPr="0015639B">
        <w:t>From</w:t>
      </w:r>
      <w:proofErr w:type="gramEnd"/>
      <w:r w:rsidRPr="0015639B">
        <w:t xml:space="preserve"> Incidents</w:t>
      </w:r>
    </w:p>
    <w:p w14:paraId="394D09EA" w14:textId="77777777" w:rsidR="0015639B" w:rsidRPr="0015639B" w:rsidRDefault="0015639B" w:rsidP="0015639B">
      <w:pPr>
        <w:jc w:val="both"/>
        <w:rPr>
          <w:rFonts w:ascii="Arial" w:hAnsi="Arial" w:cs="Arial"/>
        </w:rPr>
      </w:pPr>
      <w:r w:rsidRPr="0015639B">
        <w:rPr>
          <w:rFonts w:ascii="Arial" w:hAnsi="Arial" w:cs="Arial"/>
        </w:rPr>
        <w:t>Healthcare organisations should adopt systems-based approaches to incident investigation rather than focusing on individual blame. Regular audits, root cause analysis, safety reviews, and quality improvement programmes should be used to identify weaknesses in processes, communication systems, and organisational culture (Reason, 2000). Leaders should monitor safety indicators, including incident reporting patterns, escalation delays, and staff confidence in raising concerns. This would help organisations move from reactive management towards proactive prevention and continuous improvement.</w:t>
      </w:r>
    </w:p>
    <w:p w14:paraId="5B822B5A" w14:textId="77777777" w:rsidR="0015639B" w:rsidRPr="0015639B" w:rsidRDefault="0015639B" w:rsidP="00D53752">
      <w:pPr>
        <w:pStyle w:val="Heading1"/>
      </w:pPr>
      <w:r w:rsidRPr="0015639B">
        <w:t>7. Develop Adaptive and Situational Leadership Approaches</w:t>
      </w:r>
    </w:p>
    <w:p w14:paraId="2BC5FCBB" w14:textId="77777777" w:rsidR="0015639B" w:rsidRDefault="0015639B" w:rsidP="0015639B">
      <w:pPr>
        <w:jc w:val="both"/>
        <w:rPr>
          <w:rFonts w:ascii="Arial" w:hAnsi="Arial" w:cs="Arial"/>
        </w:rPr>
      </w:pPr>
      <w:r w:rsidRPr="0015639B">
        <w:rPr>
          <w:rFonts w:ascii="Arial" w:hAnsi="Arial" w:cs="Arial"/>
        </w:rPr>
        <w:t>Healthcare leaders should be trained to adapt their leadership style according to clinical risk and organisational circumstances. In the Josie King case, leaders failed to shift from routine management towards urgent safety-focused action when Josie’s condition deteriorated. Situational leadership approaches encourage leaders to recognise when stronger intervention, multidisciplinary collaboration, and rapid decision-making are required (Fiedler, 1967; Hersey and Blanchard, 1969). Adaptive leadership would support faster responses to emerging risks and improve patient safety outcomes.</w:t>
      </w:r>
    </w:p>
    <w:p w14:paraId="64C43490" w14:textId="77777777" w:rsidR="0015639B" w:rsidRPr="0015639B" w:rsidRDefault="0015639B" w:rsidP="00D53752">
      <w:pPr>
        <w:pStyle w:val="Heading1"/>
      </w:pPr>
      <w:r w:rsidRPr="0015639B">
        <w:t>Conclusion</w:t>
      </w:r>
    </w:p>
    <w:p w14:paraId="562151ED" w14:textId="77777777" w:rsidR="0015639B" w:rsidRPr="0015639B" w:rsidRDefault="0015639B" w:rsidP="0015639B">
      <w:pPr>
        <w:jc w:val="both"/>
        <w:rPr>
          <w:rFonts w:ascii="Arial" w:hAnsi="Arial" w:cs="Arial"/>
        </w:rPr>
      </w:pPr>
      <w:r w:rsidRPr="0015639B">
        <w:rPr>
          <w:rFonts w:ascii="Arial" w:hAnsi="Arial" w:cs="Arial"/>
        </w:rPr>
        <w:t>The Josie King case demonstrates that preventable patient harm can result from failures in leadership, communication, organisational culture, and governance rather than from one individual error. Key leadership failures included ineffective escalation processes, limited psychological safety, weak multidisciplinary communication, and insufficient involvement of patients, families, and frontline professionals in safety decisions.</w:t>
      </w:r>
    </w:p>
    <w:p w14:paraId="5750D43A" w14:textId="77777777" w:rsidR="0015639B" w:rsidRPr="0015639B" w:rsidRDefault="0015639B" w:rsidP="0015639B">
      <w:pPr>
        <w:jc w:val="both"/>
        <w:rPr>
          <w:rFonts w:ascii="Arial" w:hAnsi="Arial" w:cs="Arial"/>
        </w:rPr>
      </w:pPr>
      <w:r w:rsidRPr="0015639B">
        <w:rPr>
          <w:rFonts w:ascii="Arial" w:hAnsi="Arial" w:cs="Arial"/>
        </w:rPr>
        <w:t>A systems thinking analysis highlights that the incident developed through the interaction of multiple weaknesses within the healthcare system, including poor information flow, unclear accountability, inadequate monitoring processes, and organisational barriers that prevented concerns from being acted upon. This demonstrates that patient safety depends on how different parts of the healthcare system function together rather than on individual performance alone.</w:t>
      </w:r>
    </w:p>
    <w:p w14:paraId="52EA9AD2" w14:textId="77777777" w:rsidR="0015639B" w:rsidRPr="0015639B" w:rsidRDefault="0015639B" w:rsidP="0015639B">
      <w:pPr>
        <w:jc w:val="both"/>
        <w:rPr>
          <w:rFonts w:ascii="Arial" w:hAnsi="Arial" w:cs="Arial"/>
        </w:rPr>
      </w:pPr>
      <w:r w:rsidRPr="0015639B">
        <w:rPr>
          <w:rFonts w:ascii="Arial" w:hAnsi="Arial" w:cs="Arial"/>
        </w:rPr>
        <w:t>The case also highlights the importance of effective governance and appropriate leadership approaches. While centralised governance is essential for maintaining accountability and safety standards, excessive hierarchy can restrict communication and prevent important information from reaching decision-makers. Therefore, healthcare organisations require a balance between strong leadership oversight and decentralised empowerment of frontline staff.</w:t>
      </w:r>
    </w:p>
    <w:p w14:paraId="0D425DC2" w14:textId="77777777" w:rsidR="0015639B" w:rsidRPr="0015639B" w:rsidRDefault="0015639B" w:rsidP="0015639B">
      <w:pPr>
        <w:jc w:val="both"/>
        <w:rPr>
          <w:rFonts w:ascii="Arial" w:hAnsi="Arial" w:cs="Arial"/>
        </w:rPr>
      </w:pPr>
      <w:r w:rsidRPr="0015639B">
        <w:rPr>
          <w:rFonts w:ascii="Arial" w:hAnsi="Arial" w:cs="Arial"/>
        </w:rPr>
        <w:t>Systems thinking provides a more sustainable approach to improving healthcare quality because it focuses on identifying and redesigning weaknesses within processes, structures, and organisational culture rather than assigning blame to individuals. By developing stronger communication systems, promoting psychological safety, and encouraging shared responsibility, healthcare organisations can prevent similar failures in the future.</w:t>
      </w:r>
    </w:p>
    <w:p w14:paraId="46138B6E" w14:textId="77777777" w:rsidR="0015639B" w:rsidRPr="0015639B" w:rsidRDefault="0015639B" w:rsidP="0015639B">
      <w:pPr>
        <w:jc w:val="both"/>
        <w:rPr>
          <w:rFonts w:ascii="Arial" w:hAnsi="Arial" w:cs="Arial"/>
        </w:rPr>
      </w:pPr>
      <w:r w:rsidRPr="0015639B">
        <w:rPr>
          <w:rFonts w:ascii="Arial" w:hAnsi="Arial" w:cs="Arial"/>
        </w:rPr>
        <w:lastRenderedPageBreak/>
        <w:t>Overall, the Josie King case reinforces that effective healthcare leadership requires proactive risk management, collaborative decision-making, and continuous organisational learning to create safer patient-centred care environments.</w:t>
      </w:r>
    </w:p>
    <w:p w14:paraId="103C82FC" w14:textId="77777777" w:rsidR="0015639B" w:rsidRPr="0015639B" w:rsidRDefault="0015639B" w:rsidP="0015639B">
      <w:pPr>
        <w:jc w:val="both"/>
        <w:rPr>
          <w:rFonts w:ascii="Arial" w:hAnsi="Arial" w:cs="Arial"/>
        </w:rPr>
      </w:pPr>
    </w:p>
    <w:p w14:paraId="4B33AFEB" w14:textId="77777777" w:rsidR="0015639B" w:rsidRPr="00B04711" w:rsidRDefault="0015639B" w:rsidP="00B04711">
      <w:pPr>
        <w:jc w:val="both"/>
        <w:rPr>
          <w:rFonts w:ascii="Arial" w:hAnsi="Arial" w:cs="Arial"/>
        </w:rPr>
      </w:pPr>
    </w:p>
    <w:p w14:paraId="450B16F8" w14:textId="77777777" w:rsidR="00163AAC" w:rsidRDefault="00163AAC" w:rsidP="00BD468B">
      <w:pPr>
        <w:jc w:val="both"/>
        <w:rPr>
          <w:rFonts w:ascii="Arial" w:hAnsi="Arial" w:cs="Arial"/>
        </w:rPr>
      </w:pPr>
    </w:p>
    <w:p w14:paraId="180DDAE7" w14:textId="77777777" w:rsidR="00BD468B" w:rsidRDefault="00BD468B" w:rsidP="00BD468B">
      <w:pPr>
        <w:jc w:val="both"/>
        <w:rPr>
          <w:rFonts w:ascii="Arial" w:hAnsi="Arial" w:cs="Arial"/>
        </w:rPr>
      </w:pPr>
    </w:p>
    <w:p w14:paraId="2215BAEE" w14:textId="77777777" w:rsidR="003A0A4A" w:rsidRDefault="003A0A4A" w:rsidP="001030D3">
      <w:pPr>
        <w:jc w:val="both"/>
        <w:rPr>
          <w:rFonts w:ascii="Arial" w:hAnsi="Arial" w:cs="Arial"/>
          <w:b/>
        </w:rPr>
      </w:pPr>
    </w:p>
    <w:p w14:paraId="44099802" w14:textId="77777777" w:rsidR="000C12F4" w:rsidRDefault="000C12F4" w:rsidP="001030D3">
      <w:pPr>
        <w:jc w:val="both"/>
        <w:rPr>
          <w:rFonts w:ascii="Arial" w:hAnsi="Arial" w:cs="Arial"/>
          <w:b/>
        </w:rPr>
      </w:pPr>
    </w:p>
    <w:p w14:paraId="77741332" w14:textId="77777777" w:rsidR="00D53752" w:rsidRDefault="00D53752" w:rsidP="001030D3">
      <w:pPr>
        <w:jc w:val="both"/>
        <w:rPr>
          <w:rFonts w:ascii="Arial" w:hAnsi="Arial" w:cs="Arial"/>
          <w:b/>
        </w:rPr>
      </w:pPr>
    </w:p>
    <w:p w14:paraId="227C5ABA" w14:textId="77777777" w:rsidR="00D53752" w:rsidRDefault="00D53752" w:rsidP="001030D3">
      <w:pPr>
        <w:jc w:val="both"/>
        <w:rPr>
          <w:rFonts w:ascii="Arial" w:hAnsi="Arial" w:cs="Arial"/>
          <w:b/>
        </w:rPr>
      </w:pPr>
    </w:p>
    <w:p w14:paraId="08EEB54D" w14:textId="77777777" w:rsidR="00D53752" w:rsidRDefault="00D53752" w:rsidP="001030D3">
      <w:pPr>
        <w:jc w:val="both"/>
        <w:rPr>
          <w:rFonts w:ascii="Arial" w:hAnsi="Arial" w:cs="Arial"/>
          <w:b/>
        </w:rPr>
      </w:pPr>
    </w:p>
    <w:p w14:paraId="53CB4D2F" w14:textId="77777777" w:rsidR="00D53752" w:rsidRDefault="00D53752" w:rsidP="001030D3">
      <w:pPr>
        <w:jc w:val="both"/>
        <w:rPr>
          <w:rFonts w:ascii="Arial" w:hAnsi="Arial" w:cs="Arial"/>
          <w:b/>
        </w:rPr>
      </w:pPr>
    </w:p>
    <w:p w14:paraId="3CD3B37F" w14:textId="77777777" w:rsidR="00D53752" w:rsidRDefault="00D53752" w:rsidP="001030D3">
      <w:pPr>
        <w:jc w:val="both"/>
        <w:rPr>
          <w:rFonts w:ascii="Arial" w:hAnsi="Arial" w:cs="Arial"/>
          <w:b/>
        </w:rPr>
      </w:pPr>
    </w:p>
    <w:p w14:paraId="4AF8F716" w14:textId="77777777" w:rsidR="00D53752" w:rsidRDefault="00D53752" w:rsidP="001030D3">
      <w:pPr>
        <w:jc w:val="both"/>
        <w:rPr>
          <w:rFonts w:ascii="Arial" w:hAnsi="Arial" w:cs="Arial"/>
          <w:b/>
        </w:rPr>
      </w:pPr>
    </w:p>
    <w:p w14:paraId="51280A8E" w14:textId="77777777" w:rsidR="006E2D23" w:rsidRDefault="006E2D23" w:rsidP="001030D3">
      <w:pPr>
        <w:jc w:val="both"/>
        <w:rPr>
          <w:rFonts w:ascii="Arial" w:hAnsi="Arial" w:cs="Arial"/>
          <w:b/>
        </w:rPr>
      </w:pPr>
    </w:p>
    <w:p w14:paraId="45C21831" w14:textId="77777777" w:rsidR="006E2D23" w:rsidRDefault="006E2D23" w:rsidP="001030D3">
      <w:pPr>
        <w:jc w:val="both"/>
        <w:rPr>
          <w:rFonts w:ascii="Arial" w:hAnsi="Arial" w:cs="Arial"/>
          <w:b/>
        </w:rPr>
      </w:pPr>
    </w:p>
    <w:p w14:paraId="6984EE42" w14:textId="77777777" w:rsidR="006E2D23" w:rsidRDefault="006E2D23" w:rsidP="001030D3">
      <w:pPr>
        <w:jc w:val="both"/>
        <w:rPr>
          <w:rFonts w:ascii="Arial" w:hAnsi="Arial" w:cs="Arial"/>
          <w:b/>
        </w:rPr>
      </w:pPr>
    </w:p>
    <w:p w14:paraId="63663584" w14:textId="77777777" w:rsidR="006E2D23" w:rsidRDefault="006E2D23" w:rsidP="001030D3">
      <w:pPr>
        <w:jc w:val="both"/>
        <w:rPr>
          <w:rFonts w:ascii="Arial" w:hAnsi="Arial" w:cs="Arial"/>
          <w:b/>
        </w:rPr>
      </w:pPr>
    </w:p>
    <w:p w14:paraId="5C0C97BB" w14:textId="77777777" w:rsidR="006E2D23" w:rsidRDefault="006E2D23" w:rsidP="001030D3">
      <w:pPr>
        <w:jc w:val="both"/>
        <w:rPr>
          <w:rFonts w:ascii="Arial" w:hAnsi="Arial" w:cs="Arial"/>
          <w:b/>
        </w:rPr>
      </w:pPr>
    </w:p>
    <w:p w14:paraId="4855033E" w14:textId="77777777" w:rsidR="006E2D23" w:rsidRDefault="006E2D23" w:rsidP="001030D3">
      <w:pPr>
        <w:jc w:val="both"/>
        <w:rPr>
          <w:rFonts w:ascii="Arial" w:hAnsi="Arial" w:cs="Arial"/>
          <w:b/>
        </w:rPr>
      </w:pPr>
    </w:p>
    <w:p w14:paraId="07460705" w14:textId="77777777" w:rsidR="006E2D23" w:rsidRDefault="006E2D23" w:rsidP="001030D3">
      <w:pPr>
        <w:jc w:val="both"/>
        <w:rPr>
          <w:rFonts w:ascii="Arial" w:hAnsi="Arial" w:cs="Arial"/>
          <w:b/>
        </w:rPr>
      </w:pPr>
    </w:p>
    <w:p w14:paraId="110AF6B9" w14:textId="77777777" w:rsidR="006E2D23" w:rsidRDefault="006E2D23" w:rsidP="001030D3">
      <w:pPr>
        <w:jc w:val="both"/>
        <w:rPr>
          <w:rFonts w:ascii="Arial" w:hAnsi="Arial" w:cs="Arial"/>
          <w:b/>
        </w:rPr>
      </w:pPr>
    </w:p>
    <w:p w14:paraId="7DE4C87C" w14:textId="77777777" w:rsidR="006E2D23" w:rsidRDefault="006E2D23" w:rsidP="001030D3">
      <w:pPr>
        <w:jc w:val="both"/>
        <w:rPr>
          <w:rFonts w:ascii="Arial" w:hAnsi="Arial" w:cs="Arial"/>
          <w:b/>
        </w:rPr>
      </w:pPr>
    </w:p>
    <w:p w14:paraId="1F668172" w14:textId="77777777" w:rsidR="006E2D23" w:rsidRDefault="006E2D23" w:rsidP="001030D3">
      <w:pPr>
        <w:jc w:val="both"/>
        <w:rPr>
          <w:rFonts w:ascii="Arial" w:hAnsi="Arial" w:cs="Arial"/>
          <w:b/>
        </w:rPr>
      </w:pPr>
    </w:p>
    <w:p w14:paraId="76D2F1B1" w14:textId="77777777" w:rsidR="006E2D23" w:rsidRDefault="006E2D23" w:rsidP="001030D3">
      <w:pPr>
        <w:jc w:val="both"/>
        <w:rPr>
          <w:rFonts w:ascii="Arial" w:hAnsi="Arial" w:cs="Arial"/>
          <w:b/>
        </w:rPr>
      </w:pPr>
    </w:p>
    <w:p w14:paraId="2C4DF4A6" w14:textId="77777777" w:rsidR="006E2D23" w:rsidRDefault="006E2D23" w:rsidP="001030D3">
      <w:pPr>
        <w:jc w:val="both"/>
        <w:rPr>
          <w:rFonts w:ascii="Arial" w:hAnsi="Arial" w:cs="Arial"/>
          <w:b/>
        </w:rPr>
      </w:pPr>
    </w:p>
    <w:p w14:paraId="732329F7" w14:textId="77777777" w:rsidR="006E2D23" w:rsidRDefault="006E2D23" w:rsidP="001030D3">
      <w:pPr>
        <w:jc w:val="both"/>
        <w:rPr>
          <w:rFonts w:ascii="Arial" w:hAnsi="Arial" w:cs="Arial"/>
          <w:b/>
        </w:rPr>
      </w:pPr>
    </w:p>
    <w:p w14:paraId="59D95F93" w14:textId="77777777" w:rsidR="006E2D23" w:rsidRDefault="006E2D23" w:rsidP="001030D3">
      <w:pPr>
        <w:jc w:val="both"/>
        <w:rPr>
          <w:rFonts w:ascii="Arial" w:hAnsi="Arial" w:cs="Arial"/>
          <w:b/>
        </w:rPr>
      </w:pPr>
    </w:p>
    <w:p w14:paraId="0ED36F38" w14:textId="77777777" w:rsidR="006E2D23" w:rsidRDefault="006E2D23" w:rsidP="001030D3">
      <w:pPr>
        <w:jc w:val="both"/>
        <w:rPr>
          <w:rFonts w:ascii="Arial" w:hAnsi="Arial" w:cs="Arial"/>
          <w:b/>
        </w:rPr>
      </w:pPr>
    </w:p>
    <w:p w14:paraId="4D0C1E24" w14:textId="77777777" w:rsidR="00D53752" w:rsidRDefault="00D53752" w:rsidP="001030D3">
      <w:pPr>
        <w:jc w:val="both"/>
        <w:rPr>
          <w:rFonts w:ascii="Arial" w:hAnsi="Arial" w:cs="Arial"/>
          <w:b/>
        </w:rPr>
      </w:pPr>
    </w:p>
    <w:p w14:paraId="69D09DD2" w14:textId="4C2BF2BD" w:rsidR="003A0A4A" w:rsidRDefault="003A0A4A" w:rsidP="00D53752">
      <w:pPr>
        <w:pStyle w:val="Heading1"/>
      </w:pPr>
      <w:r>
        <w:lastRenderedPageBreak/>
        <w:t xml:space="preserve">References: </w:t>
      </w:r>
    </w:p>
    <w:p w14:paraId="368A81CC" w14:textId="77777777" w:rsidR="003A0A4A" w:rsidRPr="00BD468B" w:rsidRDefault="003A0A4A" w:rsidP="003A0A4A">
      <w:pPr>
        <w:pStyle w:val="ListParagraph"/>
        <w:numPr>
          <w:ilvl w:val="0"/>
          <w:numId w:val="2"/>
        </w:numPr>
        <w:jc w:val="both"/>
        <w:rPr>
          <w:rFonts w:ascii="Arial" w:hAnsi="Arial" w:cs="Arial"/>
          <w:bCs/>
        </w:rPr>
      </w:pPr>
      <w:r w:rsidRPr="00BD468B">
        <w:rPr>
          <w:rFonts w:ascii="Arial" w:hAnsi="Arial" w:cs="Arial"/>
          <w:bCs/>
        </w:rPr>
        <w:t xml:space="preserve">Bass, B.M. (1985) </w:t>
      </w:r>
      <w:r w:rsidRPr="00BD468B">
        <w:rPr>
          <w:rFonts w:ascii="Arial" w:hAnsi="Arial" w:cs="Arial"/>
          <w:bCs/>
          <w:i/>
          <w:iCs/>
        </w:rPr>
        <w:t>Leadership and Performance Beyond Expectations</w:t>
      </w:r>
      <w:r w:rsidRPr="00BD468B">
        <w:rPr>
          <w:rFonts w:ascii="Arial" w:hAnsi="Arial" w:cs="Arial"/>
          <w:bCs/>
        </w:rPr>
        <w:t>. New York: Free Press.</w:t>
      </w:r>
    </w:p>
    <w:p w14:paraId="7AA2463F" w14:textId="77777777" w:rsidR="003A0A4A" w:rsidRPr="00BD468B" w:rsidRDefault="003A0A4A" w:rsidP="003A0A4A">
      <w:pPr>
        <w:pStyle w:val="ListParagraph"/>
        <w:numPr>
          <w:ilvl w:val="0"/>
          <w:numId w:val="2"/>
        </w:numPr>
        <w:jc w:val="both"/>
        <w:rPr>
          <w:rFonts w:ascii="Arial" w:hAnsi="Arial" w:cs="Arial"/>
          <w:bCs/>
        </w:rPr>
      </w:pPr>
      <w:r w:rsidRPr="00BD468B">
        <w:rPr>
          <w:rFonts w:ascii="Arial" w:hAnsi="Arial" w:cs="Arial"/>
          <w:bCs/>
        </w:rPr>
        <w:t xml:space="preserve">Bolden, R. (2011) ‘Distributed leadership in organisations: A review of theory and research’, </w:t>
      </w:r>
      <w:r w:rsidRPr="00BD468B">
        <w:rPr>
          <w:rFonts w:ascii="Arial" w:hAnsi="Arial" w:cs="Arial"/>
          <w:bCs/>
          <w:i/>
          <w:iCs/>
        </w:rPr>
        <w:t>International Journal of Management Reviews</w:t>
      </w:r>
      <w:r w:rsidRPr="00BD468B">
        <w:rPr>
          <w:rFonts w:ascii="Arial" w:hAnsi="Arial" w:cs="Arial"/>
          <w:bCs/>
        </w:rPr>
        <w:t>, 13(3), pp.251–269.</w:t>
      </w:r>
    </w:p>
    <w:p w14:paraId="3E6DE89B" w14:textId="77777777" w:rsidR="003A0A4A" w:rsidRPr="00BD468B" w:rsidRDefault="003A0A4A" w:rsidP="003A0A4A">
      <w:pPr>
        <w:pStyle w:val="ListParagraph"/>
        <w:numPr>
          <w:ilvl w:val="0"/>
          <w:numId w:val="2"/>
        </w:numPr>
        <w:jc w:val="both"/>
        <w:rPr>
          <w:rFonts w:ascii="Arial" w:hAnsi="Arial" w:cs="Arial"/>
          <w:bCs/>
        </w:rPr>
      </w:pPr>
      <w:r w:rsidRPr="00BD468B">
        <w:rPr>
          <w:rFonts w:ascii="Arial" w:hAnsi="Arial" w:cs="Arial"/>
          <w:bCs/>
        </w:rPr>
        <w:t xml:space="preserve">Mintzberg, H. (1983) </w:t>
      </w:r>
      <w:r w:rsidRPr="00BD468B">
        <w:rPr>
          <w:rFonts w:ascii="Arial" w:hAnsi="Arial" w:cs="Arial"/>
          <w:bCs/>
          <w:i/>
          <w:iCs/>
        </w:rPr>
        <w:t>Structure in Fives: Designing Effective Organizations</w:t>
      </w:r>
      <w:r w:rsidRPr="00BD468B">
        <w:rPr>
          <w:rFonts w:ascii="Arial" w:hAnsi="Arial" w:cs="Arial"/>
          <w:bCs/>
        </w:rPr>
        <w:t>. New Jersey: Prentice Hall.</w:t>
      </w:r>
    </w:p>
    <w:p w14:paraId="198156C1" w14:textId="77777777" w:rsidR="003A0A4A" w:rsidRPr="00BD468B" w:rsidRDefault="003A0A4A" w:rsidP="003A0A4A">
      <w:pPr>
        <w:pStyle w:val="ListParagraph"/>
        <w:numPr>
          <w:ilvl w:val="0"/>
          <w:numId w:val="2"/>
        </w:numPr>
        <w:jc w:val="both"/>
        <w:rPr>
          <w:rFonts w:ascii="Arial" w:hAnsi="Arial" w:cs="Arial"/>
          <w:bCs/>
        </w:rPr>
      </w:pPr>
      <w:r w:rsidRPr="00BD468B">
        <w:rPr>
          <w:rFonts w:ascii="Arial" w:hAnsi="Arial" w:cs="Arial"/>
          <w:bCs/>
        </w:rPr>
        <w:t xml:space="preserve">Mullins, L.J. (2016) </w:t>
      </w:r>
      <w:r w:rsidRPr="00BD468B">
        <w:rPr>
          <w:rFonts w:ascii="Arial" w:hAnsi="Arial" w:cs="Arial"/>
          <w:bCs/>
          <w:i/>
          <w:iCs/>
        </w:rPr>
        <w:t>Management and Organisational Behaviour</w:t>
      </w:r>
      <w:r w:rsidRPr="00BD468B">
        <w:rPr>
          <w:rFonts w:ascii="Arial" w:hAnsi="Arial" w:cs="Arial"/>
          <w:bCs/>
        </w:rPr>
        <w:t xml:space="preserve">. 11th </w:t>
      </w:r>
      <w:proofErr w:type="spellStart"/>
      <w:r w:rsidRPr="00BD468B">
        <w:rPr>
          <w:rFonts w:ascii="Arial" w:hAnsi="Arial" w:cs="Arial"/>
          <w:bCs/>
        </w:rPr>
        <w:t>edn</w:t>
      </w:r>
      <w:proofErr w:type="spellEnd"/>
      <w:r w:rsidRPr="00BD468B">
        <w:rPr>
          <w:rFonts w:ascii="Arial" w:hAnsi="Arial" w:cs="Arial"/>
          <w:bCs/>
        </w:rPr>
        <w:t>. Harlow: Pearson.</w:t>
      </w:r>
    </w:p>
    <w:p w14:paraId="11E9F8CB" w14:textId="77777777" w:rsidR="003A0A4A" w:rsidRPr="00BD468B" w:rsidRDefault="003A0A4A" w:rsidP="003A0A4A">
      <w:pPr>
        <w:pStyle w:val="ListParagraph"/>
        <w:numPr>
          <w:ilvl w:val="0"/>
          <w:numId w:val="2"/>
        </w:numPr>
        <w:jc w:val="both"/>
        <w:rPr>
          <w:rFonts w:ascii="Arial" w:hAnsi="Arial" w:cs="Arial"/>
          <w:bCs/>
        </w:rPr>
      </w:pPr>
      <w:r w:rsidRPr="00BD468B">
        <w:rPr>
          <w:rFonts w:ascii="Arial" w:hAnsi="Arial" w:cs="Arial"/>
          <w:bCs/>
        </w:rPr>
        <w:t xml:space="preserve">NHS England (2022) </w:t>
      </w:r>
      <w:r w:rsidRPr="00BD468B">
        <w:rPr>
          <w:rFonts w:ascii="Arial" w:hAnsi="Arial" w:cs="Arial"/>
          <w:bCs/>
          <w:i/>
          <w:iCs/>
        </w:rPr>
        <w:t>The NHS Leadership Competency Framework</w:t>
      </w:r>
      <w:r w:rsidRPr="00BD468B">
        <w:rPr>
          <w:rFonts w:ascii="Arial" w:hAnsi="Arial" w:cs="Arial"/>
          <w:bCs/>
        </w:rPr>
        <w:t>. London: NHS England.</w:t>
      </w:r>
    </w:p>
    <w:p w14:paraId="57FA2C95" w14:textId="77777777" w:rsidR="003A0A4A" w:rsidRPr="00BD468B" w:rsidRDefault="003A0A4A" w:rsidP="003A0A4A">
      <w:pPr>
        <w:pStyle w:val="ListParagraph"/>
        <w:numPr>
          <w:ilvl w:val="0"/>
          <w:numId w:val="2"/>
        </w:numPr>
        <w:jc w:val="both"/>
        <w:rPr>
          <w:rFonts w:ascii="Arial" w:hAnsi="Arial" w:cs="Arial"/>
          <w:bCs/>
        </w:rPr>
      </w:pPr>
      <w:r w:rsidRPr="00BD468B">
        <w:rPr>
          <w:rFonts w:ascii="Arial" w:hAnsi="Arial" w:cs="Arial"/>
          <w:bCs/>
        </w:rPr>
        <w:t xml:space="preserve">Northouse, P.G. (2022) </w:t>
      </w:r>
      <w:r w:rsidRPr="00BD468B">
        <w:rPr>
          <w:rFonts w:ascii="Arial" w:hAnsi="Arial" w:cs="Arial"/>
          <w:bCs/>
          <w:i/>
          <w:iCs/>
        </w:rPr>
        <w:t>Leadership: Theory and Practice</w:t>
      </w:r>
      <w:r w:rsidRPr="00BD468B">
        <w:rPr>
          <w:rFonts w:ascii="Arial" w:hAnsi="Arial" w:cs="Arial"/>
          <w:bCs/>
        </w:rPr>
        <w:t xml:space="preserve">. 9th </w:t>
      </w:r>
      <w:proofErr w:type="spellStart"/>
      <w:r w:rsidRPr="00BD468B">
        <w:rPr>
          <w:rFonts w:ascii="Arial" w:hAnsi="Arial" w:cs="Arial"/>
          <w:bCs/>
        </w:rPr>
        <w:t>edn</w:t>
      </w:r>
      <w:proofErr w:type="spellEnd"/>
      <w:r w:rsidRPr="00BD468B">
        <w:rPr>
          <w:rFonts w:ascii="Arial" w:hAnsi="Arial" w:cs="Arial"/>
          <w:bCs/>
        </w:rPr>
        <w:t>. Thousand Oaks: Sage Publications.</w:t>
      </w:r>
    </w:p>
    <w:p w14:paraId="338D29BF" w14:textId="77777777" w:rsidR="003A0A4A" w:rsidRPr="00BD468B" w:rsidRDefault="003A0A4A" w:rsidP="003A0A4A">
      <w:pPr>
        <w:pStyle w:val="ListParagraph"/>
        <w:numPr>
          <w:ilvl w:val="0"/>
          <w:numId w:val="2"/>
        </w:numPr>
        <w:jc w:val="both"/>
        <w:rPr>
          <w:rFonts w:ascii="Arial" w:hAnsi="Arial" w:cs="Arial"/>
          <w:bCs/>
        </w:rPr>
      </w:pPr>
      <w:r w:rsidRPr="00BD468B">
        <w:rPr>
          <w:rFonts w:ascii="Arial" w:hAnsi="Arial" w:cs="Arial"/>
          <w:bCs/>
        </w:rPr>
        <w:t xml:space="preserve">Pronovost, P.J. et al. (2005) ‘Implementing and validating a comprehensive unit-based safety program’, </w:t>
      </w:r>
      <w:r w:rsidRPr="00BD468B">
        <w:rPr>
          <w:rFonts w:ascii="Arial" w:hAnsi="Arial" w:cs="Arial"/>
          <w:bCs/>
          <w:i/>
          <w:iCs/>
        </w:rPr>
        <w:t>Joint Commission Journal on Quality and Patient Safety</w:t>
      </w:r>
      <w:r w:rsidRPr="00BD468B">
        <w:rPr>
          <w:rFonts w:ascii="Arial" w:hAnsi="Arial" w:cs="Arial"/>
          <w:bCs/>
        </w:rPr>
        <w:t>, 31(5), pp.243–252.</w:t>
      </w:r>
    </w:p>
    <w:p w14:paraId="49874127" w14:textId="77777777" w:rsidR="003A0A4A" w:rsidRPr="00BD468B" w:rsidRDefault="003A0A4A" w:rsidP="003A0A4A">
      <w:pPr>
        <w:pStyle w:val="ListParagraph"/>
        <w:numPr>
          <w:ilvl w:val="0"/>
          <w:numId w:val="2"/>
        </w:numPr>
        <w:jc w:val="both"/>
        <w:rPr>
          <w:rFonts w:ascii="Arial" w:hAnsi="Arial" w:cs="Arial"/>
          <w:bCs/>
        </w:rPr>
      </w:pPr>
      <w:r w:rsidRPr="00BD468B">
        <w:rPr>
          <w:rFonts w:ascii="Arial" w:hAnsi="Arial" w:cs="Arial"/>
          <w:bCs/>
        </w:rPr>
        <w:t xml:space="preserve">Reason, J. (2000) ‘Human error: Models and management’, </w:t>
      </w:r>
      <w:r w:rsidRPr="00BD468B">
        <w:rPr>
          <w:rFonts w:ascii="Arial" w:hAnsi="Arial" w:cs="Arial"/>
          <w:bCs/>
          <w:i/>
          <w:iCs/>
        </w:rPr>
        <w:t>BMJ</w:t>
      </w:r>
      <w:r w:rsidRPr="00BD468B">
        <w:rPr>
          <w:rFonts w:ascii="Arial" w:hAnsi="Arial" w:cs="Arial"/>
          <w:bCs/>
        </w:rPr>
        <w:t>, 320(7237), pp.768–770.</w:t>
      </w:r>
    </w:p>
    <w:p w14:paraId="64DB5AEB" w14:textId="77777777" w:rsidR="003A0A4A" w:rsidRPr="00BD468B" w:rsidRDefault="003A0A4A" w:rsidP="003A0A4A">
      <w:pPr>
        <w:pStyle w:val="ListParagraph"/>
        <w:numPr>
          <w:ilvl w:val="0"/>
          <w:numId w:val="2"/>
        </w:numPr>
        <w:jc w:val="both"/>
        <w:rPr>
          <w:rFonts w:ascii="Arial" w:hAnsi="Arial" w:cs="Arial"/>
          <w:bCs/>
        </w:rPr>
      </w:pPr>
      <w:r w:rsidRPr="00BD468B">
        <w:rPr>
          <w:rFonts w:ascii="Arial" w:hAnsi="Arial" w:cs="Arial"/>
          <w:bCs/>
        </w:rPr>
        <w:t xml:space="preserve">Senge, P., Hamilton, H. and Kania, J. (2015) ‘The dawn of system leadership’, </w:t>
      </w:r>
      <w:r w:rsidRPr="00BD468B">
        <w:rPr>
          <w:rFonts w:ascii="Arial" w:hAnsi="Arial" w:cs="Arial"/>
          <w:bCs/>
          <w:i/>
          <w:iCs/>
        </w:rPr>
        <w:t>Stanford Social Innovation Review</w:t>
      </w:r>
      <w:r w:rsidRPr="00BD468B">
        <w:rPr>
          <w:rFonts w:ascii="Arial" w:hAnsi="Arial" w:cs="Arial"/>
          <w:bCs/>
        </w:rPr>
        <w:t>, 13(1), pp.27–33.</w:t>
      </w:r>
    </w:p>
    <w:p w14:paraId="4E3BDCD6" w14:textId="77777777" w:rsidR="003A0A4A" w:rsidRPr="00BD468B" w:rsidRDefault="003A0A4A" w:rsidP="003A0A4A">
      <w:pPr>
        <w:pStyle w:val="ListParagraph"/>
        <w:numPr>
          <w:ilvl w:val="0"/>
          <w:numId w:val="2"/>
        </w:numPr>
        <w:jc w:val="both"/>
        <w:rPr>
          <w:rFonts w:ascii="Arial" w:hAnsi="Arial" w:cs="Arial"/>
          <w:bCs/>
        </w:rPr>
      </w:pPr>
      <w:r w:rsidRPr="00BD468B">
        <w:rPr>
          <w:rFonts w:ascii="Arial" w:hAnsi="Arial" w:cs="Arial"/>
          <w:bCs/>
        </w:rPr>
        <w:t xml:space="preserve">West, M., Eckert, R., Collins, B. and Chowla, R. (2015) </w:t>
      </w:r>
      <w:r w:rsidRPr="00BD468B">
        <w:rPr>
          <w:rFonts w:ascii="Arial" w:hAnsi="Arial" w:cs="Arial"/>
          <w:bCs/>
          <w:i/>
          <w:iCs/>
        </w:rPr>
        <w:t>Caring to Change: How Compassionate Leadership Can Stimulate Innovation in Health Care</w:t>
      </w:r>
      <w:r w:rsidRPr="00BD468B">
        <w:rPr>
          <w:rFonts w:ascii="Arial" w:hAnsi="Arial" w:cs="Arial"/>
          <w:bCs/>
        </w:rPr>
        <w:t>. London: The King’s Fund.</w:t>
      </w:r>
    </w:p>
    <w:p w14:paraId="6993D40F" w14:textId="77777777" w:rsidR="003A0A4A" w:rsidRPr="003A0A4A" w:rsidRDefault="003A0A4A" w:rsidP="003A0A4A">
      <w:pPr>
        <w:pStyle w:val="ListParagraph"/>
        <w:numPr>
          <w:ilvl w:val="0"/>
          <w:numId w:val="2"/>
        </w:numPr>
        <w:jc w:val="both"/>
        <w:rPr>
          <w:rFonts w:ascii="Arial" w:hAnsi="Arial" w:cs="Arial"/>
          <w:b/>
        </w:rPr>
      </w:pPr>
      <w:r w:rsidRPr="00BD468B">
        <w:rPr>
          <w:rFonts w:ascii="Arial" w:hAnsi="Arial" w:cs="Arial"/>
          <w:bCs/>
        </w:rPr>
        <w:t xml:space="preserve">World Health Organization (2021) </w:t>
      </w:r>
      <w:r w:rsidRPr="00BD468B">
        <w:rPr>
          <w:rFonts w:ascii="Arial" w:hAnsi="Arial" w:cs="Arial"/>
          <w:bCs/>
          <w:i/>
          <w:iCs/>
        </w:rPr>
        <w:t>Global Patient Safety Action Plan 2021–2030</w:t>
      </w:r>
      <w:r w:rsidRPr="00BD468B">
        <w:rPr>
          <w:rFonts w:ascii="Arial" w:hAnsi="Arial" w:cs="Arial"/>
          <w:bCs/>
        </w:rPr>
        <w:t>. Geneva: WHO.</w:t>
      </w:r>
    </w:p>
    <w:p w14:paraId="3C361726" w14:textId="77777777" w:rsidR="00BD468B" w:rsidRDefault="00BD468B" w:rsidP="00BD468B">
      <w:pPr>
        <w:pStyle w:val="pdq2pgselectionanchorcontainer"/>
        <w:numPr>
          <w:ilvl w:val="0"/>
          <w:numId w:val="2"/>
        </w:numPr>
      </w:pPr>
      <w:r>
        <w:t xml:space="preserve">Agency for Healthcare Research and Quality (AHRQ) (2016) </w:t>
      </w:r>
      <w:r>
        <w:rPr>
          <w:rStyle w:val="Emphasis"/>
        </w:rPr>
        <w:t>Josie King’s Story and the Josie King Foundation</w:t>
      </w:r>
      <w:r>
        <w:t xml:space="preserve">. Available at: </w:t>
      </w:r>
      <w:hyperlink r:id="rId11" w:tgtFrame="_new" w:history="1">
        <w:r>
          <w:rPr>
            <w:rStyle w:val="Hyperlink"/>
          </w:rPr>
          <w:t>https://www.psnet.ahrq.gov/perspective/josie-kings-story-and-josie-king-foundation</w:t>
        </w:r>
      </w:hyperlink>
    </w:p>
    <w:p w14:paraId="0222EE24" w14:textId="77777777" w:rsidR="00BD468B" w:rsidRDefault="00BD468B" w:rsidP="00BD468B">
      <w:pPr>
        <w:pStyle w:val="NormalWeb"/>
        <w:numPr>
          <w:ilvl w:val="0"/>
          <w:numId w:val="2"/>
        </w:numPr>
      </w:pPr>
      <w:r>
        <w:t xml:space="preserve">Edmondson, A.C. (2019) </w:t>
      </w:r>
      <w:r>
        <w:rPr>
          <w:rStyle w:val="Emphasis"/>
        </w:rPr>
        <w:t>The Fearless Organization: Creating Psychological Safety in the Workplace for Learning, Innovation, and Growth</w:t>
      </w:r>
      <w:r>
        <w:t>. Hoboken: Wiley.</w:t>
      </w:r>
    </w:p>
    <w:p w14:paraId="11168CAF" w14:textId="77777777" w:rsidR="00BD468B" w:rsidRDefault="00BD468B" w:rsidP="00BD468B">
      <w:pPr>
        <w:pStyle w:val="NormalWeb"/>
        <w:numPr>
          <w:ilvl w:val="0"/>
          <w:numId w:val="2"/>
        </w:numPr>
      </w:pPr>
      <w:r>
        <w:t xml:space="preserve">Institute for Healthcare Improvement (IHI) (2020) </w:t>
      </w:r>
      <w:r>
        <w:rPr>
          <w:rStyle w:val="Emphasis"/>
        </w:rPr>
        <w:t>Patient Safety Essentials Toolkit</w:t>
      </w:r>
      <w:r>
        <w:t>. Cambridge: IHI.</w:t>
      </w:r>
    </w:p>
    <w:p w14:paraId="291FD27F" w14:textId="77777777" w:rsidR="00BD468B" w:rsidRDefault="00BD468B" w:rsidP="00BD468B">
      <w:pPr>
        <w:pStyle w:val="NormalWeb"/>
        <w:numPr>
          <w:ilvl w:val="0"/>
          <w:numId w:val="2"/>
        </w:numPr>
      </w:pPr>
      <w:r>
        <w:t xml:space="preserve">NHS England (2022) </w:t>
      </w:r>
      <w:r>
        <w:rPr>
          <w:rStyle w:val="Emphasis"/>
        </w:rPr>
        <w:t>Patient Safety Strategy: Safer Culture, Safer Systems, Safer Patients</w:t>
      </w:r>
      <w:r>
        <w:t>. London: NHS England.</w:t>
      </w:r>
    </w:p>
    <w:p w14:paraId="44DB101A" w14:textId="77777777" w:rsidR="00BD468B" w:rsidRDefault="00BD468B" w:rsidP="00BD468B">
      <w:pPr>
        <w:pStyle w:val="NormalWeb"/>
        <w:numPr>
          <w:ilvl w:val="0"/>
          <w:numId w:val="2"/>
        </w:numPr>
      </w:pPr>
      <w:r>
        <w:t xml:space="preserve">Reason, J. (2000) ‘Human error: Models and management’, </w:t>
      </w:r>
      <w:r>
        <w:rPr>
          <w:rStyle w:val="Emphasis"/>
        </w:rPr>
        <w:t>BMJ</w:t>
      </w:r>
      <w:r>
        <w:t>, 320(7237), pp.768–770.</w:t>
      </w:r>
    </w:p>
    <w:p w14:paraId="2305979A" w14:textId="77777777" w:rsidR="00BD468B" w:rsidRDefault="00BD468B" w:rsidP="00BD468B">
      <w:pPr>
        <w:pStyle w:val="NormalWeb"/>
        <w:numPr>
          <w:ilvl w:val="0"/>
          <w:numId w:val="2"/>
        </w:numPr>
      </w:pPr>
      <w:r>
        <w:t xml:space="preserve">World Health Organization (WHO) (2019) </w:t>
      </w:r>
      <w:r>
        <w:rPr>
          <w:rStyle w:val="Emphasis"/>
        </w:rPr>
        <w:t>Medication Safety in High-risk Situations</w:t>
      </w:r>
      <w:r>
        <w:t>. Geneva: WHO.</w:t>
      </w:r>
    </w:p>
    <w:p w14:paraId="2895C6D7" w14:textId="77777777" w:rsidR="00BD468B" w:rsidRDefault="00BD468B" w:rsidP="00BD468B">
      <w:pPr>
        <w:pStyle w:val="NormalWeb"/>
        <w:numPr>
          <w:ilvl w:val="0"/>
          <w:numId w:val="2"/>
        </w:numPr>
      </w:pPr>
      <w:r>
        <w:t xml:space="preserve">World Health Organization (WHO) (2021) </w:t>
      </w:r>
      <w:r>
        <w:rPr>
          <w:rStyle w:val="Emphasis"/>
        </w:rPr>
        <w:t>Global Patient Safety Action Plan 2021–2030</w:t>
      </w:r>
      <w:r>
        <w:t>. Geneva: WHO.</w:t>
      </w:r>
    </w:p>
    <w:p w14:paraId="5BF62C00" w14:textId="77777777" w:rsidR="00CB4EC5" w:rsidRDefault="00CB4EC5" w:rsidP="00CB4EC5">
      <w:pPr>
        <w:pStyle w:val="pdq2pgselectionanchorcontainer"/>
        <w:numPr>
          <w:ilvl w:val="0"/>
          <w:numId w:val="2"/>
        </w:numPr>
      </w:pPr>
      <w:r>
        <w:t xml:space="preserve">Agency for Healthcare Research and Quality (AHRQ) (2016) </w:t>
      </w:r>
      <w:r>
        <w:rPr>
          <w:rStyle w:val="Emphasis"/>
        </w:rPr>
        <w:t>Josie King’s Story and the Josie King Foundation</w:t>
      </w:r>
      <w:r>
        <w:t xml:space="preserve">. Available at: </w:t>
      </w:r>
      <w:hyperlink r:id="rId12" w:tgtFrame="_new" w:history="1">
        <w:r>
          <w:rPr>
            <w:rStyle w:val="Hyperlink"/>
          </w:rPr>
          <w:t>https://www.psnet.ahrq.gov/perspective/josie-kings-story-and-josie-king-foundation</w:t>
        </w:r>
      </w:hyperlink>
    </w:p>
    <w:p w14:paraId="0E02DF0F" w14:textId="77777777" w:rsidR="00CB4EC5" w:rsidRDefault="00CB4EC5" w:rsidP="00CB4EC5">
      <w:pPr>
        <w:pStyle w:val="NormalWeb"/>
        <w:numPr>
          <w:ilvl w:val="0"/>
          <w:numId w:val="2"/>
        </w:numPr>
      </w:pPr>
      <w:r>
        <w:t xml:space="preserve">Bolden, R. (2011) ‘Distributed leadership in organisations: A review of theory and research’, </w:t>
      </w:r>
      <w:r>
        <w:rPr>
          <w:rStyle w:val="Emphasis"/>
        </w:rPr>
        <w:t>International Journal of Management Reviews</w:t>
      </w:r>
      <w:r>
        <w:t>, 13(3), pp.251–269.</w:t>
      </w:r>
    </w:p>
    <w:p w14:paraId="1F33FADF" w14:textId="77777777" w:rsidR="00CB4EC5" w:rsidRDefault="00CB4EC5" w:rsidP="00CB4EC5">
      <w:pPr>
        <w:pStyle w:val="NormalWeb"/>
        <w:numPr>
          <w:ilvl w:val="0"/>
          <w:numId w:val="2"/>
        </w:numPr>
      </w:pPr>
      <w:r>
        <w:t xml:space="preserve">Edmondson, A.C. (2019) </w:t>
      </w:r>
      <w:r>
        <w:rPr>
          <w:rStyle w:val="Emphasis"/>
        </w:rPr>
        <w:t>The Fearless Organization: Creating Psychological Safety in the Workplace for Learning, Innovation, and Growth</w:t>
      </w:r>
      <w:r>
        <w:t>. Hoboken: Wiley.</w:t>
      </w:r>
    </w:p>
    <w:p w14:paraId="282C0E3C" w14:textId="77777777" w:rsidR="00CB4EC5" w:rsidRDefault="00CB4EC5" w:rsidP="00CB4EC5">
      <w:pPr>
        <w:pStyle w:val="NormalWeb"/>
        <w:numPr>
          <w:ilvl w:val="0"/>
          <w:numId w:val="2"/>
        </w:numPr>
      </w:pPr>
      <w:r>
        <w:t xml:space="preserve">Mintzberg, H. (1983) </w:t>
      </w:r>
      <w:r>
        <w:rPr>
          <w:rStyle w:val="Emphasis"/>
        </w:rPr>
        <w:t>Structure in Fives: Designing Effective Organizations</w:t>
      </w:r>
      <w:r>
        <w:t>. New Jersey: Prentice Hall.</w:t>
      </w:r>
    </w:p>
    <w:p w14:paraId="3D2AE9BD" w14:textId="77777777" w:rsidR="00CB4EC5" w:rsidRDefault="00CB4EC5" w:rsidP="00CB4EC5">
      <w:pPr>
        <w:pStyle w:val="NormalWeb"/>
        <w:numPr>
          <w:ilvl w:val="0"/>
          <w:numId w:val="2"/>
        </w:numPr>
      </w:pPr>
      <w:r>
        <w:lastRenderedPageBreak/>
        <w:t xml:space="preserve">Mullins, L.J. (2016) </w:t>
      </w:r>
      <w:r>
        <w:rPr>
          <w:rStyle w:val="Emphasis"/>
        </w:rPr>
        <w:t>Management and Organisational Behaviour</w:t>
      </w:r>
      <w:r>
        <w:t xml:space="preserve">. 11th </w:t>
      </w:r>
      <w:proofErr w:type="spellStart"/>
      <w:r>
        <w:t>edn</w:t>
      </w:r>
      <w:proofErr w:type="spellEnd"/>
      <w:r>
        <w:t>. Harlow: Pearson.</w:t>
      </w:r>
    </w:p>
    <w:p w14:paraId="3255DE9D" w14:textId="77777777" w:rsidR="00CB4EC5" w:rsidRDefault="00CB4EC5" w:rsidP="00CB4EC5">
      <w:pPr>
        <w:pStyle w:val="NormalWeb"/>
        <w:numPr>
          <w:ilvl w:val="0"/>
          <w:numId w:val="2"/>
        </w:numPr>
      </w:pPr>
      <w:r>
        <w:t xml:space="preserve">West, M., Eckert, R., Collins, B. and Chowla, R. (2015) </w:t>
      </w:r>
      <w:r>
        <w:rPr>
          <w:rStyle w:val="Emphasis"/>
        </w:rPr>
        <w:t>Caring to Change: How Compassionate Leadership Can Stimulate Innovation in Health Care</w:t>
      </w:r>
      <w:r>
        <w:t>. London: The King’s Fund.</w:t>
      </w:r>
    </w:p>
    <w:p w14:paraId="2349F68B" w14:textId="77777777" w:rsidR="00CB4EC5" w:rsidRDefault="00CB4EC5" w:rsidP="00CB4EC5">
      <w:pPr>
        <w:pStyle w:val="NormalWeb"/>
        <w:numPr>
          <w:ilvl w:val="0"/>
          <w:numId w:val="2"/>
        </w:numPr>
      </w:pPr>
      <w:r>
        <w:t xml:space="preserve">World Health Organization (WHO) (2021) </w:t>
      </w:r>
      <w:r>
        <w:rPr>
          <w:rStyle w:val="Emphasis"/>
        </w:rPr>
        <w:t>Global Patient Safety Action Plan 2021–2030</w:t>
      </w:r>
      <w:r>
        <w:t>. Geneva: WHO.</w:t>
      </w:r>
    </w:p>
    <w:p w14:paraId="20073BD1" w14:textId="77777777" w:rsidR="00B04711" w:rsidRDefault="00B04711" w:rsidP="00B04711">
      <w:pPr>
        <w:pStyle w:val="pdq2pgselectionanchorcontainer"/>
        <w:numPr>
          <w:ilvl w:val="0"/>
          <w:numId w:val="2"/>
        </w:numPr>
      </w:pPr>
      <w:r>
        <w:t xml:space="preserve">AHRQ (2016) </w:t>
      </w:r>
      <w:r>
        <w:rPr>
          <w:rStyle w:val="Emphasis"/>
        </w:rPr>
        <w:t>Josie King’s Story and the Josie King Foundation</w:t>
      </w:r>
      <w:r>
        <w:t xml:space="preserve">. Agency for Healthcare Research and Quality. Available at: </w:t>
      </w:r>
      <w:hyperlink r:id="rId13" w:tgtFrame="_new" w:history="1">
        <w:r>
          <w:rPr>
            <w:rStyle w:val="Hyperlink"/>
          </w:rPr>
          <w:t>https://www.psnet.ahrq.gov/perspective/josie-kings-story-and-josie-king-foundation</w:t>
        </w:r>
      </w:hyperlink>
      <w:r>
        <w:t xml:space="preserve"> (Accessed: 27 July 2026).</w:t>
      </w:r>
    </w:p>
    <w:p w14:paraId="508E9751" w14:textId="77777777" w:rsidR="00B04711" w:rsidRDefault="00B04711" w:rsidP="00B04711">
      <w:pPr>
        <w:pStyle w:val="NormalWeb"/>
        <w:numPr>
          <w:ilvl w:val="0"/>
          <w:numId w:val="2"/>
        </w:numPr>
      </w:pPr>
      <w:r>
        <w:t xml:space="preserve">Bass, B.M. (1985) </w:t>
      </w:r>
      <w:r>
        <w:rPr>
          <w:rStyle w:val="Emphasis"/>
        </w:rPr>
        <w:t>Leadership and Performance Beyond Expectations</w:t>
      </w:r>
      <w:r>
        <w:t>. New York: Free Press.</w:t>
      </w:r>
    </w:p>
    <w:p w14:paraId="094FE8D4" w14:textId="77777777" w:rsidR="00B04711" w:rsidRDefault="00B04711" w:rsidP="00B04711">
      <w:pPr>
        <w:pStyle w:val="NormalWeb"/>
        <w:numPr>
          <w:ilvl w:val="0"/>
          <w:numId w:val="2"/>
        </w:numPr>
      </w:pPr>
      <w:r>
        <w:t xml:space="preserve">Edmondson, A.C. (2019) </w:t>
      </w:r>
      <w:r>
        <w:rPr>
          <w:rStyle w:val="Emphasis"/>
        </w:rPr>
        <w:t>The Fearless Organization: Creating Psychological Safety in the Workplace for Learning, Innovation, and Growth</w:t>
      </w:r>
      <w:r>
        <w:t>. Hoboken: Wiley.</w:t>
      </w:r>
    </w:p>
    <w:p w14:paraId="59A3BDCB" w14:textId="77777777" w:rsidR="00B04711" w:rsidRDefault="00B04711" w:rsidP="00B04711">
      <w:pPr>
        <w:pStyle w:val="NormalWeb"/>
        <w:numPr>
          <w:ilvl w:val="0"/>
          <w:numId w:val="2"/>
        </w:numPr>
      </w:pPr>
      <w:r>
        <w:t xml:space="preserve">NHS Leadership Academy (2013) </w:t>
      </w:r>
      <w:r>
        <w:rPr>
          <w:rStyle w:val="Emphasis"/>
        </w:rPr>
        <w:t>Healthcare Leadership Model: The Nine Dimensions of Leadership Behaviour</w:t>
      </w:r>
      <w:r>
        <w:t>. Leeds: NHS Leadership Academy.</w:t>
      </w:r>
    </w:p>
    <w:p w14:paraId="79B4F819" w14:textId="77777777" w:rsidR="00B04711" w:rsidRDefault="00B04711" w:rsidP="00B04711">
      <w:pPr>
        <w:pStyle w:val="NormalWeb"/>
        <w:numPr>
          <w:ilvl w:val="0"/>
          <w:numId w:val="2"/>
        </w:numPr>
      </w:pPr>
      <w:r>
        <w:t xml:space="preserve">Reason, J. (2000) ‘Human error: models and management’, </w:t>
      </w:r>
      <w:r>
        <w:rPr>
          <w:rStyle w:val="Emphasis"/>
        </w:rPr>
        <w:t>BMJ</w:t>
      </w:r>
      <w:r>
        <w:t>, 320(7237), pp.768–770.</w:t>
      </w:r>
    </w:p>
    <w:p w14:paraId="2E9ED1BE" w14:textId="77777777" w:rsidR="00B04711" w:rsidRDefault="00B04711" w:rsidP="00B04711">
      <w:pPr>
        <w:pStyle w:val="NormalWeb"/>
        <w:numPr>
          <w:ilvl w:val="0"/>
          <w:numId w:val="2"/>
        </w:numPr>
      </w:pPr>
      <w:r>
        <w:t xml:space="preserve">Senge, P.M. (2006) </w:t>
      </w:r>
      <w:r>
        <w:rPr>
          <w:rStyle w:val="Emphasis"/>
        </w:rPr>
        <w:t>The Fifth Discipline: The Art and Practice of the Learning Organization</w:t>
      </w:r>
      <w:r>
        <w:t>. London: Random House.</w:t>
      </w:r>
    </w:p>
    <w:p w14:paraId="0B02C900" w14:textId="77777777" w:rsidR="0015639B" w:rsidRDefault="0015639B" w:rsidP="0015639B">
      <w:pPr>
        <w:pStyle w:val="pdq2pgselectionanchorcontainer"/>
        <w:numPr>
          <w:ilvl w:val="0"/>
          <w:numId w:val="2"/>
        </w:numPr>
      </w:pPr>
      <w:r>
        <w:t xml:space="preserve">AHRQ (2016) </w:t>
      </w:r>
      <w:r>
        <w:rPr>
          <w:rStyle w:val="Emphasis"/>
        </w:rPr>
        <w:t>Josie King’s Story and the Josie King Foundation</w:t>
      </w:r>
      <w:r>
        <w:t xml:space="preserve">. Agency for Healthcare Research and Quality. Available at: </w:t>
      </w:r>
      <w:hyperlink r:id="rId14" w:tgtFrame="_new" w:history="1">
        <w:r>
          <w:rPr>
            <w:rStyle w:val="Hyperlink"/>
          </w:rPr>
          <w:t>https://www.psnet.ahrq.gov/perspective/josie-kings-story-and-josie-king-foundation</w:t>
        </w:r>
      </w:hyperlink>
      <w:r>
        <w:t xml:space="preserve"> (Accessed: 27 July 2026).</w:t>
      </w:r>
    </w:p>
    <w:p w14:paraId="04E5BC73" w14:textId="77777777" w:rsidR="0015639B" w:rsidRDefault="0015639B" w:rsidP="0015639B">
      <w:pPr>
        <w:pStyle w:val="NormalWeb"/>
        <w:numPr>
          <w:ilvl w:val="0"/>
          <w:numId w:val="2"/>
        </w:numPr>
      </w:pPr>
      <w:r>
        <w:t xml:space="preserve">Bass, B.M. (1985) </w:t>
      </w:r>
      <w:r>
        <w:rPr>
          <w:rStyle w:val="Emphasis"/>
        </w:rPr>
        <w:t>Leadership and Performance Beyond Expectations</w:t>
      </w:r>
      <w:r>
        <w:t>. New York: Free Press.</w:t>
      </w:r>
    </w:p>
    <w:p w14:paraId="7C7B4B22" w14:textId="77777777" w:rsidR="0015639B" w:rsidRDefault="0015639B" w:rsidP="0015639B">
      <w:pPr>
        <w:pStyle w:val="NormalWeb"/>
        <w:numPr>
          <w:ilvl w:val="0"/>
          <w:numId w:val="2"/>
        </w:numPr>
      </w:pPr>
      <w:r>
        <w:t xml:space="preserve">Bolden, R. (2011) ‘Distributed leadership in organisations: A review of theory and research’, </w:t>
      </w:r>
      <w:r>
        <w:rPr>
          <w:rStyle w:val="Emphasis"/>
        </w:rPr>
        <w:t>International Journal of Management Reviews</w:t>
      </w:r>
      <w:r>
        <w:t>, 13(3), pp.251–269.</w:t>
      </w:r>
    </w:p>
    <w:p w14:paraId="20FE62DF" w14:textId="77777777" w:rsidR="0015639B" w:rsidRDefault="0015639B" w:rsidP="0015639B">
      <w:pPr>
        <w:pStyle w:val="NormalWeb"/>
        <w:numPr>
          <w:ilvl w:val="0"/>
          <w:numId w:val="2"/>
        </w:numPr>
      </w:pPr>
      <w:r>
        <w:t xml:space="preserve">Edmondson, A.C. (2019) </w:t>
      </w:r>
      <w:r>
        <w:rPr>
          <w:rStyle w:val="Emphasis"/>
        </w:rPr>
        <w:t>The Fearless Organization: Creating Psychological Safety in the Workplace for Learning, Innovation, and Growth</w:t>
      </w:r>
      <w:r>
        <w:t>. Hoboken: Wiley.</w:t>
      </w:r>
    </w:p>
    <w:p w14:paraId="5A23C0E1" w14:textId="77777777" w:rsidR="0015639B" w:rsidRDefault="0015639B" w:rsidP="0015639B">
      <w:pPr>
        <w:pStyle w:val="NormalWeb"/>
        <w:numPr>
          <w:ilvl w:val="0"/>
          <w:numId w:val="2"/>
        </w:numPr>
      </w:pPr>
      <w:r>
        <w:t xml:space="preserve">Fiedler, F.E. (1967) </w:t>
      </w:r>
      <w:r>
        <w:rPr>
          <w:rStyle w:val="Emphasis"/>
        </w:rPr>
        <w:t>A Theory of Leadership Effectiveness</w:t>
      </w:r>
      <w:r>
        <w:t>. New York: McGraw-Hill.</w:t>
      </w:r>
    </w:p>
    <w:p w14:paraId="28AB5699" w14:textId="77777777" w:rsidR="0015639B" w:rsidRDefault="0015639B" w:rsidP="0015639B">
      <w:pPr>
        <w:pStyle w:val="NormalWeb"/>
        <w:numPr>
          <w:ilvl w:val="0"/>
          <w:numId w:val="2"/>
        </w:numPr>
      </w:pPr>
      <w:r>
        <w:t xml:space="preserve">Hersey, P. and Blanchard, K.H. (1969) ‘Life cycle theory of leadership’, </w:t>
      </w:r>
      <w:r>
        <w:rPr>
          <w:rStyle w:val="Emphasis"/>
        </w:rPr>
        <w:t>Training and Development Journal</w:t>
      </w:r>
      <w:r>
        <w:t>, 23(5), pp.26–34.</w:t>
      </w:r>
    </w:p>
    <w:p w14:paraId="502603C6" w14:textId="77777777" w:rsidR="0015639B" w:rsidRDefault="0015639B" w:rsidP="0015639B">
      <w:pPr>
        <w:pStyle w:val="NormalWeb"/>
        <w:numPr>
          <w:ilvl w:val="0"/>
          <w:numId w:val="2"/>
        </w:numPr>
      </w:pPr>
      <w:r>
        <w:t xml:space="preserve">Mintzberg, H. (1983) </w:t>
      </w:r>
      <w:r>
        <w:rPr>
          <w:rStyle w:val="Emphasis"/>
        </w:rPr>
        <w:t>Structure in Fives: Designing Effective Organizations</w:t>
      </w:r>
      <w:r>
        <w:t>. Englewood Cliffs: Prentice Hall.</w:t>
      </w:r>
    </w:p>
    <w:p w14:paraId="5D6B94C0" w14:textId="77777777" w:rsidR="0015639B" w:rsidRDefault="0015639B" w:rsidP="0015639B">
      <w:pPr>
        <w:pStyle w:val="NormalWeb"/>
        <w:numPr>
          <w:ilvl w:val="0"/>
          <w:numId w:val="2"/>
        </w:numPr>
      </w:pPr>
      <w:r>
        <w:t xml:space="preserve">Mullins, L.J. (2016) </w:t>
      </w:r>
      <w:r>
        <w:rPr>
          <w:rStyle w:val="Emphasis"/>
        </w:rPr>
        <w:t>Management and Organisational Behaviour</w:t>
      </w:r>
      <w:r>
        <w:t xml:space="preserve">. 11th </w:t>
      </w:r>
      <w:proofErr w:type="spellStart"/>
      <w:r>
        <w:t>edn</w:t>
      </w:r>
      <w:proofErr w:type="spellEnd"/>
      <w:r>
        <w:t>. Harlow: Pearson.</w:t>
      </w:r>
    </w:p>
    <w:p w14:paraId="03367115" w14:textId="77777777" w:rsidR="0015639B" w:rsidRDefault="0015639B" w:rsidP="0015639B">
      <w:pPr>
        <w:pStyle w:val="NormalWeb"/>
        <w:numPr>
          <w:ilvl w:val="0"/>
          <w:numId w:val="2"/>
        </w:numPr>
      </w:pPr>
      <w:r>
        <w:t xml:space="preserve">Reason, J. (2000) ‘Human error: models and management’, </w:t>
      </w:r>
      <w:r>
        <w:rPr>
          <w:rStyle w:val="Emphasis"/>
        </w:rPr>
        <w:t>BMJ</w:t>
      </w:r>
      <w:r>
        <w:t>, 320(7237), pp.768–770.</w:t>
      </w:r>
    </w:p>
    <w:p w14:paraId="5A9CD23F" w14:textId="77777777" w:rsidR="0015639B" w:rsidRDefault="0015639B" w:rsidP="0015639B">
      <w:pPr>
        <w:pStyle w:val="NormalWeb"/>
        <w:numPr>
          <w:ilvl w:val="0"/>
          <w:numId w:val="2"/>
        </w:numPr>
      </w:pPr>
      <w:r>
        <w:t xml:space="preserve">Senge, P.M. (2006) </w:t>
      </w:r>
      <w:r>
        <w:rPr>
          <w:rStyle w:val="Emphasis"/>
        </w:rPr>
        <w:t>The Fifth Discipline: The Art and Practice of the Learning Organization</w:t>
      </w:r>
      <w:r>
        <w:t>. London: Random House.</w:t>
      </w:r>
    </w:p>
    <w:p w14:paraId="4BAFDB95" w14:textId="4DF13862" w:rsidR="006E2D23" w:rsidRDefault="006E2D23" w:rsidP="0015639B">
      <w:pPr>
        <w:pStyle w:val="NormalWeb"/>
        <w:numPr>
          <w:ilvl w:val="0"/>
          <w:numId w:val="2"/>
        </w:numPr>
      </w:pPr>
      <w:r w:rsidRPr="006E2D23">
        <w:t xml:space="preserve">NHS England (2022) </w:t>
      </w:r>
      <w:r w:rsidRPr="006E2D23">
        <w:rPr>
          <w:i/>
          <w:iCs/>
        </w:rPr>
        <w:t>Patient Safety Incident Response Framework</w:t>
      </w:r>
      <w:r w:rsidRPr="006E2D23">
        <w:t>. London: NHS England.</w:t>
      </w:r>
    </w:p>
    <w:p w14:paraId="37B70CEA" w14:textId="5EE8F789" w:rsidR="006E2D23" w:rsidRDefault="006E2D23" w:rsidP="0015639B">
      <w:pPr>
        <w:pStyle w:val="NormalWeb"/>
        <w:numPr>
          <w:ilvl w:val="0"/>
          <w:numId w:val="2"/>
        </w:numPr>
      </w:pPr>
      <w:r w:rsidRPr="006E2D23">
        <w:t xml:space="preserve">Goleman, D. (1998) </w:t>
      </w:r>
      <w:r w:rsidRPr="006E2D23">
        <w:rPr>
          <w:i/>
          <w:iCs/>
        </w:rPr>
        <w:t>Working with Emotional Intelligence</w:t>
      </w:r>
      <w:r w:rsidRPr="006E2D23">
        <w:t>. New York: Bantam Books.</w:t>
      </w:r>
    </w:p>
    <w:p w14:paraId="5656A521" w14:textId="77777777" w:rsidR="003A0A4A" w:rsidRPr="003A0A4A" w:rsidRDefault="003A0A4A" w:rsidP="00D53752">
      <w:pPr>
        <w:pStyle w:val="ListParagraph"/>
        <w:jc w:val="both"/>
        <w:rPr>
          <w:rFonts w:ascii="Arial" w:hAnsi="Arial" w:cs="Arial"/>
          <w:b/>
        </w:rPr>
      </w:pPr>
    </w:p>
    <w:sectPr w:rsidR="003A0A4A" w:rsidRPr="003A0A4A">
      <w:footerReference w:type="default" r:id="rId15"/>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9A9C92" w14:textId="77777777" w:rsidR="005F7F04" w:rsidRDefault="005F7F04">
      <w:pPr>
        <w:spacing w:after="0" w:line="240" w:lineRule="auto"/>
      </w:pPr>
      <w:r>
        <w:separator/>
      </w:r>
    </w:p>
  </w:endnote>
  <w:endnote w:type="continuationSeparator" w:id="0">
    <w:p w14:paraId="27EDC5F8" w14:textId="77777777" w:rsidR="005F7F04" w:rsidRDefault="005F7F0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2449790"/>
      <w:docPartObj>
        <w:docPartGallery w:val="Page Numbers (Bottom of Page)"/>
        <w:docPartUnique/>
      </w:docPartObj>
    </w:sdtPr>
    <w:sdtContent>
      <w:p w14:paraId="6B7DEF83" w14:textId="7D8489F8" w:rsidR="00F64606" w:rsidRDefault="00F64606">
        <w:pPr>
          <w:pStyle w:val="Footer"/>
          <w:jc w:val="right"/>
        </w:pPr>
        <w:r>
          <w:fldChar w:fldCharType="begin"/>
        </w:r>
        <w:r>
          <w:instrText>PAGE   \* MERGEFORMAT</w:instrText>
        </w:r>
        <w:r>
          <w:fldChar w:fldCharType="separate"/>
        </w:r>
        <w:r>
          <w:t>2</w:t>
        </w:r>
        <w:r>
          <w:fldChar w:fldCharType="end"/>
        </w:r>
      </w:p>
    </w:sdtContent>
  </w:sdt>
  <w:p w14:paraId="03CE9C28" w14:textId="77777777" w:rsidR="00F64606" w:rsidRDefault="00F646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BDCD46F" w14:textId="77777777" w:rsidR="005F7F04" w:rsidRDefault="005F7F04">
      <w:pPr>
        <w:spacing w:after="0" w:line="240" w:lineRule="auto"/>
      </w:pPr>
      <w:r>
        <w:rPr>
          <w:color w:val="000000"/>
        </w:rPr>
        <w:separator/>
      </w:r>
    </w:p>
  </w:footnote>
  <w:footnote w:type="continuationSeparator" w:id="0">
    <w:p w14:paraId="57713B73" w14:textId="77777777" w:rsidR="005F7F04" w:rsidRDefault="005F7F0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D70786"/>
    <w:multiLevelType w:val="hybridMultilevel"/>
    <w:tmpl w:val="B95ECD0A"/>
    <w:lvl w:ilvl="0" w:tplc="AFBC4846">
      <w:start w:val="1"/>
      <w:numFmt w:val="bullet"/>
      <w:lvlText w:val="•"/>
      <w:lvlJc w:val="left"/>
      <w:pPr>
        <w:ind w:left="720" w:hanging="360"/>
      </w:pPr>
    </w:lvl>
    <w:lvl w:ilvl="1" w:tplc="27648778">
      <w:numFmt w:val="decimal"/>
      <w:lvlText w:val=""/>
      <w:lvlJc w:val="left"/>
      <w:pPr>
        <w:ind w:left="0" w:firstLine="0"/>
      </w:pPr>
    </w:lvl>
    <w:lvl w:ilvl="2" w:tplc="8004B0CC">
      <w:numFmt w:val="decimal"/>
      <w:lvlText w:val=""/>
      <w:lvlJc w:val="left"/>
      <w:pPr>
        <w:ind w:left="0" w:firstLine="0"/>
      </w:pPr>
    </w:lvl>
    <w:lvl w:ilvl="3" w:tplc="FD26252A">
      <w:numFmt w:val="decimal"/>
      <w:lvlText w:val=""/>
      <w:lvlJc w:val="left"/>
      <w:pPr>
        <w:ind w:left="0" w:firstLine="0"/>
      </w:pPr>
    </w:lvl>
    <w:lvl w:ilvl="4" w:tplc="24F8B690">
      <w:numFmt w:val="decimal"/>
      <w:lvlText w:val=""/>
      <w:lvlJc w:val="left"/>
      <w:pPr>
        <w:ind w:left="0" w:firstLine="0"/>
      </w:pPr>
    </w:lvl>
    <w:lvl w:ilvl="5" w:tplc="2B52774E">
      <w:numFmt w:val="decimal"/>
      <w:lvlText w:val=""/>
      <w:lvlJc w:val="left"/>
      <w:pPr>
        <w:ind w:left="0" w:firstLine="0"/>
      </w:pPr>
    </w:lvl>
    <w:lvl w:ilvl="6" w:tplc="572457FE">
      <w:numFmt w:val="decimal"/>
      <w:lvlText w:val=""/>
      <w:lvlJc w:val="left"/>
      <w:pPr>
        <w:ind w:left="0" w:firstLine="0"/>
      </w:pPr>
    </w:lvl>
    <w:lvl w:ilvl="7" w:tplc="1034EA0C">
      <w:numFmt w:val="decimal"/>
      <w:lvlText w:val=""/>
      <w:lvlJc w:val="left"/>
      <w:pPr>
        <w:ind w:left="0" w:firstLine="0"/>
      </w:pPr>
    </w:lvl>
    <w:lvl w:ilvl="8" w:tplc="726AA8C4">
      <w:numFmt w:val="decimal"/>
      <w:lvlText w:val=""/>
      <w:lvlJc w:val="left"/>
      <w:pPr>
        <w:ind w:left="0" w:firstLine="0"/>
      </w:pPr>
    </w:lvl>
  </w:abstractNum>
  <w:abstractNum w:abstractNumId="1" w15:restartNumberingAfterBreak="0">
    <w:nsid w:val="42126407"/>
    <w:multiLevelType w:val="hybridMultilevel"/>
    <w:tmpl w:val="7D58FD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72081134">
    <w:abstractNumId w:val="0"/>
    <w:lvlOverride w:ilvl="0"/>
    <w:lvlOverride w:ilvl="1"/>
    <w:lvlOverride w:ilvl="2"/>
    <w:lvlOverride w:ilvl="3"/>
    <w:lvlOverride w:ilvl="4"/>
    <w:lvlOverride w:ilvl="5"/>
    <w:lvlOverride w:ilvl="6"/>
    <w:lvlOverride w:ilvl="7"/>
    <w:lvlOverride w:ilvl="8"/>
  </w:num>
  <w:num w:numId="2" w16cid:durableId="8824483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E77BC"/>
    <w:rsid w:val="000C12F4"/>
    <w:rsid w:val="001030D3"/>
    <w:rsid w:val="0015639B"/>
    <w:rsid w:val="00163AAC"/>
    <w:rsid w:val="001A6D0F"/>
    <w:rsid w:val="001E7FAE"/>
    <w:rsid w:val="00231908"/>
    <w:rsid w:val="003A0A4A"/>
    <w:rsid w:val="005D4C61"/>
    <w:rsid w:val="005F7F04"/>
    <w:rsid w:val="00633885"/>
    <w:rsid w:val="006E2D23"/>
    <w:rsid w:val="006F7AD5"/>
    <w:rsid w:val="007B0D9A"/>
    <w:rsid w:val="00885023"/>
    <w:rsid w:val="008A2FF5"/>
    <w:rsid w:val="008E4DF8"/>
    <w:rsid w:val="0096402E"/>
    <w:rsid w:val="009E77BC"/>
    <w:rsid w:val="00AA0CAF"/>
    <w:rsid w:val="00B04711"/>
    <w:rsid w:val="00B5686C"/>
    <w:rsid w:val="00BB6C96"/>
    <w:rsid w:val="00BD468B"/>
    <w:rsid w:val="00BD6A07"/>
    <w:rsid w:val="00CB4EC5"/>
    <w:rsid w:val="00D53752"/>
    <w:rsid w:val="00DC1172"/>
    <w:rsid w:val="00F64606"/>
    <w:rsid w:val="00FB5261"/>
    <w:rsid w:val="00FB61D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482110"/>
  <w15:docId w15:val="{885A4FC7-F4F8-490C-9738-F453DDFAA2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Times New Roman"/>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paragraph" w:styleId="Heading1">
    <w:name w:val="heading 1"/>
    <w:basedOn w:val="Normal"/>
    <w:next w:val="Normal"/>
    <w:uiPriority w:val="9"/>
    <w:qFormat/>
    <w:pPr>
      <w:keepNext/>
      <w:keepLines/>
      <w:spacing w:before="360" w:after="80"/>
      <w:outlineLvl w:val="0"/>
    </w:pPr>
    <w:rPr>
      <w:rFonts w:ascii="Aptos Display" w:eastAsia="Times New Roman" w:hAnsi="Aptos Display"/>
      <w:color w:val="0F4761"/>
      <w:sz w:val="40"/>
      <w:szCs w:val="40"/>
    </w:rPr>
  </w:style>
  <w:style w:type="paragraph" w:styleId="Heading2">
    <w:name w:val="heading 2"/>
    <w:basedOn w:val="Normal"/>
    <w:next w:val="Normal"/>
    <w:uiPriority w:val="9"/>
    <w:unhideWhenUsed/>
    <w:qFormat/>
    <w:pPr>
      <w:keepNext/>
      <w:keepLines/>
      <w:spacing w:before="160" w:after="80"/>
      <w:outlineLvl w:val="1"/>
    </w:pPr>
    <w:rPr>
      <w:rFonts w:ascii="Aptos Display" w:eastAsia="Times New Roman" w:hAnsi="Aptos Display"/>
      <w:color w:val="0F4761"/>
      <w:sz w:val="32"/>
      <w:szCs w:val="32"/>
    </w:rPr>
  </w:style>
  <w:style w:type="paragraph" w:styleId="Heading3">
    <w:name w:val="heading 3"/>
    <w:basedOn w:val="Normal"/>
    <w:next w:val="Normal"/>
    <w:uiPriority w:val="9"/>
    <w:semiHidden/>
    <w:unhideWhenUsed/>
    <w:qFormat/>
    <w:pPr>
      <w:keepNext/>
      <w:keepLines/>
      <w:spacing w:before="160" w:after="80"/>
      <w:outlineLvl w:val="2"/>
    </w:pPr>
    <w:rPr>
      <w:rFonts w:eastAsia="Times New Roman"/>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rFonts w:eastAsia="Times New Roman"/>
      <w:i/>
      <w:iCs/>
      <w:color w:val="0F4761"/>
    </w:rPr>
  </w:style>
  <w:style w:type="paragraph" w:styleId="Heading5">
    <w:name w:val="heading 5"/>
    <w:basedOn w:val="Normal"/>
    <w:next w:val="Normal"/>
    <w:uiPriority w:val="9"/>
    <w:semiHidden/>
    <w:unhideWhenUsed/>
    <w:qFormat/>
    <w:pPr>
      <w:keepNext/>
      <w:keepLines/>
      <w:spacing w:before="80" w:after="40"/>
      <w:outlineLvl w:val="4"/>
    </w:pPr>
    <w:rPr>
      <w:rFonts w:eastAsia="Times New Roman"/>
      <w:color w:val="0F4761"/>
    </w:rPr>
  </w:style>
  <w:style w:type="paragraph" w:styleId="Heading6">
    <w:name w:val="heading 6"/>
    <w:basedOn w:val="Normal"/>
    <w:next w:val="Normal"/>
    <w:uiPriority w:val="9"/>
    <w:semiHidden/>
    <w:unhideWhenUsed/>
    <w:qFormat/>
    <w:pPr>
      <w:keepNext/>
      <w:keepLines/>
      <w:spacing w:before="40" w:after="0"/>
      <w:outlineLvl w:val="5"/>
    </w:pPr>
    <w:rPr>
      <w:rFonts w:eastAsia="Times New Roman"/>
      <w:i/>
      <w:iCs/>
      <w:color w:val="595959"/>
    </w:rPr>
  </w:style>
  <w:style w:type="paragraph" w:styleId="Heading7">
    <w:name w:val="heading 7"/>
    <w:basedOn w:val="Normal"/>
    <w:next w:val="Normal"/>
    <w:pPr>
      <w:keepNext/>
      <w:keepLines/>
      <w:spacing w:before="40" w:after="0"/>
      <w:outlineLvl w:val="6"/>
    </w:pPr>
    <w:rPr>
      <w:rFonts w:eastAsia="Times New Roman"/>
      <w:color w:val="595959"/>
    </w:rPr>
  </w:style>
  <w:style w:type="paragraph" w:styleId="Heading8">
    <w:name w:val="heading 8"/>
    <w:basedOn w:val="Normal"/>
    <w:next w:val="Normal"/>
    <w:pPr>
      <w:keepNext/>
      <w:keepLines/>
      <w:spacing w:after="0"/>
      <w:outlineLvl w:val="7"/>
    </w:pPr>
    <w:rPr>
      <w:rFonts w:eastAsia="Times New Roman"/>
      <w:i/>
      <w:iCs/>
      <w:color w:val="272727"/>
    </w:rPr>
  </w:style>
  <w:style w:type="paragraph" w:styleId="Heading9">
    <w:name w:val="heading 9"/>
    <w:basedOn w:val="Normal"/>
    <w:next w:val="Normal"/>
    <w:pPr>
      <w:keepNext/>
      <w:keepLines/>
      <w:spacing w:after="0"/>
      <w:outlineLvl w:val="8"/>
    </w:pPr>
    <w:rPr>
      <w:rFonts w:eastAsia="Times New Roman"/>
      <w:color w:val="2727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rPr>
      <w:rFonts w:ascii="Aptos Display" w:eastAsia="Times New Roman" w:hAnsi="Aptos Display" w:cs="Times New Roman"/>
      <w:color w:val="0F4761"/>
      <w:sz w:val="40"/>
      <w:szCs w:val="40"/>
    </w:rPr>
  </w:style>
  <w:style w:type="character" w:customStyle="1" w:styleId="Heading2Char">
    <w:name w:val="Heading 2 Char"/>
    <w:basedOn w:val="DefaultParagraphFont"/>
    <w:rPr>
      <w:rFonts w:ascii="Aptos Display" w:eastAsia="Times New Roman" w:hAnsi="Aptos Display" w:cs="Times New Roman"/>
      <w:color w:val="0F4761"/>
      <w:sz w:val="32"/>
      <w:szCs w:val="32"/>
    </w:rPr>
  </w:style>
  <w:style w:type="character" w:customStyle="1" w:styleId="Heading3Char">
    <w:name w:val="Heading 3 Char"/>
    <w:basedOn w:val="DefaultParagraphFont"/>
    <w:rPr>
      <w:rFonts w:eastAsia="Times New Roman" w:cs="Times New Roman"/>
      <w:color w:val="0F4761"/>
      <w:sz w:val="28"/>
      <w:szCs w:val="28"/>
    </w:rPr>
  </w:style>
  <w:style w:type="character" w:customStyle="1" w:styleId="Heading4Char">
    <w:name w:val="Heading 4 Char"/>
    <w:basedOn w:val="DefaultParagraphFont"/>
    <w:rPr>
      <w:rFonts w:eastAsia="Times New Roman" w:cs="Times New Roman"/>
      <w:i/>
      <w:iCs/>
      <w:color w:val="0F4761"/>
    </w:rPr>
  </w:style>
  <w:style w:type="character" w:customStyle="1" w:styleId="Heading5Char">
    <w:name w:val="Heading 5 Char"/>
    <w:basedOn w:val="DefaultParagraphFont"/>
    <w:rPr>
      <w:rFonts w:eastAsia="Times New Roman" w:cs="Times New Roman"/>
      <w:color w:val="0F4761"/>
    </w:rPr>
  </w:style>
  <w:style w:type="character" w:customStyle="1" w:styleId="Heading6Char">
    <w:name w:val="Heading 6 Char"/>
    <w:basedOn w:val="DefaultParagraphFont"/>
    <w:rPr>
      <w:rFonts w:eastAsia="Times New Roman" w:cs="Times New Roman"/>
      <w:i/>
      <w:iCs/>
      <w:color w:val="595959"/>
    </w:rPr>
  </w:style>
  <w:style w:type="character" w:customStyle="1" w:styleId="Heading7Char">
    <w:name w:val="Heading 7 Char"/>
    <w:basedOn w:val="DefaultParagraphFont"/>
    <w:rPr>
      <w:rFonts w:eastAsia="Times New Roman" w:cs="Times New Roman"/>
      <w:color w:val="595959"/>
    </w:rPr>
  </w:style>
  <w:style w:type="character" w:customStyle="1" w:styleId="Heading8Char">
    <w:name w:val="Heading 8 Char"/>
    <w:basedOn w:val="DefaultParagraphFont"/>
    <w:rPr>
      <w:rFonts w:eastAsia="Times New Roman" w:cs="Times New Roman"/>
      <w:i/>
      <w:iCs/>
      <w:color w:val="272727"/>
    </w:rPr>
  </w:style>
  <w:style w:type="character" w:customStyle="1" w:styleId="Heading9Char">
    <w:name w:val="Heading 9 Char"/>
    <w:basedOn w:val="DefaultParagraphFont"/>
    <w:rPr>
      <w:rFonts w:eastAsia="Times New Roman" w:cs="Times New Roman"/>
      <w:color w:val="272727"/>
    </w:rPr>
  </w:style>
  <w:style w:type="paragraph" w:styleId="Title">
    <w:name w:val="Title"/>
    <w:basedOn w:val="Normal"/>
    <w:next w:val="Normal"/>
    <w:uiPriority w:val="10"/>
    <w:qFormat/>
    <w:pPr>
      <w:spacing w:after="80" w:line="240" w:lineRule="auto"/>
      <w:contextualSpacing/>
    </w:pPr>
    <w:rPr>
      <w:rFonts w:ascii="Aptos Display" w:eastAsia="Times New Roman" w:hAnsi="Aptos Display"/>
      <w:spacing w:val="-10"/>
      <w:kern w:val="3"/>
      <w:sz w:val="56"/>
      <w:szCs w:val="56"/>
    </w:rPr>
  </w:style>
  <w:style w:type="character" w:customStyle="1" w:styleId="TitleChar">
    <w:name w:val="Title Char"/>
    <w:basedOn w:val="DefaultParagraphFont"/>
    <w:rPr>
      <w:rFonts w:ascii="Aptos Display" w:eastAsia="Times New Roman" w:hAnsi="Aptos Display" w:cs="Times New Roman"/>
      <w:spacing w:val="-10"/>
      <w:kern w:val="3"/>
      <w:sz w:val="56"/>
      <w:szCs w:val="56"/>
    </w:rPr>
  </w:style>
  <w:style w:type="paragraph" w:styleId="Subtitle">
    <w:name w:val="Subtitle"/>
    <w:basedOn w:val="Normal"/>
    <w:next w:val="Normal"/>
    <w:uiPriority w:val="11"/>
    <w:qFormat/>
    <w:rPr>
      <w:rFonts w:eastAsia="Times New Roman"/>
      <w:color w:val="595959"/>
      <w:spacing w:val="15"/>
      <w:sz w:val="28"/>
      <w:szCs w:val="28"/>
    </w:rPr>
  </w:style>
  <w:style w:type="character" w:customStyle="1" w:styleId="SubtitleChar">
    <w:name w:val="Subtitle Char"/>
    <w:basedOn w:val="DefaultParagraphFont"/>
    <w:rPr>
      <w:rFonts w:eastAsia="Times New Roman" w:cs="Times New Roman"/>
      <w:color w:val="595959"/>
      <w:spacing w:val="15"/>
      <w:sz w:val="28"/>
      <w:szCs w:val="28"/>
    </w:rPr>
  </w:style>
  <w:style w:type="paragraph" w:styleId="Quote">
    <w:name w:val="Quote"/>
    <w:basedOn w:val="Normal"/>
    <w:next w:val="Normal"/>
    <w:pPr>
      <w:spacing w:before="160"/>
      <w:jc w:val="center"/>
    </w:pPr>
    <w:rPr>
      <w:i/>
      <w:iCs/>
      <w:color w:val="404040"/>
    </w:rPr>
  </w:style>
  <w:style w:type="character" w:customStyle="1" w:styleId="QuoteChar">
    <w:name w:val="Quote Char"/>
    <w:basedOn w:val="DefaultParagraphFont"/>
    <w:rPr>
      <w:i/>
      <w:iCs/>
      <w:color w:val="404040"/>
    </w:rPr>
  </w:style>
  <w:style w:type="paragraph" w:styleId="ListParagraph">
    <w:name w:val="List Paragraph"/>
    <w:basedOn w:val="Normal"/>
    <w:pPr>
      <w:ind w:left="720"/>
      <w:contextualSpacing/>
    </w:pPr>
  </w:style>
  <w:style w:type="character" w:styleId="IntenseEmphasis">
    <w:name w:val="Intense Emphasis"/>
    <w:basedOn w:val="DefaultParagraphFont"/>
    <w:rPr>
      <w:i/>
      <w:iCs/>
      <w:color w:val="0F4761"/>
    </w:rPr>
  </w:style>
  <w:style w:type="paragraph" w:styleId="IntenseQuote">
    <w:name w:val="Intense Quote"/>
    <w:basedOn w:val="Normal"/>
    <w:next w:val="Normal"/>
    <w:pPr>
      <w:pBdr>
        <w:top w:val="single" w:sz="4" w:space="10" w:color="0F4761"/>
        <w:bottom w:val="single" w:sz="4" w:space="10" w:color="0F4761"/>
      </w:pBdr>
      <w:spacing w:before="360" w:after="360"/>
      <w:ind w:left="864" w:right="864"/>
      <w:jc w:val="center"/>
    </w:pPr>
    <w:rPr>
      <w:i/>
      <w:iCs/>
      <w:color w:val="0F4761"/>
    </w:rPr>
  </w:style>
  <w:style w:type="character" w:customStyle="1" w:styleId="IntenseQuoteChar">
    <w:name w:val="Intense Quote Char"/>
    <w:basedOn w:val="DefaultParagraphFont"/>
    <w:rPr>
      <w:i/>
      <w:iCs/>
      <w:color w:val="0F4761"/>
    </w:rPr>
  </w:style>
  <w:style w:type="character" w:styleId="IntenseReference">
    <w:name w:val="Intense Reference"/>
    <w:basedOn w:val="DefaultParagraphFont"/>
    <w:rPr>
      <w:b/>
      <w:bCs/>
      <w:smallCaps/>
      <w:color w:val="0F4761"/>
      <w:spacing w:val="5"/>
    </w:rPr>
  </w:style>
  <w:style w:type="character" w:styleId="Hyperlink">
    <w:name w:val="Hyperlink"/>
    <w:basedOn w:val="DefaultParagraphFont"/>
    <w:uiPriority w:val="99"/>
    <w:unhideWhenUsed/>
    <w:rsid w:val="00B5686C"/>
    <w:rPr>
      <w:color w:val="467886" w:themeColor="hyperlink"/>
      <w:u w:val="single"/>
    </w:rPr>
  </w:style>
  <w:style w:type="character" w:styleId="UnresolvedMention">
    <w:name w:val="Unresolved Mention"/>
    <w:basedOn w:val="DefaultParagraphFont"/>
    <w:uiPriority w:val="99"/>
    <w:semiHidden/>
    <w:unhideWhenUsed/>
    <w:rsid w:val="00B5686C"/>
    <w:rPr>
      <w:color w:val="605E5C"/>
      <w:shd w:val="clear" w:color="auto" w:fill="E1DFDD"/>
    </w:rPr>
  </w:style>
  <w:style w:type="table" w:styleId="TableGrid">
    <w:name w:val="Table Grid"/>
    <w:basedOn w:val="TableNormal"/>
    <w:uiPriority w:val="39"/>
    <w:rsid w:val="00BD468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dq2pgselectionanchorcontainer">
    <w:name w:val="pdq2pg_selectionanchorcontainer"/>
    <w:basedOn w:val="Normal"/>
    <w:rsid w:val="00BD468B"/>
    <w:pPr>
      <w:suppressAutoHyphens w:val="0"/>
      <w:autoSpaceDN/>
      <w:spacing w:before="100" w:beforeAutospacing="1" w:after="100" w:afterAutospacing="1" w:line="240" w:lineRule="auto"/>
    </w:pPr>
    <w:rPr>
      <w:rFonts w:ascii="Times New Roman" w:eastAsia="Times New Roman" w:hAnsi="Times New Roman"/>
      <w:sz w:val="24"/>
      <w:szCs w:val="24"/>
      <w:lang w:eastAsia="en-GB"/>
    </w:rPr>
  </w:style>
  <w:style w:type="character" w:styleId="Emphasis">
    <w:name w:val="Emphasis"/>
    <w:basedOn w:val="DefaultParagraphFont"/>
    <w:uiPriority w:val="20"/>
    <w:qFormat/>
    <w:rsid w:val="00BD468B"/>
    <w:rPr>
      <w:i/>
      <w:iCs/>
    </w:rPr>
  </w:style>
  <w:style w:type="paragraph" w:styleId="NormalWeb">
    <w:name w:val="Normal (Web)"/>
    <w:basedOn w:val="Normal"/>
    <w:uiPriority w:val="99"/>
    <w:semiHidden/>
    <w:unhideWhenUsed/>
    <w:rsid w:val="00BD468B"/>
    <w:pPr>
      <w:suppressAutoHyphens w:val="0"/>
      <w:autoSpaceDN/>
      <w:spacing w:before="100" w:beforeAutospacing="1" w:after="100" w:afterAutospacing="1" w:line="240" w:lineRule="auto"/>
    </w:pPr>
    <w:rPr>
      <w:rFonts w:ascii="Times New Roman" w:eastAsia="Times New Roman" w:hAnsi="Times New Roman"/>
      <w:sz w:val="24"/>
      <w:szCs w:val="24"/>
      <w:lang w:eastAsia="en-GB"/>
    </w:rPr>
  </w:style>
  <w:style w:type="paragraph" w:styleId="Header">
    <w:name w:val="header"/>
    <w:basedOn w:val="Normal"/>
    <w:link w:val="HeaderChar"/>
    <w:uiPriority w:val="99"/>
    <w:unhideWhenUsed/>
    <w:rsid w:val="00F64606"/>
    <w:pPr>
      <w:tabs>
        <w:tab w:val="center" w:pos="4513"/>
        <w:tab w:val="right" w:pos="9026"/>
      </w:tabs>
      <w:spacing w:after="0" w:line="240" w:lineRule="auto"/>
    </w:pPr>
  </w:style>
  <w:style w:type="character" w:customStyle="1" w:styleId="HeaderChar">
    <w:name w:val="Header Char"/>
    <w:basedOn w:val="DefaultParagraphFont"/>
    <w:link w:val="Header"/>
    <w:uiPriority w:val="99"/>
    <w:rsid w:val="00F64606"/>
  </w:style>
  <w:style w:type="paragraph" w:styleId="Footer">
    <w:name w:val="footer"/>
    <w:basedOn w:val="Normal"/>
    <w:link w:val="FooterChar"/>
    <w:uiPriority w:val="99"/>
    <w:unhideWhenUsed/>
    <w:rsid w:val="00F64606"/>
    <w:pPr>
      <w:tabs>
        <w:tab w:val="center" w:pos="4513"/>
        <w:tab w:val="right" w:pos="9026"/>
      </w:tabs>
      <w:spacing w:after="0" w:line="240" w:lineRule="auto"/>
    </w:pPr>
  </w:style>
  <w:style w:type="character" w:customStyle="1" w:styleId="FooterChar">
    <w:name w:val="Footer Char"/>
    <w:basedOn w:val="DefaultParagraphFont"/>
    <w:link w:val="Footer"/>
    <w:uiPriority w:val="99"/>
    <w:rsid w:val="00F64606"/>
  </w:style>
  <w:style w:type="table" w:styleId="PlainTable3">
    <w:name w:val="Plain Table 3"/>
    <w:basedOn w:val="TableNormal"/>
    <w:uiPriority w:val="43"/>
    <w:rsid w:val="00231908"/>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231908"/>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1">
    <w:name w:val="Plain Table 1"/>
    <w:basedOn w:val="TableNormal"/>
    <w:uiPriority w:val="41"/>
    <w:rsid w:val="0023190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psnet.ahrq.gov/perspective/josie-kings-story-and-josie-king-foundatio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psnet.ahrq.gov/perspective/josie-kings-story-and-josie-king-foundation"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psnet.ahrq.gov/perspective/josie-kings-story-and-josie-king-foundation"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2.jpeg"/><Relationship Id="rId4" Type="http://schemas.openxmlformats.org/officeDocument/2006/relationships/settings" Target="settings.xml"/><Relationship Id="rId9" Type="http://schemas.openxmlformats.org/officeDocument/2006/relationships/hyperlink" Target="https://www.psnet.ahrq.gov/perspective/josie-kings-story-and-josie-king-foundation" TargetMode="External"/><Relationship Id="rId14" Type="http://schemas.openxmlformats.org/officeDocument/2006/relationships/hyperlink" Target="https://www.psnet.ahrq.gov/perspective/josie-kings-story-and-josie-king-found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F7877E4-4D61-4705-8080-BA94B77AFE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TotalTime>
  <Pages>20</Pages>
  <Words>7676</Words>
  <Characters>43755</Characters>
  <Application>Microsoft Office Word</Application>
  <DocSecurity>0</DocSecurity>
  <Lines>364</Lines>
  <Paragraphs>102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51329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Vaishnavi Ranmalbhai Odedra (2541605)</dc:creator>
  <cp:keywords/>
  <dc:description/>
  <cp:lastModifiedBy>Vaishnavi Ranmalbhai Odedra (2541605)</cp:lastModifiedBy>
  <cp:revision>10</cp:revision>
  <dcterms:created xsi:type="dcterms:W3CDTF">2026-07-27T10:43:00Z</dcterms:created>
  <dcterms:modified xsi:type="dcterms:W3CDTF">2026-07-27T11:56:00Z</dcterms:modified>
</cp:coreProperties>
</file>