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following reflective exercise seeks to assess my practical counselling abilities using a 20-minute video recording of a mock counselling session. It will also emphasise the advantages and disadvantages of my helpful talents, notably in my capacity to develop relationship depth and relate them to evidence-based theory to provide further insight. Aside from that, verbatim commentary from the recording will be used and debated extensively as part of the reflection process; the</w:t>
      </w:r>
      <w:r w:rsidDel="00000000" w:rsidR="00000000" w:rsidRPr="00000000">
        <w:rPr>
          <w:rFonts w:ascii="Times New Roman" w:cs="Times New Roman" w:eastAsia="Times New Roman" w:hAnsi="Times New Roman"/>
          <w:sz w:val="24"/>
          <w:szCs w:val="24"/>
          <w:rtl w:val="0"/>
        </w:rPr>
        <w:t xml:space="preserve"> reflection commentary will follow Gibbs. (1988) reflection process.</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a Microsoft Teams meeting on the 29th of November at 1 p.m., where I served as the counsellor and my colleague, Daryl, served as the client, a counselling session took place. Our Lecturer, Beverly, observed the practice session and recorded it, following which she sent a copy of the recording to the practice session participants. The recorded session is a continuation of the ongoing discourse that we had been having at the time of recording. Daryl wanted to talk about the challenges he was experiencing at home due to the death of his father-in-law and how this had affected his relationship with his wife and children.</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Daryl and I had previously discussed the difficulties he was experiencing due to a family bereavement.</w:t>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Feelings</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first concerned that there might have been a technical problem at any moment during our counselling session and that I would have to cease and repeat the session. This initially influenced not being present with the client during discussions; however, this diminished as the session went. Also, this was the first time that our session had been recorded, with the lecturer listening in and observing my abilities; this made me feel a little apprehensive at first, but as the session progressed, the feeling faded away.</w:t>
      </w:r>
    </w:p>
    <w:p w:rsidR="00000000" w:rsidDel="00000000" w:rsidP="00000000" w:rsidRDefault="00000000" w:rsidRPr="00000000" w14:paraId="0000000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our session progressed, I found myself thinking about Daryl's emotions and making connections between them and my own. I could relate to him because my family had recently experienced the death of a close family member. During this stage, I became conscious of the need to be empathetic rather than sympathetic because being sympathetic would have been detrimental to the client's interests. Empathy, according to Rogers (1957), is defined as "walking in someone else's shoes," and it is usually referred to as a "frame of reference." While the client’s plight temporarily moved me, I found myself straying slightly out of his frame of reference.</w:t>
      </w:r>
    </w:p>
    <w:p w:rsidR="00000000" w:rsidDel="00000000" w:rsidP="00000000" w:rsidRDefault="00000000" w:rsidRPr="00000000" w14:paraId="0000000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our experiences were so similar, I thought I would be taking an advice-giving and solution-focused approach rather than a person-centred one. I was relieved when Daryl failed to notice and continued to dissect his storey without pausing to consider it. In the context of client service, "deconstruction" refers to minimising the number of difficulties a client is facing, making it easier to comprehend the "full picture" (Payne, 2006).</w:t>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w:t>
      </w:r>
    </w:p>
    <w:p w:rsidR="00000000" w:rsidDel="00000000" w:rsidP="00000000" w:rsidRDefault="00000000" w:rsidRPr="00000000" w14:paraId="0000000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therapy session had a natural flow and was not forced; this had the advantage of not building obstacles and allowing for the application of theory without interruption. It was necessary to employ open-ended inquiries to investigate and corroborate Daryl's feelings. Open questions, when handled properly, aided in the development of a trusting connection in which I felt comfortable exploring what was going on in his life (Cepeda and Davenport, 2006). At 04.55, I requested Daryl to explain more about overthinking, which he did. When people begin person-centred treatment, they are in a condition of incongruence, which means a misalignment between their perception of themselves and the reality they experience. To provide person-centred therapy, patients need to have an accurate self-concept (the thoughts, feelings, and ideas about themselves) (Patterson and Joseph, 2007).</w:t>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my weak areas within the counselling session, I recognised that at 15.38, I used the words 'I suppose' several times during the session with Daryl. This gave Daryl the impression that I either did not have a point of view or did not understand what he was talking about (Sanders, 2021). It is possible that my internal conversation was critical and could have been construed as judgmental from Daryl's point of view. During the session, I was conscious of following all of the guidelines to ensure the psychological well-being of Daryl. This was somewhat overwhelming, as I was trying to ensure that my replies to Daryl were following and in line with the multiple guidelines, including: APA, BPS, BACP AND UWTSD. This was further exasperated by the fact that I was being observed, so I was even more conscious about getting it right. This might have resulted in an uncertain response regarding the therapeutic relationship, including power imbalance, patient vulnerability, transference and countertransference reactions, among other factors (Ward &amp; Knudson-Martin, 2012).</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 questioned my skill, technique, and courage in committing to a straightforward response to the question in the heat of the moment. For example, at 03.35, Daryl stated that he was worried about the family’s thoughts; this would have been a good time to interject; however, I did not. </w:t>
      </w:r>
      <w:r w:rsidDel="00000000" w:rsidR="00000000" w:rsidRPr="00000000">
        <w:rPr>
          <w:rFonts w:ascii="Times New Roman" w:cs="Times New Roman" w:eastAsia="Times New Roman" w:hAnsi="Times New Roman"/>
          <w:sz w:val="24"/>
          <w:szCs w:val="24"/>
          <w:rtl w:val="0"/>
        </w:rPr>
        <w:t xml:space="preserve">This emphasises the need for in-the-moment clinical judgement and therapy decision-making in the clinical setting. While ethical norms and codes of conduct can aid in the prevention of unethical activity, therapists will inevitably make mistakes from time to time while they are under the stress of the situation. As a result, errors may indicate a misunderstanding of ethical issues or technical procedures (Robinson et al., 2020). I was experiencing a brief moment of understanding ethical decisions regarding ethical choices based on online counselling (Cuijpers, 2006). There was some concern from myself if there were additional ethical issues when online counselling (Dyer, 2021); this is an area I had not researched before. All the best practice theory I had learnt was based on face to face counselling.</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They may also be the outcome of a hasty decision taken without adequate time for deliberation, which was the case with me. </w:t>
      </w:r>
      <w:r w:rsidDel="00000000" w:rsidR="00000000" w:rsidRPr="00000000">
        <w:rPr>
          <w:rFonts w:ascii="Times New Roman" w:cs="Times New Roman" w:eastAsia="Times New Roman" w:hAnsi="Times New Roman"/>
          <w:sz w:val="24"/>
          <w:szCs w:val="24"/>
          <w:highlight w:val="white"/>
          <w:rtl w:val="0"/>
        </w:rPr>
        <w:t xml:space="preserve">In research from </w:t>
      </w:r>
      <w:r w:rsidDel="00000000" w:rsidR="00000000" w:rsidRPr="00000000">
        <w:rPr>
          <w:rFonts w:ascii="Times New Roman" w:cs="Times New Roman" w:eastAsia="Times New Roman" w:hAnsi="Times New Roman"/>
          <w:sz w:val="24"/>
          <w:szCs w:val="24"/>
          <w:rtl w:val="0"/>
        </w:rPr>
        <w:t xml:space="preserve">Dyer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(2021), </w:t>
      </w:r>
      <w:r w:rsidDel="00000000" w:rsidR="00000000" w:rsidRPr="00000000">
        <w:rPr>
          <w:rFonts w:ascii="Times New Roman" w:cs="Times New Roman" w:eastAsia="Times New Roman" w:hAnsi="Times New Roman"/>
          <w:sz w:val="24"/>
          <w:szCs w:val="24"/>
          <w:rtl w:val="0"/>
        </w:rPr>
        <w:t xml:space="preserve">moral norms and codes of conduct can help distinguish between ethical and unethical practices in clinical practice and online practice. However, they cannot account for every conceivable scenario or the unique circumstances in every therapeutic interaction. Clinical judgement and decision-making are required in several grey areas in clinical practice, which increases the likelihood of treatment errors occurring. Rather than reflecting a perception of unethical or inept behaviour, they may be an unavoidable aspect of the therapeutic experience.</w:t>
      </w: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on this thought process, it would have been appropriate to tell Daryl that I did not have an answer; however, I could find out by the next session. </w:t>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Analysis</w:t>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empathy and trust became a framework that Daryl and I had achieved throughout our session by adopting a non-directive approach. Daryl was the expert when it came to his discomfort, and I was the non-expert who relied on Daryl's previous experiences to guide my actions. As the counsellor, I ignored making any suggestions since I was confident that Daryl could actualise the appropriate course of action in time. As an alternative, I summarised and validated what my client was telling me to get the whole scope of the matter. The first time I heard Daryl say he was overthinking was at 04:55, and the second time I heard him say it was at 09:19, I urged him to tell me more about his plan, and the third time I heard him say it was at 15.58. I rephrased his remark that he was future planning. Because of this, Daryl decided to create an "internal locus of control" where he could make independent judgments based on his own experiences. For example, at 09.15, Daryl declares his strategy; at 14.43, Daryl says he is preparing for the future, and at 06.31, Daryl specifies the unachievable issues. All of this contributed to the development of relational depth by allowing me to comprehend better the client's environment and the underlying concerns surrounding Daryl's world.</w:t>
      </w:r>
    </w:p>
    <w:p w:rsidR="00000000" w:rsidDel="00000000" w:rsidP="00000000" w:rsidRDefault="00000000" w:rsidRPr="00000000" w14:paraId="0000001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continuity of therapy sessions underscores the need for an excellent therapeutic alliance.  Daryl and I  experienced technical difficulties with our session from time to time, which caused our session to be interrupted for around one minute. </w:t>
      </w:r>
      <w:r w:rsidDel="00000000" w:rsidR="00000000" w:rsidRPr="00000000">
        <w:rPr>
          <w:rFonts w:ascii="Times New Roman" w:cs="Times New Roman" w:eastAsia="Times New Roman" w:hAnsi="Times New Roman"/>
          <w:sz w:val="24"/>
          <w:szCs w:val="24"/>
          <w:rtl w:val="0"/>
        </w:rPr>
        <w:t xml:space="preserve">Other concerns can arise, such as a phone noise or even someone falling asleep in front of you. Such events are classified as rapture moments or rupture repair events; in most cases, ruptures occur between the client and the therapist, with each party contributing to the event's development. Repairs are similar in that they require action on the part of both the client and the therapist to continue therapy with a positive outcome (Gardner et al., 2019). </w:t>
      </w:r>
      <w:r w:rsidDel="00000000" w:rsidR="00000000" w:rsidRPr="00000000">
        <w:rPr>
          <w:rFonts w:ascii="Times New Roman" w:cs="Times New Roman" w:eastAsia="Times New Roman" w:hAnsi="Times New Roman"/>
          <w:sz w:val="24"/>
          <w:szCs w:val="24"/>
          <w:rtl w:val="0"/>
        </w:rPr>
        <w:t xml:space="preserve">Before my therapy session with Daryl, I had not heard of this notion before my therapy session, and I would have benefited from learning more about it in preparation. Following a rupture event, according to a recent study (Eubanks and colleagues, 2018), the healing process continues as the therapist and client explore the ideas, feelings, and behaviours that surfaced during the event.</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For example, at 18.15, when there was a technology issue, there was a missed opportunity to discuss what had happened. When both participants get new knowledge of the tasks and goals of treatment and their contributions to the therapeutic partnership, a resolution is achieved. The findings of Eubanks et al. (2018)'s research indicate that clients who have experienced rupture-repair had better outcomes than clients who have maintained a strong alliance throughout treatment. Developingcreating trust, increased empathy, and unconditional positive regard after experiencing and resolving a disagreement with the therapist contributes to developing a more potent therapeutic relationship.</w:t>
      </w:r>
    </w:p>
    <w:p w:rsidR="00000000" w:rsidDel="00000000" w:rsidP="00000000" w:rsidRDefault="00000000" w:rsidRPr="00000000" w14:paraId="0000001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1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this experience, I gained more self-confidence and realised that it is okay to make errors to learn for future self-development. When I think back on Daryl's loss, I realise that we could have spent more time talking about how he had previously dealt with a stressful situation and discussing some coping strategies that had worked for him in the past—for example, talking about his feelings with a friend or talking about other support systems that he has in place. Rogers (1957) emphasised that to achieve the fundamental principles of person-centred therapy, it is preferable to be non-directive. I had no plan to direct the conversation with Daryl at any time in the content of the process, and I had no intention of doing so. Daryl was the expert throughout the session, and I did not attempt to convey my knowledge of the client's needs or preferences. This resulted in a high level of trust, empathy, and unconditional positive regard, achieving favourable respect between us. More experience, on the other hand, will demonstrate confidence and daring in terms of improving vocabulary, diction, and conversation continuity. Additionally, a journal for reflective practice and supervision discussions to aid with blind spots in my feelings and emotions will be helpful tools for me to utilise going forward.</w:t>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advance my knowledge and comprehension, I would like to understand better the rupture and repair model (Muran et al., 2021) and how to apply it in therapy. Muran et al. (2021) discuss how these paths can be viewed as essential transformative processes that might transform difficulties in therapy into possibilities in the context of beneficial outcome treatment. If a rapture event occurs, I will be able to use these new talents in future sessions, resulting in a more favourable outcome for the client and my growth as a counsellor.</w:t>
      </w:r>
    </w:p>
    <w:p w:rsidR="00000000" w:rsidDel="00000000" w:rsidP="00000000" w:rsidRDefault="00000000" w:rsidRPr="00000000" w14:paraId="0000001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 plan</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like to talk about rupture and repair theory with my lecturer and how it works in practice the next time we have a chance to talk about it together. In addition, I would like to participate in a practice session with a colleague in class, where I could apply this theory and receive feedback to help me better grasp how it works in real life. In light of the current Covid 19 restrictions, I expect more counselling sessions to be performed online, which would be advantageous to myself and my clients in the event of technological difficulties, background noise, or any other interruptions.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Cepeda, L. M., &amp; Davenport, D. S. (2006). Person-centred therapy and solution-focused brief therapy: An integration of present and future awareness. </w:t>
      </w:r>
      <w:r w:rsidDel="00000000" w:rsidR="00000000" w:rsidRPr="00000000">
        <w:rPr>
          <w:rFonts w:ascii="Times New Roman" w:cs="Times New Roman" w:eastAsia="Times New Roman" w:hAnsi="Times New Roman"/>
          <w:i w:val="1"/>
          <w:sz w:val="24"/>
          <w:szCs w:val="24"/>
          <w:rtl w:val="0"/>
        </w:rPr>
        <w:t xml:space="preserve">Psychotherapy: Theory, Research, Practice, Training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43</w:t>
      </w:r>
      <w:r w:rsidDel="00000000" w:rsidR="00000000" w:rsidRPr="00000000">
        <w:rPr>
          <w:rFonts w:ascii="Times New Roman" w:cs="Times New Roman" w:eastAsia="Times New Roman" w:hAnsi="Times New Roman"/>
          <w:sz w:val="24"/>
          <w:szCs w:val="24"/>
          <w:rtl w:val="0"/>
        </w:rPr>
        <w:t xml:space="preserve">(1), 1–12. </w:t>
      </w:r>
      <w:hyperlink r:id="rId6">
        <w:r w:rsidDel="00000000" w:rsidR="00000000" w:rsidRPr="00000000">
          <w:rPr>
            <w:rFonts w:ascii="Times New Roman" w:cs="Times New Roman" w:eastAsia="Times New Roman" w:hAnsi="Times New Roman"/>
            <w:color w:val="1155cc"/>
            <w:sz w:val="24"/>
            <w:szCs w:val="24"/>
            <w:u w:val="single"/>
            <w:rtl w:val="0"/>
          </w:rPr>
          <w:t xml:space="preserve">https://doi.org/10.1037/0033-3204.43.1.1</w:t>
        </w:r>
      </w:hyperlink>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Cuijpers, P. (2006). Ron Kraus, Jason Zack &amp; George Stricker (2003). Online counselling. A handbook for mental health professionals. Amsterdam: Elsevier. 278 pp., € 49,95. </w:t>
      </w:r>
      <w:r w:rsidDel="00000000" w:rsidR="00000000" w:rsidRPr="00000000">
        <w:rPr>
          <w:rFonts w:ascii="Times New Roman" w:cs="Times New Roman" w:eastAsia="Times New Roman" w:hAnsi="Times New Roman"/>
          <w:i w:val="1"/>
          <w:sz w:val="24"/>
          <w:szCs w:val="24"/>
          <w:rtl w:val="0"/>
        </w:rPr>
        <w:t xml:space="preserve">Tijdschrift Voor Psychotherapie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32</w:t>
      </w:r>
      <w:r w:rsidDel="00000000" w:rsidR="00000000" w:rsidRPr="00000000">
        <w:rPr>
          <w:rFonts w:ascii="Times New Roman" w:cs="Times New Roman" w:eastAsia="Times New Roman" w:hAnsi="Times New Roman"/>
          <w:sz w:val="24"/>
          <w:szCs w:val="24"/>
          <w:rtl w:val="0"/>
        </w:rPr>
        <w:t xml:space="preserve">(5), 228–229. https://doi.org/10.1007/bf03062234</w:t>
      </w:r>
    </w:p>
    <w:p w:rsidR="00000000" w:rsidDel="00000000" w:rsidP="00000000" w:rsidRDefault="00000000" w:rsidRPr="00000000" w14:paraId="00000025">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Dyer, C. (2021). Covid 19: How to feel safe working on the front line—your legal and ethical questions answered. </w:t>
      </w:r>
      <w:r w:rsidDel="00000000" w:rsidR="00000000" w:rsidRPr="00000000">
        <w:rPr>
          <w:rFonts w:ascii="Times New Roman" w:cs="Times New Roman" w:eastAsia="Times New Roman" w:hAnsi="Times New Roman"/>
          <w:i w:val="1"/>
          <w:sz w:val="24"/>
          <w:szCs w:val="24"/>
          <w:rtl w:val="0"/>
        </w:rPr>
        <w:t xml:space="preserve">BMJ</w:t>
      </w:r>
      <w:r w:rsidDel="00000000" w:rsidR="00000000" w:rsidRPr="00000000">
        <w:rPr>
          <w:rFonts w:ascii="Times New Roman" w:cs="Times New Roman" w:eastAsia="Times New Roman" w:hAnsi="Times New Roman"/>
          <w:sz w:val="24"/>
          <w:szCs w:val="24"/>
          <w:rtl w:val="0"/>
        </w:rPr>
        <w:t xml:space="preserve">, n179. https://doi.org/10.1136/bmj.n179</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Eubanks, C. F., Burckell, L. A., &amp; Goldfried, M. R. (2018). Clinical consensus strategies to repair ruptures in the therapeutic alliance. </w:t>
      </w:r>
      <w:r w:rsidDel="00000000" w:rsidR="00000000" w:rsidRPr="00000000">
        <w:rPr>
          <w:rFonts w:ascii="Times New Roman" w:cs="Times New Roman" w:eastAsia="Times New Roman" w:hAnsi="Times New Roman"/>
          <w:i w:val="1"/>
          <w:sz w:val="24"/>
          <w:szCs w:val="24"/>
          <w:rtl w:val="0"/>
        </w:rPr>
        <w:t xml:space="preserve">Journal of Psychotherapy Integration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28</w:t>
      </w:r>
      <w:r w:rsidDel="00000000" w:rsidR="00000000" w:rsidRPr="00000000">
        <w:rPr>
          <w:rFonts w:ascii="Times New Roman" w:cs="Times New Roman" w:eastAsia="Times New Roman" w:hAnsi="Times New Roman"/>
          <w:sz w:val="24"/>
          <w:szCs w:val="24"/>
          <w:rtl w:val="0"/>
        </w:rPr>
        <w:t xml:space="preserve">(1), 60–76. </w:t>
      </w:r>
      <w:hyperlink r:id="rId7">
        <w:r w:rsidDel="00000000" w:rsidR="00000000" w:rsidRPr="00000000">
          <w:rPr>
            <w:rFonts w:ascii="Times New Roman" w:cs="Times New Roman" w:eastAsia="Times New Roman" w:hAnsi="Times New Roman"/>
            <w:color w:val="0000ff"/>
            <w:sz w:val="24"/>
            <w:szCs w:val="24"/>
            <w:u w:val="single"/>
            <w:rtl w:val="0"/>
          </w:rPr>
          <w:t xml:space="preserve">https://doi.org/10.1037/int0000097</w:t>
        </w:r>
      </w:hyperlink>
      <w:r w:rsidDel="00000000" w:rsidR="00000000" w:rsidRPr="00000000">
        <w:rPr>
          <w:rtl w:val="0"/>
        </w:rPr>
      </w:r>
    </w:p>
    <w:p w:rsidR="00000000" w:rsidDel="00000000" w:rsidP="00000000" w:rsidRDefault="00000000" w:rsidRPr="00000000" w14:paraId="00000029">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Gardner, J. R., Lipner, L. M., Eubanks, C. F., &amp; Muran, J. C. (2019). A Therapist’s Guide to Repairing Ruptures in the Working Alliance. </w:t>
      </w:r>
      <w:r w:rsidDel="00000000" w:rsidR="00000000" w:rsidRPr="00000000">
        <w:rPr>
          <w:rFonts w:ascii="Times New Roman" w:cs="Times New Roman" w:eastAsia="Times New Roman" w:hAnsi="Times New Roman"/>
          <w:i w:val="1"/>
          <w:sz w:val="24"/>
          <w:szCs w:val="24"/>
          <w:rtl w:val="0"/>
        </w:rPr>
        <w:t xml:space="preserve">Working Alliance Skills for Mental Health Professionals</w:t>
      </w:r>
      <w:r w:rsidDel="00000000" w:rsidR="00000000" w:rsidRPr="00000000">
        <w:rPr>
          <w:rFonts w:ascii="Times New Roman" w:cs="Times New Roman" w:eastAsia="Times New Roman" w:hAnsi="Times New Roman"/>
          <w:sz w:val="24"/>
          <w:szCs w:val="24"/>
          <w:rtl w:val="0"/>
        </w:rPr>
        <w:t xml:space="preserve">, 159–180. https://doi.org/10.1093/med-psych/9780190868529.003.0008</w:t>
      </w:r>
    </w:p>
    <w:p w:rsidR="00000000" w:rsidDel="00000000" w:rsidP="00000000" w:rsidRDefault="00000000" w:rsidRPr="00000000" w14:paraId="0000002B">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G. (1988). </w:t>
      </w:r>
      <w:r w:rsidDel="00000000" w:rsidR="00000000" w:rsidRPr="00000000">
        <w:rPr>
          <w:rFonts w:ascii="Times New Roman" w:cs="Times New Roman" w:eastAsia="Times New Roman" w:hAnsi="Times New Roman"/>
          <w:i w:val="1"/>
          <w:sz w:val="24"/>
          <w:szCs w:val="24"/>
          <w:rtl w:val="0"/>
        </w:rPr>
        <w:t xml:space="preserve">Learning by Doing: A Guide to Teaching and Learning Methods. </w:t>
      </w:r>
      <w:r w:rsidDel="00000000" w:rsidR="00000000" w:rsidRPr="00000000">
        <w:rPr>
          <w:rFonts w:ascii="Times New Roman" w:cs="Times New Roman" w:eastAsia="Times New Roman" w:hAnsi="Times New Roman"/>
          <w:sz w:val="24"/>
          <w:szCs w:val="24"/>
          <w:rtl w:val="0"/>
        </w:rPr>
        <w:t xml:space="preserve">Oxford: Oxford Further Education Unit</w:t>
      </w:r>
    </w:p>
    <w:p w:rsidR="00000000" w:rsidDel="00000000" w:rsidP="00000000" w:rsidRDefault="00000000" w:rsidRPr="00000000" w14:paraId="0000002E">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Muran, J. C., Eubanks, C. F., &amp; Samstag, L. W. (2021). One more time with less jargon: An introduction to “Rupture Repair in Practice”. </w:t>
      </w:r>
      <w:r w:rsidDel="00000000" w:rsidR="00000000" w:rsidRPr="00000000">
        <w:rPr>
          <w:rFonts w:ascii="Times New Roman" w:cs="Times New Roman" w:eastAsia="Times New Roman" w:hAnsi="Times New Roman"/>
          <w:i w:val="1"/>
          <w:sz w:val="24"/>
          <w:szCs w:val="24"/>
          <w:rtl w:val="0"/>
        </w:rPr>
        <w:t xml:space="preserve">Journal of Clinical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77</w:t>
      </w:r>
      <w:r w:rsidDel="00000000" w:rsidR="00000000" w:rsidRPr="00000000">
        <w:rPr>
          <w:rFonts w:ascii="Times New Roman" w:cs="Times New Roman" w:eastAsia="Times New Roman" w:hAnsi="Times New Roman"/>
          <w:sz w:val="24"/>
          <w:szCs w:val="24"/>
          <w:rtl w:val="0"/>
        </w:rPr>
        <w:t xml:space="preserve">(2), 361–368. </w:t>
      </w:r>
      <w:hyperlink r:id="rId8">
        <w:r w:rsidDel="00000000" w:rsidR="00000000" w:rsidRPr="00000000">
          <w:rPr>
            <w:rFonts w:ascii="Times New Roman" w:cs="Times New Roman" w:eastAsia="Times New Roman" w:hAnsi="Times New Roman"/>
            <w:color w:val="0000ff"/>
            <w:sz w:val="24"/>
            <w:szCs w:val="24"/>
            <w:u w:val="single"/>
            <w:rtl w:val="0"/>
          </w:rPr>
          <w:t xml:space="preserve">https://doi.org/10.1002/jclp.23105</w:t>
        </w:r>
      </w:hyperlink>
      <w:r w:rsidDel="00000000" w:rsidR="00000000" w:rsidRPr="00000000">
        <w:rPr>
          <w:rtl w:val="0"/>
        </w:rPr>
      </w:r>
    </w:p>
    <w:p w:rsidR="00000000" w:rsidDel="00000000" w:rsidP="00000000" w:rsidRDefault="00000000" w:rsidRPr="00000000" w14:paraId="00000030">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Patterson, T. G., &amp; Joseph, S. (2007). Person-Centered Personality Theory: Support from Self-Determination Theory And Positive Psychology. </w:t>
      </w:r>
      <w:r w:rsidDel="00000000" w:rsidR="00000000" w:rsidRPr="00000000">
        <w:rPr>
          <w:rFonts w:ascii="Times New Roman" w:cs="Times New Roman" w:eastAsia="Times New Roman" w:hAnsi="Times New Roman"/>
          <w:i w:val="1"/>
          <w:sz w:val="24"/>
          <w:szCs w:val="24"/>
          <w:rtl w:val="0"/>
        </w:rPr>
        <w:t xml:space="preserve">Journal of Humanistic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(1), 117–139. </w:t>
      </w:r>
      <w:hyperlink r:id="rId9">
        <w:r w:rsidDel="00000000" w:rsidR="00000000" w:rsidRPr="00000000">
          <w:rPr>
            <w:rFonts w:ascii="Times New Roman" w:cs="Times New Roman" w:eastAsia="Times New Roman" w:hAnsi="Times New Roman"/>
            <w:color w:val="0000ff"/>
            <w:sz w:val="24"/>
            <w:szCs w:val="24"/>
            <w:u w:val="single"/>
            <w:rtl w:val="0"/>
          </w:rPr>
          <w:t xml:space="preserve">https://doi.org/10.1177/0022167806293008</w:t>
        </w:r>
      </w:hyperlink>
      <w:r w:rsidDel="00000000" w:rsidR="00000000" w:rsidRPr="00000000">
        <w:rPr>
          <w:rtl w:val="0"/>
        </w:rPr>
      </w:r>
    </w:p>
    <w:p w:rsidR="00000000" w:rsidDel="00000000" w:rsidP="00000000" w:rsidRDefault="00000000" w:rsidRPr="00000000" w14:paraId="00000032">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Payne, M. (2006). Narrative Therapy: An Introduction for Counsellors. </w:t>
      </w:r>
      <w:r w:rsidDel="00000000" w:rsidR="00000000" w:rsidRPr="00000000">
        <w:rPr>
          <w:rFonts w:ascii="Times New Roman" w:cs="Times New Roman" w:eastAsia="Times New Roman" w:hAnsi="Times New Roman"/>
          <w:i w:val="1"/>
          <w:sz w:val="24"/>
          <w:szCs w:val="24"/>
          <w:rtl w:val="0"/>
        </w:rPr>
        <w:t xml:space="preserve">Narrative Therapy: An Introduction for Counsellors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(2). </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https://doi.org/10.4135/9781446213322</w:t>
        </w:r>
      </w:hyperlink>
      <w:r w:rsidDel="00000000" w:rsidR="00000000" w:rsidRPr="00000000">
        <w:rPr>
          <w:rtl w:val="0"/>
        </w:rPr>
      </w:r>
    </w:p>
    <w:p w:rsidR="00000000" w:rsidDel="00000000" w:rsidP="00000000" w:rsidRDefault="00000000" w:rsidRPr="00000000" w14:paraId="00000034">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J., Moyer, M., Maghsoudi, M., &amp; Martinez-Smith, C. (2020). Deconstructing Ethical Ambiguity: Ethical Decision Making When Working With Multiple Ethical Codes of Conduct. </w:t>
      </w:r>
      <w:r w:rsidDel="00000000" w:rsidR="00000000" w:rsidRPr="00000000">
        <w:rPr>
          <w:rFonts w:ascii="Times New Roman" w:cs="Times New Roman" w:eastAsia="Times New Roman" w:hAnsi="Times New Roman"/>
          <w:i w:val="1"/>
          <w:sz w:val="24"/>
          <w:szCs w:val="24"/>
          <w:rtl w:val="0"/>
        </w:rPr>
        <w:t xml:space="preserve">Journal of Professional Counseling: Practice, Theory &amp;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(2), 61–74. https://doi.org/10.1080/15566382.2020.1799675</w:t>
      </w:r>
    </w:p>
    <w:p w:rsidR="00000000" w:rsidDel="00000000" w:rsidP="00000000" w:rsidRDefault="00000000" w:rsidRPr="00000000" w14:paraId="00000035">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C. R. (1957). The necessary and sufficient conditions of therapeutic personality change. </w:t>
      </w:r>
      <w:r w:rsidDel="00000000" w:rsidR="00000000" w:rsidRPr="00000000">
        <w:rPr>
          <w:rFonts w:ascii="Times New Roman" w:cs="Times New Roman" w:eastAsia="Times New Roman" w:hAnsi="Times New Roman"/>
          <w:i w:val="1"/>
          <w:sz w:val="24"/>
          <w:szCs w:val="24"/>
          <w:rtl w:val="0"/>
        </w:rPr>
        <w:t xml:space="preserve">Journal of Consulting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21</w:t>
      </w:r>
      <w:r w:rsidDel="00000000" w:rsidR="00000000" w:rsidRPr="00000000">
        <w:rPr>
          <w:rFonts w:ascii="Times New Roman" w:cs="Times New Roman" w:eastAsia="Times New Roman" w:hAnsi="Times New Roman"/>
          <w:sz w:val="24"/>
          <w:szCs w:val="24"/>
          <w:rtl w:val="0"/>
        </w:rPr>
        <w:t xml:space="preserve">(2), 95–103. </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https://doi.org/10.1037/h0045357</w:t>
        </w:r>
      </w:hyperlink>
      <w:r w:rsidDel="00000000" w:rsidR="00000000" w:rsidRPr="00000000">
        <w:rPr>
          <w:rtl w:val="0"/>
        </w:rPr>
      </w:r>
    </w:p>
    <w:p w:rsidR="00000000" w:rsidDel="00000000" w:rsidP="00000000" w:rsidRDefault="00000000" w:rsidRPr="00000000" w14:paraId="00000037">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Ward, A., &amp; Knudson-Martin, C. (2012). The Impact of Therapist Actions on the Balance of Power Within the Couple System: A Qualitative Analysis of Therapy Sessions. </w:t>
      </w:r>
      <w:r w:rsidDel="00000000" w:rsidR="00000000" w:rsidRPr="00000000">
        <w:rPr>
          <w:rFonts w:ascii="Times New Roman" w:cs="Times New Roman" w:eastAsia="Times New Roman" w:hAnsi="Times New Roman"/>
          <w:i w:val="1"/>
          <w:sz w:val="24"/>
          <w:szCs w:val="24"/>
          <w:rtl w:val="0"/>
        </w:rPr>
        <w:t xml:space="preserve">Journal of Couple &amp; Relationship Therapy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(3), 221–237. https://doi.org/10.1080/15332691.2012.692943</w:t>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37/h0045357" TargetMode="External"/><Relationship Id="rId10" Type="http://schemas.openxmlformats.org/officeDocument/2006/relationships/hyperlink" Target="https://doi.org/10.4135/9781446213322" TargetMode="External"/><Relationship Id="rId9" Type="http://schemas.openxmlformats.org/officeDocument/2006/relationships/hyperlink" Target="https://doi.org/10.1177/0022167806293008" TargetMode="External"/><Relationship Id="rId5" Type="http://schemas.openxmlformats.org/officeDocument/2006/relationships/styles" Target="styles.xml"/><Relationship Id="rId6" Type="http://schemas.openxmlformats.org/officeDocument/2006/relationships/hyperlink" Target="https://doi.org/10.1037/0033-3204.43.1.1" TargetMode="External"/><Relationship Id="rId7" Type="http://schemas.openxmlformats.org/officeDocument/2006/relationships/hyperlink" Target="https://doi.org/10.1037/int0000097" TargetMode="External"/><Relationship Id="rId8" Type="http://schemas.openxmlformats.org/officeDocument/2006/relationships/hyperlink" Target="https://doi.org/10.1002/jclp.23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